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137D" w14:textId="34AF101E" w:rsidR="00163D7B" w:rsidRPr="00163D7B" w:rsidRDefault="00673C4F" w:rsidP="00673C4F">
      <w:pPr>
        <w:pStyle w:val="Heading1"/>
        <w:rPr>
          <w:rFonts w:ascii="Palatino Linotype" w:hAnsi="Palatino Linotype"/>
        </w:rPr>
      </w:pPr>
      <w:r>
        <w:rPr>
          <w:rFonts w:ascii="Palatino Linotype" w:hAnsi="Palatino Linotype"/>
        </w:rPr>
        <w:t>WEEK</w:t>
      </w:r>
      <w:r w:rsidR="00E466D6" w:rsidRPr="00163D7B">
        <w:rPr>
          <w:rFonts w:ascii="Palatino Linotype" w:hAnsi="Palatino Linotype"/>
        </w:rPr>
        <w:t xml:space="preserve"> </w:t>
      </w:r>
      <w:r w:rsidR="00571008" w:rsidRPr="00163D7B">
        <w:rPr>
          <w:rFonts w:ascii="Palatino Linotype" w:hAnsi="Palatino Linotype"/>
        </w:rPr>
        <w:t>2</w:t>
      </w:r>
    </w:p>
    <w:p w14:paraId="1E169B5D" w14:textId="77777777" w:rsidR="00163D7B" w:rsidRPr="00163D7B" w:rsidRDefault="00163D7B" w:rsidP="00673C4F">
      <w:pPr>
        <w:jc w:val="center"/>
        <w:rPr>
          <w:rFonts w:ascii="Palatino Linotype" w:hAnsi="Palatino Linotype"/>
        </w:rPr>
      </w:pPr>
    </w:p>
    <w:p w14:paraId="08B19C7F" w14:textId="34AE1CD5" w:rsidR="00E466D6" w:rsidRPr="00163D7B" w:rsidRDefault="00E466D6" w:rsidP="00673C4F">
      <w:pPr>
        <w:pStyle w:val="Heading1"/>
        <w:rPr>
          <w:rFonts w:ascii="Palatino Linotype" w:hAnsi="Palatino Linotype"/>
          <w:u w:val="none"/>
        </w:rPr>
      </w:pPr>
      <w:r w:rsidRPr="00163D7B">
        <w:rPr>
          <w:rFonts w:ascii="Palatino Linotype" w:hAnsi="Palatino Linotype"/>
          <w:u w:val="none"/>
        </w:rPr>
        <w:t>NEGLIGENCE</w:t>
      </w:r>
      <w:r w:rsidR="00E65D3C" w:rsidRPr="00163D7B">
        <w:rPr>
          <w:rFonts w:ascii="Palatino Linotype" w:hAnsi="Palatino Linotype"/>
          <w:u w:val="none"/>
        </w:rPr>
        <w:t>:</w:t>
      </w:r>
      <w:r w:rsidRPr="00163D7B">
        <w:rPr>
          <w:rFonts w:ascii="Palatino Linotype" w:hAnsi="Palatino Linotype"/>
          <w:u w:val="none"/>
        </w:rPr>
        <w:t xml:space="preserve"> DUTY OF CARE</w:t>
      </w:r>
      <w:r w:rsidR="00F906AD" w:rsidRPr="00163D7B">
        <w:rPr>
          <w:rFonts w:ascii="Palatino Linotype" w:hAnsi="Palatino Linotype"/>
          <w:u w:val="none"/>
        </w:rPr>
        <w:t xml:space="preserve"> AND ACTIONABLE DAMAGE</w:t>
      </w:r>
    </w:p>
    <w:p w14:paraId="25D7C93A" w14:textId="77777777" w:rsidR="00E466D6" w:rsidRPr="00163D7B" w:rsidRDefault="00E466D6" w:rsidP="005B6558">
      <w:pPr>
        <w:rPr>
          <w:rFonts w:ascii="Palatino Linotype" w:hAnsi="Palatino Linotype" w:cs="Palatino Linotype"/>
          <w:b/>
          <w:bCs/>
          <w:u w:val="single"/>
        </w:rPr>
      </w:pPr>
    </w:p>
    <w:p w14:paraId="624F8156" w14:textId="478CFB76" w:rsidR="00E466D6" w:rsidRPr="00163D7B" w:rsidRDefault="00F717E8" w:rsidP="005B6558">
      <w:pPr>
        <w:rPr>
          <w:rFonts w:ascii="Palatino Linotype" w:hAnsi="Palatino Linotype" w:cs="Palatino Linotype"/>
        </w:rPr>
      </w:pPr>
      <w:r w:rsidRPr="00163D7B">
        <w:rPr>
          <w:rFonts w:ascii="Palatino Linotype" w:hAnsi="Palatino Linotype" w:cs="Palatino Linotype"/>
        </w:rPr>
        <w:t>W</w:t>
      </w:r>
      <w:r w:rsidR="009039B5" w:rsidRPr="00163D7B">
        <w:rPr>
          <w:rFonts w:ascii="Palatino Linotype" w:hAnsi="Palatino Linotype" w:cs="Palatino Linotype"/>
        </w:rPr>
        <w:t xml:space="preserve">e </w:t>
      </w:r>
      <w:r w:rsidR="00FB7086">
        <w:rPr>
          <w:rFonts w:ascii="Palatino Linotype" w:hAnsi="Palatino Linotype" w:cs="Palatino Linotype"/>
        </w:rPr>
        <w:t xml:space="preserve">begin with </w:t>
      </w:r>
      <w:r w:rsidR="00A20BC7">
        <w:rPr>
          <w:rFonts w:ascii="Palatino Linotype" w:hAnsi="Palatino Linotype" w:cs="Palatino Linotype"/>
        </w:rPr>
        <w:t>the</w:t>
      </w:r>
      <w:r w:rsidR="009039B5" w:rsidRPr="00163D7B">
        <w:rPr>
          <w:rFonts w:ascii="Palatino Linotype" w:hAnsi="Palatino Linotype" w:cs="Palatino Linotype"/>
        </w:rPr>
        <w:t xml:space="preserve"> beating heart</w:t>
      </w:r>
      <w:r w:rsidR="00A20BC7">
        <w:rPr>
          <w:rFonts w:ascii="Palatino Linotype" w:hAnsi="Palatino Linotype" w:cs="Palatino Linotype"/>
        </w:rPr>
        <w:t xml:space="preserve"> of tort law</w:t>
      </w:r>
      <w:r w:rsidR="00FB7086">
        <w:rPr>
          <w:rFonts w:ascii="Palatino Linotype" w:hAnsi="Palatino Linotype" w:cs="Palatino Linotype"/>
        </w:rPr>
        <w:t xml:space="preserve">: </w:t>
      </w:r>
      <w:r w:rsidR="005657E7" w:rsidRPr="00163D7B">
        <w:rPr>
          <w:rFonts w:ascii="Palatino Linotype" w:hAnsi="Palatino Linotype" w:cs="Palatino Linotype"/>
        </w:rPr>
        <w:t>n</w:t>
      </w:r>
      <w:r w:rsidR="009039B5" w:rsidRPr="00163D7B">
        <w:rPr>
          <w:rFonts w:ascii="Palatino Linotype" w:hAnsi="Palatino Linotype" w:cs="Palatino Linotype"/>
        </w:rPr>
        <w:t xml:space="preserve">egligence. </w:t>
      </w:r>
      <w:r w:rsidR="00BC37CC" w:rsidRPr="00163D7B">
        <w:rPr>
          <w:rFonts w:ascii="Palatino Linotype" w:hAnsi="Palatino Linotype" w:cs="Palatino Linotype"/>
        </w:rPr>
        <w:t>A</w:t>
      </w:r>
      <w:r w:rsidR="00E466D6" w:rsidRPr="00163D7B">
        <w:rPr>
          <w:rFonts w:ascii="Palatino Linotype" w:hAnsi="Palatino Linotype" w:cs="Palatino Linotype"/>
        </w:rPr>
        <w:t xml:space="preserve"> valid claim in the tort of negligence</w:t>
      </w:r>
      <w:r w:rsidR="00BC37CC" w:rsidRPr="00163D7B">
        <w:rPr>
          <w:rFonts w:ascii="Palatino Linotype" w:hAnsi="Palatino Linotype" w:cs="Palatino Linotype"/>
        </w:rPr>
        <w:t xml:space="preserve"> requires </w:t>
      </w:r>
      <w:r w:rsidR="00FB7086">
        <w:rPr>
          <w:rFonts w:ascii="Palatino Linotype" w:hAnsi="Palatino Linotype" w:cs="Palatino Linotype"/>
        </w:rPr>
        <w:t>C t</w:t>
      </w:r>
      <w:r w:rsidR="00E466D6" w:rsidRPr="00163D7B">
        <w:rPr>
          <w:rFonts w:ascii="Palatino Linotype" w:hAnsi="Palatino Linotype" w:cs="Palatino Linotype"/>
        </w:rPr>
        <w:t xml:space="preserve">o show that </w:t>
      </w:r>
      <w:r w:rsidR="00FB7086">
        <w:rPr>
          <w:rFonts w:ascii="Palatino Linotype" w:hAnsi="Palatino Linotype" w:cs="Palatino Linotype"/>
        </w:rPr>
        <w:t>D</w:t>
      </w:r>
      <w:r w:rsidR="00E466D6" w:rsidRPr="00163D7B">
        <w:rPr>
          <w:rFonts w:ascii="Palatino Linotype" w:hAnsi="Palatino Linotype" w:cs="Palatino Linotype"/>
        </w:rPr>
        <w:t>:</w:t>
      </w:r>
    </w:p>
    <w:p w14:paraId="0EFD0B1C" w14:textId="77777777" w:rsidR="00FB7086" w:rsidRDefault="00FB7086" w:rsidP="005B6558">
      <w:pPr>
        <w:rPr>
          <w:rFonts w:ascii="Palatino Linotype" w:hAnsi="Palatino Linotype" w:cs="Palatino Linotype"/>
        </w:rPr>
      </w:pPr>
    </w:p>
    <w:p w14:paraId="66E31C0B" w14:textId="4E9255BF" w:rsidR="00E466D6" w:rsidRPr="00163D7B" w:rsidRDefault="00FB7086" w:rsidP="005B6558">
      <w:pPr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>(i) o</w:t>
      </w:r>
      <w:r w:rsidR="00E466D6" w:rsidRPr="00163D7B">
        <w:rPr>
          <w:rFonts w:ascii="Palatino Linotype" w:hAnsi="Palatino Linotype" w:cs="Palatino Linotype"/>
        </w:rPr>
        <w:t xml:space="preserve">wed C a </w:t>
      </w:r>
      <w:r w:rsidR="00E466D6" w:rsidRPr="00FB7086">
        <w:rPr>
          <w:rFonts w:ascii="Palatino Linotype" w:hAnsi="Palatino Linotype" w:cs="Palatino Linotype"/>
          <w:u w:val="single"/>
        </w:rPr>
        <w:t>duty of care</w:t>
      </w:r>
      <w:r>
        <w:rPr>
          <w:rFonts w:ascii="Palatino Linotype" w:hAnsi="Palatino Linotype" w:cs="Palatino Linotype"/>
          <w:u w:val="single"/>
        </w:rPr>
        <w:t>,</w:t>
      </w:r>
      <w:r w:rsidR="00E466D6" w:rsidRPr="00163D7B">
        <w:rPr>
          <w:rFonts w:ascii="Palatino Linotype" w:hAnsi="Palatino Linotype" w:cs="Palatino Linotype"/>
        </w:rPr>
        <w:t xml:space="preserve"> (</w:t>
      </w:r>
      <w:r>
        <w:rPr>
          <w:rFonts w:ascii="Palatino Linotype" w:hAnsi="Palatino Linotype" w:cs="Palatino Linotype"/>
          <w:b/>
          <w:bCs/>
        </w:rPr>
        <w:t>workshop 1</w:t>
      </w:r>
      <w:r w:rsidR="00E466D6" w:rsidRPr="00163D7B">
        <w:rPr>
          <w:rFonts w:ascii="Palatino Linotype" w:hAnsi="Palatino Linotype" w:cs="Palatino Linotype"/>
          <w:b/>
          <w:bCs/>
        </w:rPr>
        <w:t>)</w:t>
      </w:r>
    </w:p>
    <w:p w14:paraId="31B7B3C7" w14:textId="39AF5EFE" w:rsidR="00E466D6" w:rsidRPr="00163D7B" w:rsidRDefault="00E466D6" w:rsidP="005B6558">
      <w:pPr>
        <w:rPr>
          <w:rFonts w:ascii="Palatino Linotype" w:hAnsi="Palatino Linotype" w:cs="Palatino Linotype"/>
          <w:b/>
          <w:bCs/>
        </w:rPr>
      </w:pPr>
      <w:r w:rsidRPr="00163D7B">
        <w:rPr>
          <w:rFonts w:ascii="Palatino Linotype" w:hAnsi="Palatino Linotype" w:cs="Palatino Linotype"/>
        </w:rPr>
        <w:t>(</w:t>
      </w:r>
      <w:r w:rsidR="00FB7086">
        <w:rPr>
          <w:rFonts w:ascii="Palatino Linotype" w:hAnsi="Palatino Linotype" w:cs="Palatino Linotype"/>
        </w:rPr>
        <w:t>ii</w:t>
      </w:r>
      <w:r w:rsidRPr="00163D7B">
        <w:rPr>
          <w:rFonts w:ascii="Palatino Linotype" w:hAnsi="Palatino Linotype" w:cs="Palatino Linotype"/>
        </w:rPr>
        <w:t xml:space="preserve">) </w:t>
      </w:r>
      <w:r w:rsidR="00FB7086" w:rsidRPr="00FB7086">
        <w:rPr>
          <w:rFonts w:ascii="Palatino Linotype" w:hAnsi="Palatino Linotype" w:cs="Palatino Linotype"/>
          <w:u w:val="single"/>
        </w:rPr>
        <w:t>b</w:t>
      </w:r>
      <w:r w:rsidRPr="00FB7086">
        <w:rPr>
          <w:rFonts w:ascii="Palatino Linotype" w:hAnsi="Palatino Linotype" w:cs="Palatino Linotype"/>
          <w:u w:val="single"/>
        </w:rPr>
        <w:t>reached</w:t>
      </w:r>
      <w:r w:rsidRPr="00163D7B">
        <w:rPr>
          <w:rFonts w:ascii="Palatino Linotype" w:hAnsi="Palatino Linotype" w:cs="Palatino Linotype"/>
        </w:rPr>
        <w:t xml:space="preserve"> that duty of care </w:t>
      </w:r>
      <w:r w:rsidR="005657E7" w:rsidRPr="00163D7B">
        <w:rPr>
          <w:rFonts w:ascii="Palatino Linotype" w:hAnsi="Palatino Linotype" w:cs="Palatino Linotype"/>
        </w:rPr>
        <w:t>by behaving negligently</w:t>
      </w:r>
      <w:r w:rsidR="00FB7086">
        <w:rPr>
          <w:rFonts w:ascii="Palatino Linotype" w:hAnsi="Palatino Linotype" w:cs="Palatino Linotype"/>
        </w:rPr>
        <w:t>, and</w:t>
      </w:r>
      <w:r w:rsidR="005657E7" w:rsidRPr="00163D7B">
        <w:rPr>
          <w:rFonts w:ascii="Palatino Linotype" w:hAnsi="Palatino Linotype" w:cs="Palatino Linotype"/>
        </w:rPr>
        <w:t xml:space="preserve"> </w:t>
      </w:r>
      <w:r w:rsidRPr="00163D7B">
        <w:rPr>
          <w:rFonts w:ascii="Palatino Linotype" w:hAnsi="Palatino Linotype" w:cs="Palatino Linotype"/>
        </w:rPr>
        <w:t>(</w:t>
      </w:r>
      <w:r w:rsidR="00FB7086">
        <w:rPr>
          <w:rFonts w:ascii="Palatino Linotype" w:hAnsi="Palatino Linotype" w:cs="Palatino Linotype"/>
          <w:b/>
          <w:bCs/>
        </w:rPr>
        <w:t>workshop 2</w:t>
      </w:r>
      <w:r w:rsidRPr="00163D7B">
        <w:rPr>
          <w:rFonts w:ascii="Palatino Linotype" w:hAnsi="Palatino Linotype" w:cs="Palatino Linotype"/>
          <w:b/>
          <w:bCs/>
        </w:rPr>
        <w:t>)</w:t>
      </w:r>
    </w:p>
    <w:p w14:paraId="6F78B4B4" w14:textId="489A173E" w:rsidR="00E466D6" w:rsidRPr="00163D7B" w:rsidRDefault="00E466D6" w:rsidP="005B6558">
      <w:pPr>
        <w:rPr>
          <w:rFonts w:ascii="Palatino Linotype" w:hAnsi="Palatino Linotype" w:cs="Palatino Linotype"/>
        </w:rPr>
      </w:pPr>
      <w:r w:rsidRPr="00163D7B">
        <w:rPr>
          <w:rFonts w:ascii="Palatino Linotype" w:hAnsi="Palatino Linotype" w:cs="Palatino Linotype"/>
        </w:rPr>
        <w:t>(</w:t>
      </w:r>
      <w:r w:rsidR="00FB7086">
        <w:rPr>
          <w:rFonts w:ascii="Palatino Linotype" w:hAnsi="Palatino Linotype" w:cs="Palatino Linotype"/>
        </w:rPr>
        <w:t>iii</w:t>
      </w:r>
      <w:r w:rsidRPr="00163D7B">
        <w:rPr>
          <w:rFonts w:ascii="Palatino Linotype" w:hAnsi="Palatino Linotype" w:cs="Palatino Linotype"/>
        </w:rPr>
        <w:t xml:space="preserve">) </w:t>
      </w:r>
      <w:r w:rsidR="00FB7086">
        <w:rPr>
          <w:rFonts w:ascii="Palatino Linotype" w:hAnsi="Palatino Linotype" w:cs="Palatino Linotype"/>
        </w:rPr>
        <w:t>t</w:t>
      </w:r>
      <w:r w:rsidRPr="00163D7B">
        <w:rPr>
          <w:rFonts w:ascii="Palatino Linotype" w:hAnsi="Palatino Linotype" w:cs="Palatino Linotype"/>
        </w:rPr>
        <w:t xml:space="preserve">hat </w:t>
      </w:r>
      <w:r w:rsidR="00FB7086">
        <w:rPr>
          <w:rFonts w:ascii="Palatino Linotype" w:hAnsi="Palatino Linotype" w:cs="Palatino Linotype"/>
        </w:rPr>
        <w:t>the</w:t>
      </w:r>
      <w:r w:rsidRPr="00163D7B">
        <w:rPr>
          <w:rFonts w:ascii="Palatino Linotype" w:hAnsi="Palatino Linotype" w:cs="Palatino Linotype"/>
        </w:rPr>
        <w:t xml:space="preserve"> breach </w:t>
      </w:r>
      <w:r w:rsidRPr="00FB7086">
        <w:rPr>
          <w:rFonts w:ascii="Palatino Linotype" w:hAnsi="Palatino Linotype" w:cs="Palatino Linotype"/>
          <w:u w:val="single"/>
        </w:rPr>
        <w:t>caused</w:t>
      </w:r>
      <w:r w:rsidRPr="00163D7B">
        <w:rPr>
          <w:rFonts w:ascii="Palatino Linotype" w:hAnsi="Palatino Linotype" w:cs="Palatino Linotype"/>
        </w:rPr>
        <w:t xml:space="preserve"> (</w:t>
      </w:r>
      <w:r w:rsidR="00FB7086">
        <w:rPr>
          <w:rFonts w:ascii="Palatino Linotype" w:hAnsi="Palatino Linotype" w:cs="Palatino Linotype"/>
          <w:b/>
          <w:bCs/>
        </w:rPr>
        <w:t>workshop 3</w:t>
      </w:r>
      <w:r w:rsidRPr="00163D7B">
        <w:rPr>
          <w:rFonts w:ascii="Palatino Linotype" w:hAnsi="Palatino Linotype" w:cs="Palatino Linotype"/>
          <w:b/>
          <w:bCs/>
        </w:rPr>
        <w:t xml:space="preserve">) </w:t>
      </w:r>
    </w:p>
    <w:p w14:paraId="04B94E50" w14:textId="27EAEAAB" w:rsidR="00E466D6" w:rsidRPr="00163D7B" w:rsidRDefault="00E466D6" w:rsidP="005B6558">
      <w:pPr>
        <w:rPr>
          <w:rFonts w:ascii="Palatino Linotype" w:hAnsi="Palatino Linotype" w:cs="Palatino Linotype"/>
        </w:rPr>
      </w:pPr>
      <w:r w:rsidRPr="00163D7B">
        <w:rPr>
          <w:rFonts w:ascii="Palatino Linotype" w:hAnsi="Palatino Linotype" w:cs="Palatino Linotype"/>
        </w:rPr>
        <w:t>(</w:t>
      </w:r>
      <w:r w:rsidR="00FB7086">
        <w:rPr>
          <w:rFonts w:ascii="Palatino Linotype" w:hAnsi="Palatino Linotype" w:cs="Palatino Linotype"/>
        </w:rPr>
        <w:t>iv</w:t>
      </w:r>
      <w:r w:rsidRPr="00163D7B">
        <w:rPr>
          <w:rFonts w:ascii="Palatino Linotype" w:hAnsi="Palatino Linotype" w:cs="Palatino Linotype"/>
        </w:rPr>
        <w:t xml:space="preserve">) </w:t>
      </w:r>
      <w:r w:rsidR="00FB7086">
        <w:rPr>
          <w:rFonts w:ascii="Palatino Linotype" w:hAnsi="Palatino Linotype" w:cs="Palatino Linotype"/>
        </w:rPr>
        <w:t>l</w:t>
      </w:r>
      <w:r w:rsidRPr="00163D7B">
        <w:rPr>
          <w:rFonts w:ascii="Palatino Linotype" w:hAnsi="Palatino Linotype" w:cs="Palatino Linotype"/>
        </w:rPr>
        <w:t>egally recogni</w:t>
      </w:r>
      <w:r w:rsidR="008A78DC" w:rsidRPr="00163D7B">
        <w:rPr>
          <w:rFonts w:ascii="Palatino Linotype" w:hAnsi="Palatino Linotype" w:cs="Palatino Linotype"/>
        </w:rPr>
        <w:t>s</w:t>
      </w:r>
      <w:r w:rsidRPr="00163D7B">
        <w:rPr>
          <w:rFonts w:ascii="Palatino Linotype" w:hAnsi="Palatino Linotype" w:cs="Palatino Linotype"/>
        </w:rPr>
        <w:t xml:space="preserve">ed </w:t>
      </w:r>
      <w:r w:rsidR="008A78DC" w:rsidRPr="00163D7B">
        <w:rPr>
          <w:rFonts w:ascii="Palatino Linotype" w:hAnsi="Palatino Linotype" w:cs="Palatino Linotype"/>
        </w:rPr>
        <w:t>d</w:t>
      </w:r>
      <w:r w:rsidRPr="00163D7B">
        <w:rPr>
          <w:rFonts w:ascii="Palatino Linotype" w:hAnsi="Palatino Linotype" w:cs="Palatino Linotype"/>
        </w:rPr>
        <w:t>amage to C</w:t>
      </w:r>
      <w:r w:rsidR="00FB7086">
        <w:rPr>
          <w:rFonts w:ascii="Palatino Linotype" w:hAnsi="Palatino Linotype" w:cs="Palatino Linotype"/>
        </w:rPr>
        <w:t xml:space="preserve">. </w:t>
      </w:r>
    </w:p>
    <w:p w14:paraId="53FDFC59" w14:textId="77777777" w:rsidR="00E466D6" w:rsidRPr="00163D7B" w:rsidRDefault="00E466D6" w:rsidP="005B6558">
      <w:pPr>
        <w:rPr>
          <w:rFonts w:ascii="Palatino Linotype" w:hAnsi="Palatino Linotype" w:cs="Palatino Linotype"/>
          <w:iCs/>
        </w:rPr>
      </w:pPr>
    </w:p>
    <w:p w14:paraId="51C6BF64" w14:textId="379CE906" w:rsidR="00E466D6" w:rsidRPr="00163D7B" w:rsidRDefault="00FB7086" w:rsidP="005B6558">
      <w:pPr>
        <w:rPr>
          <w:rFonts w:ascii="Palatino Linotype" w:hAnsi="Palatino Linotype" w:cs="Palatino Linotype"/>
          <w:iCs/>
        </w:rPr>
      </w:pPr>
      <w:r>
        <w:rPr>
          <w:rFonts w:ascii="Palatino Linotype" w:hAnsi="Palatino Linotype" w:cs="Palatino Linotype"/>
          <w:iCs/>
        </w:rPr>
        <w:t xml:space="preserve">We cover the basic </w:t>
      </w:r>
      <w:r w:rsidR="001F6F1F">
        <w:rPr>
          <w:rFonts w:ascii="Palatino Linotype" w:hAnsi="Palatino Linotype" w:cs="Palatino Linotype"/>
          <w:iCs/>
        </w:rPr>
        <w:t>‘</w:t>
      </w:r>
      <w:r>
        <w:rPr>
          <w:rFonts w:ascii="Palatino Linotype" w:hAnsi="Palatino Linotype" w:cs="Palatino Linotype"/>
          <w:iCs/>
        </w:rPr>
        <w:t>duty of care</w:t>
      </w:r>
      <w:r w:rsidR="001F6F1F">
        <w:rPr>
          <w:rFonts w:ascii="Palatino Linotype" w:hAnsi="Palatino Linotype" w:cs="Palatino Linotype"/>
          <w:iCs/>
        </w:rPr>
        <w:t>’</w:t>
      </w:r>
      <w:r>
        <w:rPr>
          <w:rFonts w:ascii="Palatino Linotype" w:hAnsi="Palatino Linotype" w:cs="Palatino Linotype"/>
          <w:iCs/>
        </w:rPr>
        <w:t xml:space="preserve"> principles here. In the following few </w:t>
      </w:r>
      <w:r w:rsidR="001F6F1F">
        <w:rPr>
          <w:rFonts w:ascii="Palatino Linotype" w:hAnsi="Palatino Linotype" w:cs="Palatino Linotype"/>
          <w:iCs/>
        </w:rPr>
        <w:t>weeks,</w:t>
      </w:r>
      <w:r>
        <w:rPr>
          <w:rFonts w:ascii="Palatino Linotype" w:hAnsi="Palatino Linotype" w:cs="Palatino Linotype"/>
          <w:iCs/>
        </w:rPr>
        <w:t xml:space="preserve"> we will then look at </w:t>
      </w:r>
      <w:r w:rsidR="00692958">
        <w:rPr>
          <w:rFonts w:ascii="Palatino Linotype" w:hAnsi="Palatino Linotype" w:cs="Palatino Linotype"/>
          <w:iCs/>
        </w:rPr>
        <w:t>‘</w:t>
      </w:r>
      <w:r>
        <w:rPr>
          <w:rFonts w:ascii="Palatino Linotype" w:hAnsi="Palatino Linotype" w:cs="Palatino Linotype"/>
          <w:iCs/>
        </w:rPr>
        <w:t>breach</w:t>
      </w:r>
      <w:r w:rsidR="00692958">
        <w:rPr>
          <w:rFonts w:ascii="Palatino Linotype" w:hAnsi="Palatino Linotype" w:cs="Palatino Linotype"/>
          <w:iCs/>
        </w:rPr>
        <w:t>’</w:t>
      </w:r>
      <w:r>
        <w:rPr>
          <w:rFonts w:ascii="Palatino Linotype" w:hAnsi="Palatino Linotype" w:cs="Palatino Linotype"/>
          <w:iCs/>
        </w:rPr>
        <w:t xml:space="preserve"> and </w:t>
      </w:r>
      <w:r w:rsidR="00692958">
        <w:rPr>
          <w:rFonts w:ascii="Palatino Linotype" w:hAnsi="Palatino Linotype" w:cs="Palatino Linotype"/>
          <w:iCs/>
        </w:rPr>
        <w:t>‘</w:t>
      </w:r>
      <w:r>
        <w:rPr>
          <w:rFonts w:ascii="Palatino Linotype" w:hAnsi="Palatino Linotype" w:cs="Palatino Linotype"/>
          <w:iCs/>
        </w:rPr>
        <w:t>causation</w:t>
      </w:r>
      <w:r w:rsidR="00692958">
        <w:rPr>
          <w:rFonts w:ascii="Palatino Linotype" w:hAnsi="Palatino Linotype" w:cs="Palatino Linotype"/>
          <w:iCs/>
        </w:rPr>
        <w:t>’</w:t>
      </w:r>
      <w:r>
        <w:rPr>
          <w:rFonts w:ascii="Palatino Linotype" w:hAnsi="Palatino Linotype" w:cs="Palatino Linotype"/>
          <w:iCs/>
        </w:rPr>
        <w:t>. After that, we will be returning to ‘special duty problems</w:t>
      </w:r>
      <w:r w:rsidR="006409CC">
        <w:rPr>
          <w:rFonts w:ascii="Palatino Linotype" w:hAnsi="Palatino Linotype" w:cs="Palatino Linotype"/>
          <w:iCs/>
        </w:rPr>
        <w:t>’</w:t>
      </w:r>
      <w:r w:rsidR="00E466D6" w:rsidRPr="00163D7B">
        <w:rPr>
          <w:rFonts w:ascii="Palatino Linotype" w:hAnsi="Palatino Linotype" w:cs="Palatino Linotype"/>
          <w:iCs/>
        </w:rPr>
        <w:t>, where the case law has developed additional principles</w:t>
      </w:r>
      <w:r w:rsidR="0017713E" w:rsidRPr="00163D7B">
        <w:rPr>
          <w:rFonts w:ascii="Palatino Linotype" w:hAnsi="Palatino Linotype" w:cs="Palatino Linotype"/>
          <w:iCs/>
        </w:rPr>
        <w:t>.</w:t>
      </w:r>
      <w:r>
        <w:rPr>
          <w:rFonts w:ascii="Palatino Linotype" w:hAnsi="Palatino Linotype" w:cs="Palatino Linotype"/>
          <w:iCs/>
        </w:rPr>
        <w:t xml:space="preserve"> What you learn this week will lay the foundations for understanding those later, more complex issues. </w:t>
      </w:r>
    </w:p>
    <w:p w14:paraId="50A95018" w14:textId="77777777" w:rsidR="00E466D6" w:rsidRPr="00163D7B" w:rsidRDefault="00E466D6" w:rsidP="005B6558">
      <w:pPr>
        <w:rPr>
          <w:rFonts w:ascii="Palatino Linotype" w:hAnsi="Palatino Linotype" w:cs="Palatino Linotype"/>
          <w:iCs/>
        </w:rPr>
      </w:pPr>
    </w:p>
    <w:p w14:paraId="195F3F3B" w14:textId="52F0F8C6" w:rsidR="00082EFF" w:rsidRDefault="00E466D6" w:rsidP="005B6558">
      <w:pPr>
        <w:rPr>
          <w:rFonts w:ascii="Palatino Linotype" w:hAnsi="Palatino Linotype" w:cs="Palatino Linotype"/>
          <w:iCs/>
        </w:rPr>
      </w:pPr>
      <w:r w:rsidRPr="00163D7B">
        <w:rPr>
          <w:rFonts w:ascii="Palatino Linotype" w:hAnsi="Palatino Linotype" w:cs="Palatino Linotype"/>
          <w:iCs/>
        </w:rPr>
        <w:t>Particular</w:t>
      </w:r>
      <w:r w:rsidR="00907B57" w:rsidRPr="00163D7B">
        <w:rPr>
          <w:rFonts w:ascii="Palatino Linotype" w:hAnsi="Palatino Linotype" w:cs="Palatino Linotype"/>
          <w:iCs/>
        </w:rPr>
        <w:t xml:space="preserve"> </w:t>
      </w:r>
      <w:r w:rsidRPr="00163D7B">
        <w:rPr>
          <w:rFonts w:ascii="Palatino Linotype" w:hAnsi="Palatino Linotype" w:cs="Palatino Linotype"/>
          <w:iCs/>
        </w:rPr>
        <w:t>effort must be taken to read</w:t>
      </w:r>
      <w:r w:rsidR="001965D5" w:rsidRPr="00163D7B">
        <w:rPr>
          <w:rFonts w:ascii="Palatino Linotype" w:hAnsi="Palatino Linotype" w:cs="Palatino Linotype"/>
          <w:iCs/>
        </w:rPr>
        <w:t xml:space="preserve"> </w:t>
      </w:r>
      <w:r w:rsidR="000A597D">
        <w:rPr>
          <w:rFonts w:ascii="Palatino Linotype" w:hAnsi="Palatino Linotype" w:cs="Palatino Linotype"/>
          <w:iCs/>
        </w:rPr>
        <w:t xml:space="preserve">the </w:t>
      </w:r>
      <w:r w:rsidR="001965D5" w:rsidRPr="00163D7B">
        <w:rPr>
          <w:rFonts w:ascii="Palatino Linotype" w:hAnsi="Palatino Linotype" w:cs="Palatino Linotype"/>
          <w:iCs/>
        </w:rPr>
        <w:t xml:space="preserve">important decision in </w:t>
      </w:r>
      <w:r w:rsidR="001965D5" w:rsidRPr="003B2F8B">
        <w:rPr>
          <w:rFonts w:ascii="Palatino Linotype" w:hAnsi="Palatino Linotype" w:cs="Palatino Linotype"/>
          <w:b/>
          <w:bCs/>
          <w:i/>
          <w:u w:val="single"/>
        </w:rPr>
        <w:t>Robinson</w:t>
      </w:r>
      <w:r w:rsidR="00FB7086">
        <w:rPr>
          <w:rFonts w:ascii="Palatino Linotype" w:hAnsi="Palatino Linotype" w:cs="Palatino Linotype"/>
          <w:i/>
        </w:rPr>
        <w:t xml:space="preserve"> </w:t>
      </w:r>
      <w:r w:rsidR="00FB7086">
        <w:rPr>
          <w:rFonts w:ascii="Palatino Linotype" w:hAnsi="Palatino Linotype" w:cs="Palatino Linotype"/>
          <w:iCs/>
        </w:rPr>
        <w:t>carefully</w:t>
      </w:r>
      <w:r w:rsidR="00D32CF0" w:rsidRPr="00163D7B">
        <w:rPr>
          <w:rFonts w:ascii="Palatino Linotype" w:hAnsi="Palatino Linotype" w:cs="Palatino Linotype"/>
          <w:iCs/>
        </w:rPr>
        <w:t xml:space="preserve">. </w:t>
      </w:r>
      <w:r w:rsidR="00FB7086">
        <w:rPr>
          <w:rFonts w:ascii="Palatino Linotype" w:hAnsi="Palatino Linotype" w:cs="Palatino Linotype"/>
          <w:iCs/>
        </w:rPr>
        <w:t xml:space="preserve">I recommend starting your reading of the cases with </w:t>
      </w:r>
      <w:r w:rsidR="00FB7086">
        <w:rPr>
          <w:rFonts w:ascii="Palatino Linotype" w:hAnsi="Palatino Linotype" w:cs="Palatino Linotype"/>
          <w:i/>
        </w:rPr>
        <w:t>Robinson</w:t>
      </w:r>
      <w:r w:rsidR="00FB7086">
        <w:rPr>
          <w:rFonts w:ascii="Palatino Linotype" w:hAnsi="Palatino Linotype" w:cs="Palatino Linotype"/>
          <w:iCs/>
        </w:rPr>
        <w:t xml:space="preserve">. Rather than focusing on the specific facts of the case — the special issues about the police — you should be focusing on what the case says about the duty of care in general, and the </w:t>
      </w:r>
      <w:r w:rsidR="005F5568">
        <w:rPr>
          <w:rFonts w:ascii="Palatino Linotype" w:hAnsi="Palatino Linotype" w:cs="Palatino Linotype"/>
          <w:iCs/>
        </w:rPr>
        <w:t>‘</w:t>
      </w:r>
      <w:r w:rsidR="00FB7086">
        <w:rPr>
          <w:rFonts w:ascii="Palatino Linotype" w:hAnsi="Palatino Linotype" w:cs="Palatino Linotype"/>
          <w:iCs/>
        </w:rPr>
        <w:t>established categories</w:t>
      </w:r>
      <w:r w:rsidR="005F5568">
        <w:rPr>
          <w:rFonts w:ascii="Palatino Linotype" w:hAnsi="Palatino Linotype" w:cs="Palatino Linotype"/>
          <w:iCs/>
        </w:rPr>
        <w:t>’</w:t>
      </w:r>
      <w:r w:rsidR="00FB7086">
        <w:rPr>
          <w:rFonts w:ascii="Palatino Linotype" w:hAnsi="Palatino Linotype" w:cs="Palatino Linotype"/>
          <w:iCs/>
        </w:rPr>
        <w:t xml:space="preserve"> approach laid down there. The cases of </w:t>
      </w:r>
      <w:r w:rsidR="00FB7086">
        <w:rPr>
          <w:rFonts w:ascii="Palatino Linotype" w:hAnsi="Palatino Linotype" w:cs="Palatino Linotype"/>
          <w:i/>
        </w:rPr>
        <w:t xml:space="preserve">Darnley </w:t>
      </w:r>
      <w:r w:rsidR="00FB7086">
        <w:rPr>
          <w:rFonts w:ascii="Palatino Linotype" w:hAnsi="Palatino Linotype" w:cs="Palatino Linotype"/>
          <w:iCs/>
        </w:rPr>
        <w:t xml:space="preserve">and </w:t>
      </w:r>
      <w:r w:rsidR="00FB7086">
        <w:rPr>
          <w:rFonts w:ascii="Palatino Linotype" w:hAnsi="Palatino Linotype" w:cs="Palatino Linotype"/>
          <w:i/>
        </w:rPr>
        <w:t xml:space="preserve">ABC </w:t>
      </w:r>
      <w:r w:rsidR="00FB7086">
        <w:rPr>
          <w:rFonts w:ascii="Palatino Linotype" w:hAnsi="Palatino Linotype" w:cs="Palatino Linotype"/>
          <w:iCs/>
        </w:rPr>
        <w:t>illustrate how this approach has been applied in practice by the courts</w:t>
      </w:r>
      <w:r w:rsidR="00082EFF">
        <w:rPr>
          <w:rFonts w:ascii="Palatino Linotype" w:hAnsi="Palatino Linotype" w:cs="Palatino Linotype"/>
          <w:iCs/>
        </w:rPr>
        <w:t>, and I recommend reading them next.</w:t>
      </w:r>
    </w:p>
    <w:p w14:paraId="66370DDF" w14:textId="77777777" w:rsidR="00082EFF" w:rsidRDefault="00082EFF" w:rsidP="005B6558">
      <w:pPr>
        <w:rPr>
          <w:rFonts w:ascii="Palatino Linotype" w:hAnsi="Palatino Linotype" w:cs="Palatino Linotype"/>
          <w:iCs/>
        </w:rPr>
      </w:pPr>
    </w:p>
    <w:p w14:paraId="3F9DB6B7" w14:textId="3272CFA8" w:rsidR="00E466D6" w:rsidRDefault="000B3547" w:rsidP="005B6558">
      <w:pPr>
        <w:rPr>
          <w:rFonts w:ascii="Palatino Linotype" w:hAnsi="Palatino Linotype" w:cs="Palatino Linotype"/>
          <w:iCs/>
        </w:rPr>
      </w:pPr>
      <w:r>
        <w:rPr>
          <w:rFonts w:ascii="Palatino Linotype" w:hAnsi="Palatino Linotype" w:cs="Palatino Linotype"/>
          <w:iCs/>
        </w:rPr>
        <w:t>I recommend reading the</w:t>
      </w:r>
      <w:r w:rsidR="00FB7086">
        <w:rPr>
          <w:rFonts w:ascii="Palatino Linotype" w:hAnsi="Palatino Linotype" w:cs="Palatino Linotype"/>
          <w:iCs/>
        </w:rPr>
        <w:t xml:space="preserve"> other two </w:t>
      </w:r>
      <w:r>
        <w:rPr>
          <w:rFonts w:ascii="Palatino Linotype" w:hAnsi="Palatino Linotype" w:cs="Palatino Linotype"/>
          <w:iCs/>
        </w:rPr>
        <w:t xml:space="preserve">older </w:t>
      </w:r>
      <w:r w:rsidR="00FB7086">
        <w:rPr>
          <w:rFonts w:ascii="Palatino Linotype" w:hAnsi="Palatino Linotype" w:cs="Palatino Linotype"/>
          <w:iCs/>
        </w:rPr>
        <w:t xml:space="preserve">cases — </w:t>
      </w:r>
      <w:r w:rsidR="00FB7086">
        <w:rPr>
          <w:rFonts w:ascii="Palatino Linotype" w:hAnsi="Palatino Linotype" w:cs="Palatino Linotype"/>
          <w:i/>
        </w:rPr>
        <w:t xml:space="preserve">Donoghue </w:t>
      </w:r>
      <w:r w:rsidR="00FB7086">
        <w:rPr>
          <w:rFonts w:ascii="Palatino Linotype" w:hAnsi="Palatino Linotype" w:cs="Palatino Linotype"/>
          <w:iCs/>
        </w:rPr>
        <w:t xml:space="preserve">and </w:t>
      </w:r>
      <w:r w:rsidR="00FB7086">
        <w:rPr>
          <w:rFonts w:ascii="Palatino Linotype" w:hAnsi="Palatino Linotype" w:cs="Palatino Linotype"/>
          <w:i/>
        </w:rPr>
        <w:t xml:space="preserve">Caparo </w:t>
      </w:r>
      <w:r w:rsidR="00FB7086">
        <w:rPr>
          <w:rFonts w:ascii="Palatino Linotype" w:hAnsi="Palatino Linotype" w:cs="Palatino Linotype"/>
          <w:iCs/>
        </w:rPr>
        <w:t xml:space="preserve">— </w:t>
      </w:r>
      <w:r w:rsidR="00D85710">
        <w:rPr>
          <w:rFonts w:ascii="Palatino Linotype" w:hAnsi="Palatino Linotype" w:cs="Palatino Linotype"/>
          <w:iCs/>
        </w:rPr>
        <w:t xml:space="preserve">only </w:t>
      </w:r>
      <w:r>
        <w:rPr>
          <w:rFonts w:ascii="Palatino Linotype" w:hAnsi="Palatino Linotype" w:cs="Palatino Linotype"/>
          <w:iCs/>
        </w:rPr>
        <w:t xml:space="preserve">after you have read the modern cases. These </w:t>
      </w:r>
      <w:r w:rsidR="00FB7086">
        <w:rPr>
          <w:rFonts w:ascii="Palatino Linotype" w:hAnsi="Palatino Linotype" w:cs="Palatino Linotype"/>
          <w:iCs/>
        </w:rPr>
        <w:t xml:space="preserve">will help you to understand the history, and to better appreciate how the law developed to the point it is at now. </w:t>
      </w:r>
      <w:r>
        <w:rPr>
          <w:rFonts w:ascii="Palatino Linotype" w:hAnsi="Palatino Linotype" w:cs="Palatino Linotype"/>
          <w:iCs/>
        </w:rPr>
        <w:t xml:space="preserve">A warning is prudent. Do not get lost in the old cases. The law has changed recently. When I was a law student (not that long ago!) I was taught about something called the </w:t>
      </w:r>
      <w:r w:rsidR="00EA35DB">
        <w:rPr>
          <w:rFonts w:ascii="Palatino Linotype" w:hAnsi="Palatino Linotype" w:cs="Palatino Linotype"/>
          <w:iCs/>
        </w:rPr>
        <w:t>‘</w:t>
      </w:r>
      <w:r>
        <w:rPr>
          <w:rFonts w:ascii="Palatino Linotype" w:hAnsi="Palatino Linotype" w:cs="Palatino Linotype"/>
          <w:i/>
        </w:rPr>
        <w:t xml:space="preserve">Caparo </w:t>
      </w:r>
      <w:r>
        <w:rPr>
          <w:rFonts w:ascii="Palatino Linotype" w:hAnsi="Palatino Linotype" w:cs="Palatino Linotype"/>
          <w:iCs/>
        </w:rPr>
        <w:t>test</w:t>
      </w:r>
      <w:r w:rsidR="00EA35DB">
        <w:rPr>
          <w:rFonts w:ascii="Palatino Linotype" w:hAnsi="Palatino Linotype" w:cs="Palatino Linotype"/>
          <w:iCs/>
        </w:rPr>
        <w:t xml:space="preserve">’ </w:t>
      </w:r>
      <w:r>
        <w:rPr>
          <w:rFonts w:ascii="Palatino Linotype" w:hAnsi="Palatino Linotype" w:cs="Palatino Linotype"/>
          <w:iCs/>
        </w:rPr>
        <w:t xml:space="preserve">for duty of care. </w:t>
      </w:r>
      <w:r w:rsidRPr="00EC7B6D">
        <w:rPr>
          <w:rFonts w:ascii="Palatino Linotype" w:hAnsi="Palatino Linotype" w:cs="Palatino Linotype"/>
          <w:b/>
          <w:bCs/>
          <w:iCs/>
        </w:rPr>
        <w:t>That is no longer the law.</w:t>
      </w:r>
      <w:r>
        <w:rPr>
          <w:rFonts w:ascii="Palatino Linotype" w:hAnsi="Palatino Linotype" w:cs="Palatino Linotype"/>
          <w:iCs/>
        </w:rPr>
        <w:t xml:space="preserve"> Your job is to understand the law as it is now, not the law as it was </w:t>
      </w:r>
      <w:r w:rsidR="00E80EE4">
        <w:rPr>
          <w:rFonts w:ascii="Palatino Linotype" w:hAnsi="Palatino Linotype" w:cs="Palatino Linotype"/>
          <w:iCs/>
        </w:rPr>
        <w:t>when I was a student</w:t>
      </w:r>
      <w:r>
        <w:rPr>
          <w:rFonts w:ascii="Palatino Linotype" w:hAnsi="Palatino Linotype" w:cs="Palatino Linotype"/>
          <w:iCs/>
        </w:rPr>
        <w:t>.</w:t>
      </w:r>
    </w:p>
    <w:p w14:paraId="0503450C" w14:textId="77777777" w:rsidR="000B3547" w:rsidRPr="000B3547" w:rsidRDefault="000B3547" w:rsidP="005B6558">
      <w:pPr>
        <w:rPr>
          <w:rFonts w:ascii="Palatino Linotype" w:hAnsi="Palatino Linotype" w:cs="Palatino Linotype"/>
          <w:iCs/>
        </w:rPr>
      </w:pPr>
    </w:p>
    <w:p w14:paraId="41E8A596" w14:textId="3F91DD08" w:rsidR="00C30539" w:rsidRDefault="00C30539" w:rsidP="00C30539">
      <w:pPr>
        <w:jc w:val="both"/>
        <w:rPr>
          <w:rFonts w:ascii="Palatino Linotype" w:hAnsi="Palatino Linotype" w:cs="Palatino Linotype"/>
          <w:b/>
          <w:bCs/>
          <w:color w:val="000000" w:themeColor="text1"/>
        </w:rPr>
      </w:pPr>
      <w:r w:rsidRPr="0019314B">
        <w:rPr>
          <w:rFonts w:ascii="Palatino Linotype" w:hAnsi="Palatino Linotype" w:cs="Palatino Linotype"/>
          <w:b/>
          <w:bCs/>
          <w:color w:val="000000" w:themeColor="text1"/>
        </w:rPr>
        <w:t>Textbooks</w:t>
      </w:r>
      <w:r>
        <w:rPr>
          <w:rFonts w:ascii="Palatino Linotype" w:hAnsi="Palatino Linotype" w:cs="Palatino Linotype"/>
          <w:b/>
          <w:bCs/>
          <w:color w:val="000000" w:themeColor="text1"/>
        </w:rPr>
        <w:t>:</w:t>
      </w:r>
    </w:p>
    <w:p w14:paraId="7CFD6D40" w14:textId="763475A8" w:rsidR="002F36A1" w:rsidRPr="002F36A1" w:rsidRDefault="002F36A1" w:rsidP="00F66822">
      <w:pPr>
        <w:rPr>
          <w:rFonts w:ascii="Palatino Linotype" w:hAnsi="Palatino Linotype" w:cs="Palatino Linotype"/>
          <w:b/>
          <w:bCs/>
          <w:color w:val="0070C0"/>
        </w:rPr>
      </w:pPr>
      <w:r>
        <w:rPr>
          <w:rFonts w:ascii="Palatino Linotype" w:hAnsi="Palatino Linotype" w:cs="Palatino Linotype"/>
          <w:b/>
          <w:bCs/>
          <w:color w:val="0070C0"/>
        </w:rPr>
        <w:t>*H&amp;R</w:t>
      </w:r>
      <w:r w:rsidR="0039358F">
        <w:rPr>
          <w:rFonts w:ascii="Palatino Linotype" w:hAnsi="Palatino Linotype" w:cs="Palatino Linotype"/>
          <w:b/>
          <w:bCs/>
          <w:color w:val="0070C0"/>
        </w:rPr>
        <w:t>, Chs.2 &amp; 3 – ‘Introduction to the tort of negligence’ and ‘Duty of care: basic principles’</w:t>
      </w:r>
    </w:p>
    <w:p w14:paraId="59D96148" w14:textId="11FB0FF5" w:rsidR="00F66822" w:rsidRPr="00F66822" w:rsidRDefault="00F66822" w:rsidP="00F66822">
      <w:pPr>
        <w:rPr>
          <w:rFonts w:ascii="Palatino Linotype" w:hAnsi="Palatino Linotype" w:cs="Palatino Linotype"/>
        </w:rPr>
      </w:pPr>
      <w:r w:rsidRPr="00F66822">
        <w:rPr>
          <w:rFonts w:ascii="Palatino Linotype" w:hAnsi="Palatino Linotype" w:cs="Palatino Linotype"/>
        </w:rPr>
        <w:t xml:space="preserve">Winfield &amp; </w:t>
      </w:r>
      <w:proofErr w:type="spellStart"/>
      <w:r w:rsidRPr="00F66822">
        <w:rPr>
          <w:rFonts w:ascii="Palatino Linotype" w:hAnsi="Palatino Linotype" w:cs="Palatino Linotype"/>
        </w:rPr>
        <w:t>Jolowicz</w:t>
      </w:r>
      <w:proofErr w:type="spellEnd"/>
      <w:r w:rsidR="00F777A4">
        <w:rPr>
          <w:rFonts w:ascii="Palatino Linotype" w:hAnsi="Palatino Linotype" w:cs="Palatino Linotype"/>
        </w:rPr>
        <w:t xml:space="preserve"> (21</w:t>
      </w:r>
      <w:r w:rsidR="00F777A4" w:rsidRPr="00F777A4">
        <w:rPr>
          <w:rFonts w:ascii="Palatino Linotype" w:hAnsi="Palatino Linotype" w:cs="Palatino Linotype"/>
          <w:vertAlign w:val="superscript"/>
        </w:rPr>
        <w:t>st</w:t>
      </w:r>
      <w:r w:rsidR="00F777A4">
        <w:rPr>
          <w:rFonts w:ascii="Palatino Linotype" w:hAnsi="Palatino Linotype" w:cs="Palatino Linotype"/>
        </w:rPr>
        <w:t xml:space="preserve"> edition, 2025): 4-015</w:t>
      </w:r>
      <w:r w:rsidR="002050AC">
        <w:rPr>
          <w:rFonts w:ascii="Palatino Linotype" w:hAnsi="Palatino Linotype" w:cs="Palatino Linotype"/>
        </w:rPr>
        <w:t xml:space="preserve"> </w:t>
      </w:r>
      <w:r w:rsidR="00552911">
        <w:rPr>
          <w:rFonts w:ascii="Palatino Linotype" w:hAnsi="Palatino Linotype" w:cs="Palatino Linotype"/>
        </w:rPr>
        <w:t>–</w:t>
      </w:r>
      <w:r w:rsidR="002050AC">
        <w:rPr>
          <w:rFonts w:ascii="Palatino Linotype" w:hAnsi="Palatino Linotype" w:cs="Palatino Linotype"/>
        </w:rPr>
        <w:t xml:space="preserve"> </w:t>
      </w:r>
      <w:r w:rsidR="00F777A4">
        <w:rPr>
          <w:rFonts w:ascii="Palatino Linotype" w:hAnsi="Palatino Linotype" w:cs="Palatino Linotype"/>
        </w:rPr>
        <w:t>4-020</w:t>
      </w:r>
    </w:p>
    <w:p w14:paraId="21039EE3" w14:textId="22F337A5" w:rsidR="00C30539" w:rsidRDefault="00C30539" w:rsidP="00C30539">
      <w:pPr>
        <w:jc w:val="both"/>
        <w:rPr>
          <w:rFonts w:ascii="Palatino Linotype" w:hAnsi="Palatino Linotype" w:cs="Palatino Linotype"/>
          <w:b/>
          <w:bCs/>
          <w:color w:val="000000" w:themeColor="text1"/>
        </w:rPr>
      </w:pPr>
    </w:p>
    <w:p w14:paraId="0FF8DC99" w14:textId="77777777" w:rsidR="00C30539" w:rsidRPr="0019314B" w:rsidRDefault="00C30539" w:rsidP="00C30539">
      <w:pPr>
        <w:jc w:val="both"/>
        <w:rPr>
          <w:rFonts w:ascii="Palatino Linotype" w:hAnsi="Palatino Linotype"/>
          <w:b/>
          <w:color w:val="000000" w:themeColor="text1"/>
        </w:rPr>
      </w:pPr>
      <w:r w:rsidRPr="0019314B">
        <w:rPr>
          <w:rFonts w:ascii="Palatino Linotype" w:hAnsi="Palatino Linotype"/>
          <w:b/>
          <w:color w:val="000000" w:themeColor="text1"/>
        </w:rPr>
        <w:t>Core cases</w:t>
      </w:r>
    </w:p>
    <w:p w14:paraId="5113C4E8" w14:textId="38B21036" w:rsidR="00AF34D3" w:rsidRPr="00163D7B" w:rsidRDefault="00AF34D3" w:rsidP="00AF34D3">
      <w:pPr>
        <w:rPr>
          <w:rFonts w:ascii="Palatino Linotype" w:hAnsi="Palatino Linotype" w:cs="Palatino Linotype"/>
          <w:bCs/>
        </w:rPr>
      </w:pPr>
      <w:r w:rsidRPr="0019314B">
        <w:rPr>
          <w:rFonts w:ascii="Palatino Linotype" w:hAnsi="Palatino Linotype"/>
          <w:b/>
          <w:iCs/>
          <w:color w:val="0070C0"/>
        </w:rPr>
        <w:t>*</w:t>
      </w:r>
      <w:r w:rsidRPr="00163D7B">
        <w:rPr>
          <w:rFonts w:ascii="Palatino Linotype" w:hAnsi="Palatino Linotype" w:cs="Palatino Linotype"/>
          <w:b/>
          <w:i/>
          <w:iCs/>
          <w:color w:val="0070C0"/>
        </w:rPr>
        <w:t>Robinson v Chief Constable of West Yorkshire Police</w:t>
      </w:r>
      <w:r w:rsidRPr="00163D7B">
        <w:rPr>
          <w:rFonts w:ascii="Palatino Linotype" w:hAnsi="Palatino Linotype"/>
        </w:rPr>
        <w:t xml:space="preserve"> </w:t>
      </w:r>
      <w:r w:rsidRPr="00163D7B">
        <w:rPr>
          <w:rFonts w:ascii="Palatino Linotype" w:hAnsi="Palatino Linotype" w:cs="Palatino Linotype"/>
          <w:iCs/>
        </w:rPr>
        <w:t xml:space="preserve">[2018] UKSC 4 </w:t>
      </w:r>
      <w:r w:rsidR="000774CE">
        <w:rPr>
          <w:rFonts w:ascii="Palatino Linotype" w:hAnsi="Palatino Linotype" w:cs="Palatino Linotype"/>
          <w:iCs/>
        </w:rPr>
        <w:t>(</w:t>
      </w:r>
      <w:r w:rsidR="0088577F">
        <w:rPr>
          <w:rFonts w:ascii="Palatino Linotype" w:hAnsi="Palatino Linotype" w:cs="Palatino Linotype"/>
          <w:iCs/>
        </w:rPr>
        <w:t xml:space="preserve">focus </w:t>
      </w:r>
      <w:r w:rsidR="007B7C7D">
        <w:rPr>
          <w:rFonts w:ascii="Palatino Linotype" w:hAnsi="Palatino Linotype" w:cs="Palatino Linotype"/>
          <w:iCs/>
        </w:rPr>
        <w:t xml:space="preserve">especially </w:t>
      </w:r>
      <w:r w:rsidR="00F574E7">
        <w:rPr>
          <w:rFonts w:ascii="Palatino Linotype" w:hAnsi="Palatino Linotype" w:cs="Palatino Linotype"/>
          <w:iCs/>
        </w:rPr>
        <w:t xml:space="preserve">on </w:t>
      </w:r>
      <w:r w:rsidR="007B7C7D">
        <w:rPr>
          <w:rFonts w:ascii="Palatino Linotype" w:hAnsi="Palatino Linotype" w:cs="Palatino Linotype"/>
          <w:iCs/>
        </w:rPr>
        <w:t>para</w:t>
      </w:r>
      <w:r w:rsidR="00F574E7">
        <w:rPr>
          <w:rFonts w:ascii="Palatino Linotype" w:hAnsi="Palatino Linotype" w:cs="Palatino Linotype"/>
          <w:iCs/>
        </w:rPr>
        <w:t>s</w:t>
      </w:r>
      <w:r w:rsidR="007B7C7D">
        <w:rPr>
          <w:rFonts w:ascii="Palatino Linotype" w:hAnsi="Palatino Linotype" w:cs="Palatino Linotype"/>
          <w:iCs/>
        </w:rPr>
        <w:t xml:space="preserve"> 21-29</w:t>
      </w:r>
      <w:r w:rsidR="000774CE">
        <w:rPr>
          <w:rFonts w:ascii="Palatino Linotype" w:hAnsi="Palatino Linotype" w:cs="Palatino Linotype"/>
          <w:iCs/>
        </w:rPr>
        <w:t>)</w:t>
      </w:r>
    </w:p>
    <w:p w14:paraId="1D1BDDAC" w14:textId="0BF8FF2F" w:rsidR="00AF34D3" w:rsidRDefault="00AF34D3" w:rsidP="00C30539">
      <w:pPr>
        <w:rPr>
          <w:rFonts w:ascii="Palatino Linotype" w:hAnsi="Palatino Linotype"/>
        </w:rPr>
      </w:pPr>
      <w:r w:rsidRPr="00163D7B">
        <w:rPr>
          <w:rFonts w:ascii="Palatino Linotype" w:hAnsi="Palatino Linotype"/>
          <w:b/>
          <w:iCs/>
          <w:color w:val="0070C0"/>
        </w:rPr>
        <w:t>*</w:t>
      </w:r>
      <w:r w:rsidRPr="00163D7B">
        <w:rPr>
          <w:rFonts w:ascii="Palatino Linotype" w:hAnsi="Palatino Linotype"/>
          <w:b/>
          <w:i/>
          <w:color w:val="0070C0"/>
        </w:rPr>
        <w:t>Darnley v Croydon Health Services NHS Trust</w:t>
      </w:r>
      <w:r w:rsidRPr="00163D7B">
        <w:rPr>
          <w:rFonts w:ascii="Palatino Linotype" w:hAnsi="Palatino Linotype"/>
          <w:b/>
          <w:color w:val="0070C0"/>
        </w:rPr>
        <w:t xml:space="preserve"> </w:t>
      </w:r>
      <w:r w:rsidRPr="00163D7B">
        <w:rPr>
          <w:rFonts w:ascii="Palatino Linotype" w:hAnsi="Palatino Linotype"/>
        </w:rPr>
        <w:t>[2018] UKSC 50</w:t>
      </w:r>
    </w:p>
    <w:p w14:paraId="37F1D7B7" w14:textId="312F0B0F" w:rsidR="00D50291" w:rsidRPr="00D50291" w:rsidRDefault="00D50291" w:rsidP="00C30539">
      <w:pPr>
        <w:rPr>
          <w:rFonts w:ascii="Palatino Linotype" w:hAnsi="Palatino Linotype" w:cs="Palatino Linotype"/>
        </w:rPr>
      </w:pPr>
      <w:r>
        <w:rPr>
          <w:rStyle w:val="normaltextrun"/>
          <w:rFonts w:ascii="Palatino Linotype" w:hAnsi="Palatino Linotype"/>
          <w:b/>
          <w:bCs/>
          <w:i/>
          <w:iCs/>
          <w:color w:val="0070C0"/>
          <w:shd w:val="clear" w:color="auto" w:fill="FFFFFF"/>
        </w:rPr>
        <w:lastRenderedPageBreak/>
        <w:t>*</w:t>
      </w:r>
      <w:r w:rsidRPr="005B6558">
        <w:rPr>
          <w:rStyle w:val="normaltextrun"/>
          <w:rFonts w:ascii="Palatino Linotype" w:hAnsi="Palatino Linotype"/>
          <w:b/>
          <w:bCs/>
          <w:i/>
          <w:iCs/>
          <w:color w:val="0070C0"/>
          <w:shd w:val="clear" w:color="auto" w:fill="FFFFFF"/>
        </w:rPr>
        <w:t>ABC v St George’s Healthcare Trust</w:t>
      </w:r>
      <w:r w:rsidRPr="005B6558">
        <w:rPr>
          <w:rStyle w:val="normaltextrun"/>
          <w:rFonts w:ascii="Palatino Linotype" w:hAnsi="Palatino Linotype"/>
          <w:i/>
          <w:iCs/>
          <w:color w:val="0070C0"/>
          <w:shd w:val="clear" w:color="auto" w:fill="FFFFFF"/>
        </w:rPr>
        <w:t xml:space="preserve"> </w:t>
      </w:r>
      <w:r>
        <w:rPr>
          <w:rStyle w:val="normaltextrun"/>
          <w:rFonts w:ascii="Palatino Linotype" w:hAnsi="Palatino Linotype"/>
          <w:color w:val="000000"/>
          <w:shd w:val="clear" w:color="auto" w:fill="FFFFFF"/>
        </w:rPr>
        <w:t>[2020] EWHC 455 (QB) (N.b. focus on the discussion the legal issues, rather than the long and complex facts)</w:t>
      </w:r>
    </w:p>
    <w:p w14:paraId="04C5401D" w14:textId="131EBBEB" w:rsidR="009F220E" w:rsidRDefault="00C30539" w:rsidP="00C30539">
      <w:pPr>
        <w:rPr>
          <w:rFonts w:ascii="Palatino Linotype" w:hAnsi="Palatino Linotype" w:cs="Palatino Linotype"/>
          <w:b/>
          <w:color w:val="0070C0"/>
        </w:rPr>
      </w:pPr>
      <w:r w:rsidRPr="00163D7B">
        <w:rPr>
          <w:rFonts w:ascii="Palatino Linotype" w:hAnsi="Palatino Linotype" w:cs="Palatino Linotype"/>
          <w:b/>
          <w:color w:val="0070C0"/>
        </w:rPr>
        <w:t>*</w:t>
      </w:r>
      <w:r w:rsidR="009F220E" w:rsidRPr="00816932">
        <w:rPr>
          <w:rFonts w:ascii="Palatino Linotype" w:hAnsi="Palatino Linotype" w:cs="Palatino Linotype"/>
          <w:b/>
          <w:i/>
          <w:iCs/>
          <w:color w:val="0070C0"/>
        </w:rPr>
        <w:t>Donoghue v Stevenson</w:t>
      </w:r>
      <w:r w:rsidR="009F220E" w:rsidRPr="009F220E">
        <w:rPr>
          <w:rFonts w:ascii="Palatino Linotype" w:hAnsi="Palatino Linotype" w:cs="Palatino Linotype"/>
          <w:b/>
          <w:color w:val="0070C0"/>
        </w:rPr>
        <w:t xml:space="preserve"> </w:t>
      </w:r>
      <w:r w:rsidR="009F220E" w:rsidRPr="00816932">
        <w:rPr>
          <w:rFonts w:ascii="Palatino Linotype" w:hAnsi="Palatino Linotype" w:cs="Palatino Linotype"/>
          <w:bCs/>
          <w:color w:val="000000" w:themeColor="text1"/>
        </w:rPr>
        <w:t>[1932] AC 562</w:t>
      </w:r>
    </w:p>
    <w:p w14:paraId="2F31588C" w14:textId="77777777" w:rsidR="00AF34D3" w:rsidRDefault="009F220E" w:rsidP="00AF34D3">
      <w:p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i/>
          <w:iCs/>
          <w:color w:val="0070C0"/>
        </w:rPr>
        <w:t>*</w:t>
      </w:r>
      <w:r w:rsidR="00C30539" w:rsidRPr="00163D7B">
        <w:rPr>
          <w:rFonts w:ascii="Palatino Linotype" w:hAnsi="Palatino Linotype" w:cs="Palatino Linotype"/>
          <w:b/>
          <w:i/>
          <w:iCs/>
          <w:color w:val="0070C0"/>
        </w:rPr>
        <w:t>Caparo Industries plc v Dickman</w:t>
      </w:r>
      <w:r w:rsidR="00C30539" w:rsidRPr="00163D7B">
        <w:rPr>
          <w:rFonts w:ascii="Palatino Linotype" w:hAnsi="Palatino Linotype" w:cs="Palatino Linotype"/>
          <w:i/>
          <w:iCs/>
        </w:rPr>
        <w:t xml:space="preserve"> </w:t>
      </w:r>
      <w:r w:rsidR="00C30539" w:rsidRPr="00163D7B">
        <w:rPr>
          <w:rFonts w:ascii="Palatino Linotype" w:hAnsi="Palatino Linotype" w:cs="Palatino Linotype"/>
        </w:rPr>
        <w:t>[1990] 2 AC 605</w:t>
      </w:r>
    </w:p>
    <w:p w14:paraId="62C91DD8" w14:textId="2D919565" w:rsidR="001239A8" w:rsidRPr="001239A8" w:rsidRDefault="001239A8" w:rsidP="001239A8">
      <w:pPr>
        <w:rPr>
          <w:rFonts w:ascii="Palatino Linotype" w:hAnsi="Palatino Linotype"/>
        </w:rPr>
      </w:pPr>
      <w:r w:rsidRPr="001239A8">
        <w:rPr>
          <w:rFonts w:ascii="Palatino Linotype" w:hAnsi="Palatino Linotype"/>
          <w:b/>
          <w:bCs/>
          <w:color w:val="0070C0"/>
        </w:rPr>
        <w:t>*</w:t>
      </w:r>
      <w:r w:rsidRPr="001239A8">
        <w:rPr>
          <w:rFonts w:ascii="Palatino Linotype" w:hAnsi="Palatino Linotype" w:cs="Palatino Linotype"/>
          <w:b/>
          <w:bCs/>
          <w:i/>
          <w:iCs/>
          <w:color w:val="0070C0"/>
        </w:rPr>
        <w:t>Dryden &amp; Ors v Johnson Matthey PLC</w:t>
      </w:r>
      <w:r w:rsidRPr="001239A8">
        <w:rPr>
          <w:rFonts w:ascii="Palatino Linotype" w:hAnsi="Palatino Linotype" w:cs="Palatino Linotype"/>
          <w:bCs/>
          <w:i/>
          <w:iCs/>
          <w:color w:val="0070C0"/>
        </w:rPr>
        <w:t xml:space="preserve"> </w:t>
      </w:r>
      <w:r w:rsidRPr="00F66822">
        <w:rPr>
          <w:rFonts w:ascii="Palatino Linotype" w:hAnsi="Palatino Linotype" w:cs="Palatino Linotype"/>
          <w:bCs/>
          <w:iCs/>
          <w:color w:val="000000" w:themeColor="text1"/>
        </w:rPr>
        <w:t>[2018] UKSC 18</w:t>
      </w:r>
    </w:p>
    <w:p w14:paraId="29FC4705" w14:textId="77777777" w:rsidR="00C30539" w:rsidRPr="0019314B" w:rsidRDefault="00C30539" w:rsidP="00C30539">
      <w:pPr>
        <w:ind w:right="26"/>
        <w:jc w:val="both"/>
        <w:rPr>
          <w:rFonts w:ascii="Palatino Linotype" w:hAnsi="Palatino Linotype"/>
          <w:i/>
          <w:iCs/>
        </w:rPr>
      </w:pPr>
    </w:p>
    <w:p w14:paraId="4E3D4E07" w14:textId="77777777" w:rsidR="00C30539" w:rsidRPr="0019314B" w:rsidRDefault="00C30539" w:rsidP="00C30539">
      <w:pPr>
        <w:jc w:val="both"/>
        <w:rPr>
          <w:rFonts w:ascii="Palatino Linotype" w:hAnsi="Palatino Linotype"/>
          <w:b/>
        </w:rPr>
      </w:pPr>
      <w:r w:rsidRPr="0019314B">
        <w:rPr>
          <w:rFonts w:ascii="Palatino Linotype" w:hAnsi="Palatino Linotype"/>
          <w:b/>
        </w:rPr>
        <w:t>Additional cases</w:t>
      </w:r>
    </w:p>
    <w:p w14:paraId="643348E9" w14:textId="280EDA93" w:rsidR="00F66822" w:rsidRPr="00F66822" w:rsidRDefault="00F66822" w:rsidP="00F66822">
      <w:pPr>
        <w:rPr>
          <w:rFonts w:ascii="Palatino Linotype" w:hAnsi="Palatino Linotype" w:cs="Palatino Linotype"/>
          <w:bCs/>
          <w:color w:val="000000" w:themeColor="text1"/>
        </w:rPr>
      </w:pPr>
      <w:r w:rsidRPr="00F66822">
        <w:rPr>
          <w:rFonts w:ascii="Palatino Linotype" w:hAnsi="Palatino Linotype" w:cs="Palatino Linotype"/>
          <w:bCs/>
          <w:i/>
          <w:iCs/>
          <w:color w:val="000000" w:themeColor="text1"/>
        </w:rPr>
        <w:t>Haley v London Electricity Board Respondents</w:t>
      </w:r>
      <w:r w:rsidRPr="00F66822">
        <w:rPr>
          <w:rFonts w:ascii="Palatino Linotype" w:hAnsi="Palatino Linotype" w:cs="Palatino Linotype"/>
          <w:bCs/>
          <w:color w:val="000000" w:themeColor="text1"/>
        </w:rPr>
        <w:t xml:space="preserve"> [1965] AC 778 (Judgments of Lords Reid and Hodson only)</w:t>
      </w:r>
    </w:p>
    <w:p w14:paraId="36CE39D2" w14:textId="70E7AF3A" w:rsidR="000E49AD" w:rsidRDefault="00F66822" w:rsidP="000E49AD">
      <w:pPr>
        <w:rPr>
          <w:rFonts w:ascii="Palatino Linotype" w:hAnsi="Palatino Linotype" w:cs="Palatino Linotype"/>
          <w:bCs/>
          <w:color w:val="000000" w:themeColor="text1"/>
        </w:rPr>
      </w:pPr>
      <w:r w:rsidRPr="00F66822">
        <w:rPr>
          <w:rFonts w:ascii="Palatino Linotype" w:hAnsi="Palatino Linotype" w:cs="Palatino Linotype"/>
          <w:bCs/>
          <w:i/>
          <w:iCs/>
          <w:color w:val="000000" w:themeColor="text1"/>
        </w:rPr>
        <w:t xml:space="preserve">The Nicholas H </w:t>
      </w:r>
      <w:r w:rsidRPr="00F66822">
        <w:rPr>
          <w:rFonts w:ascii="Palatino Linotype" w:hAnsi="Palatino Linotype" w:cs="Palatino Linotype"/>
          <w:bCs/>
          <w:color w:val="000000" w:themeColor="text1"/>
        </w:rPr>
        <w:t>[1996] 1 AC 211</w:t>
      </w:r>
    </w:p>
    <w:p w14:paraId="033A3AFC" w14:textId="7A8E35E7" w:rsidR="00F75B3E" w:rsidRDefault="00F75B3E" w:rsidP="000E49AD">
      <w:pPr>
        <w:rPr>
          <w:rFonts w:ascii="Palatino Linotype" w:hAnsi="Palatino Linotype" w:cs="Palatino Linotype"/>
          <w:bCs/>
          <w:color w:val="000000" w:themeColor="text1"/>
        </w:rPr>
      </w:pPr>
      <w:r w:rsidRPr="00F75B3E">
        <w:rPr>
          <w:rFonts w:ascii="Palatino Linotype" w:hAnsi="Palatino Linotype" w:cs="Palatino Linotype"/>
          <w:bCs/>
          <w:i/>
          <w:iCs/>
          <w:color w:val="000000" w:themeColor="text1"/>
        </w:rPr>
        <w:t xml:space="preserve">Michael v Chief Constable of South Wales Police </w:t>
      </w:r>
      <w:r w:rsidRPr="00F75B3E">
        <w:rPr>
          <w:rFonts w:ascii="Palatino Linotype" w:hAnsi="Palatino Linotype" w:cs="Palatino Linotype"/>
          <w:bCs/>
          <w:color w:val="000000" w:themeColor="text1"/>
        </w:rPr>
        <w:t>[2015] AC 1732</w:t>
      </w:r>
    </w:p>
    <w:p w14:paraId="3CB6EAA9" w14:textId="5FB131D8" w:rsidR="0032354B" w:rsidRPr="0032354B" w:rsidRDefault="0032354B" w:rsidP="000E49AD">
      <w:pPr>
        <w:rPr>
          <w:rFonts w:ascii="Palatino Linotype" w:hAnsi="Palatino Linotype" w:cs="Palatino Linotype"/>
          <w:bCs/>
          <w:color w:val="000000" w:themeColor="text1"/>
        </w:rPr>
      </w:pPr>
      <w:r w:rsidRPr="0032354B">
        <w:rPr>
          <w:rFonts w:ascii="Palatino Linotype" w:hAnsi="Palatino Linotype" w:cs="Palatino Linotype"/>
          <w:bCs/>
          <w:i/>
          <w:iCs/>
          <w:color w:val="000000" w:themeColor="text1"/>
        </w:rPr>
        <w:t>James-Bowen v Commissioner of Police of the Metropolis</w:t>
      </w:r>
      <w:r>
        <w:rPr>
          <w:rFonts w:ascii="Palatino Linotype" w:hAnsi="Palatino Linotype" w:cs="Palatino Linotype"/>
          <w:bCs/>
          <w:i/>
          <w:iCs/>
          <w:color w:val="000000" w:themeColor="text1"/>
        </w:rPr>
        <w:t xml:space="preserve"> </w:t>
      </w:r>
      <w:r w:rsidRPr="0032354B">
        <w:rPr>
          <w:rFonts w:ascii="Palatino Linotype" w:hAnsi="Palatino Linotype" w:cs="Palatino Linotype"/>
          <w:bCs/>
          <w:color w:val="000000" w:themeColor="text1"/>
        </w:rPr>
        <w:t>[2018] UKSC 40</w:t>
      </w:r>
    </w:p>
    <w:p w14:paraId="619FB1CC" w14:textId="77777777" w:rsidR="00C30539" w:rsidRPr="0019314B" w:rsidRDefault="00C30539" w:rsidP="00C30539">
      <w:pPr>
        <w:jc w:val="both"/>
        <w:rPr>
          <w:rFonts w:ascii="Palatino Linotype" w:hAnsi="Palatino Linotype"/>
        </w:rPr>
      </w:pPr>
    </w:p>
    <w:p w14:paraId="4674D5A5" w14:textId="77777777" w:rsidR="00C30539" w:rsidRPr="0019314B" w:rsidRDefault="00C30539" w:rsidP="00C30539">
      <w:pPr>
        <w:jc w:val="both"/>
        <w:rPr>
          <w:rFonts w:ascii="Palatino Linotype" w:hAnsi="Palatino Linotype"/>
          <w:b/>
          <w:bCs/>
        </w:rPr>
      </w:pPr>
      <w:r w:rsidRPr="0019314B">
        <w:rPr>
          <w:rFonts w:ascii="Palatino Linotype" w:hAnsi="Palatino Linotype"/>
          <w:b/>
          <w:bCs/>
        </w:rPr>
        <w:t>Articles</w:t>
      </w:r>
    </w:p>
    <w:p w14:paraId="3D803643" w14:textId="77777777" w:rsidR="000E49AD" w:rsidRDefault="00C30539" w:rsidP="003D17E9">
      <w:pPr>
        <w:rPr>
          <w:rStyle w:val="normaltextrun"/>
          <w:rFonts w:ascii="Palatino Linotype" w:hAnsi="Palatino Linotype"/>
          <w:b/>
          <w:bCs/>
          <w:color w:val="0070C0"/>
          <w:shd w:val="clear" w:color="auto" w:fill="FFFFFF"/>
        </w:rPr>
      </w:pPr>
      <w:r w:rsidRPr="0019314B">
        <w:rPr>
          <w:rStyle w:val="IntenseEmphasis"/>
          <w:rFonts w:ascii="Palatino Linotype" w:hAnsi="Palatino Linotype"/>
        </w:rPr>
        <w:t>*</w:t>
      </w:r>
      <w:r w:rsidR="003D17E9" w:rsidRPr="005B6558">
        <w:rPr>
          <w:rStyle w:val="normaltextrun"/>
          <w:rFonts w:ascii="Palatino Linotype" w:hAnsi="Palatino Linotype"/>
          <w:b/>
          <w:bCs/>
          <w:color w:val="0070C0"/>
          <w:shd w:val="clear" w:color="auto" w:fill="FFFFFF"/>
        </w:rPr>
        <w:t>N McBride, “</w:t>
      </w:r>
      <w:r w:rsidR="003D17E9" w:rsidRPr="005B6558">
        <w:rPr>
          <w:rStyle w:val="normaltextrun"/>
          <w:rFonts w:ascii="Palatino Linotype" w:hAnsi="Palatino Linotype"/>
          <w:b/>
          <w:bCs/>
          <w:i/>
          <w:iCs/>
          <w:color w:val="0070C0"/>
          <w:shd w:val="clear" w:color="auto" w:fill="FFFFFF"/>
        </w:rPr>
        <w:t>Robinson</w:t>
      </w:r>
      <w:r w:rsidR="003D17E9" w:rsidRPr="005B6558">
        <w:rPr>
          <w:rStyle w:val="normaltextrun"/>
          <w:rFonts w:ascii="Palatino Linotype" w:hAnsi="Palatino Linotype"/>
          <w:b/>
          <w:bCs/>
          <w:color w:val="0070C0"/>
          <w:shd w:val="clear" w:color="auto" w:fill="FFFFFF"/>
        </w:rPr>
        <w:t>” case note (</w:t>
      </w:r>
      <w:hyperlink r:id="rId10" w:tgtFrame="_blank" w:history="1">
        <w:r w:rsidR="003D17E9" w:rsidRPr="005B6558">
          <w:rPr>
            <w:rStyle w:val="normaltextrun"/>
            <w:rFonts w:ascii="Palatino Linotype" w:hAnsi="Palatino Linotype"/>
            <w:b/>
            <w:bCs/>
            <w:color w:val="0070C0"/>
            <w:shd w:val="clear" w:color="auto" w:fill="FFFFFF"/>
          </w:rPr>
          <w:t>https://mcbridesguides.com/wp-content/uploads/2018/03/Robinson-v-Chief-Constable-of-West-Yorkshire.pdf</w:t>
        </w:r>
      </w:hyperlink>
      <w:r w:rsidR="003D17E9" w:rsidRPr="005B6558">
        <w:rPr>
          <w:rStyle w:val="normaltextrun"/>
          <w:rFonts w:ascii="Palatino Linotype" w:hAnsi="Palatino Linotype"/>
          <w:b/>
          <w:bCs/>
          <w:color w:val="0070C0"/>
          <w:shd w:val="clear" w:color="auto" w:fill="FFFFFF"/>
        </w:rPr>
        <w:t>)</w:t>
      </w:r>
    </w:p>
    <w:p w14:paraId="46CA45C6" w14:textId="6A83FE7C" w:rsidR="003D17E9" w:rsidRPr="000E49AD" w:rsidRDefault="000E49AD" w:rsidP="003D17E9">
      <w:pPr>
        <w:rPr>
          <w:rFonts w:ascii="Palatino Linotype" w:hAnsi="Palatino Linotype"/>
          <w:color w:val="000000" w:themeColor="text1"/>
        </w:rPr>
      </w:pPr>
      <w:r w:rsidRPr="000E49AD">
        <w:rPr>
          <w:rStyle w:val="normaltextrun"/>
          <w:rFonts w:ascii="Palatino Linotype" w:hAnsi="Palatino Linotype"/>
          <w:color w:val="000000" w:themeColor="text1"/>
          <w:shd w:val="clear" w:color="auto" w:fill="FFFFFF"/>
        </w:rPr>
        <w:t xml:space="preserve">D Nolan, ‘Deconstructing the Duty of Care’ (2013) 129 </w:t>
      </w:r>
      <w:r w:rsidRPr="000E49AD">
        <w:rPr>
          <w:rStyle w:val="normaltextrun"/>
          <w:rFonts w:ascii="Palatino Linotype" w:hAnsi="Palatino Linotype"/>
          <w:i/>
          <w:iCs/>
          <w:color w:val="000000" w:themeColor="text1"/>
          <w:shd w:val="clear" w:color="auto" w:fill="FFFFFF"/>
        </w:rPr>
        <w:t>Law Quarterly Review</w:t>
      </w:r>
      <w:r w:rsidR="003D17E9" w:rsidRPr="000E49AD">
        <w:rPr>
          <w:rStyle w:val="normaltextrun"/>
          <w:rFonts w:ascii="Palatino Linotype" w:hAnsi="Palatino Linotype"/>
          <w:color w:val="000000" w:themeColor="text1"/>
          <w:shd w:val="clear" w:color="auto" w:fill="FFFFFF"/>
        </w:rPr>
        <w:t> </w:t>
      </w:r>
      <w:r w:rsidRPr="000E49AD">
        <w:rPr>
          <w:rStyle w:val="normaltextrun"/>
          <w:rFonts w:ascii="Palatino Linotype" w:hAnsi="Palatino Linotype"/>
          <w:color w:val="000000" w:themeColor="text1"/>
          <w:shd w:val="clear" w:color="auto" w:fill="FFFFFF"/>
        </w:rPr>
        <w:t>559-588</w:t>
      </w:r>
      <w:r w:rsidR="003D17E9" w:rsidRPr="000E49AD">
        <w:rPr>
          <w:rStyle w:val="eop"/>
          <w:rFonts w:ascii="Palatino Linotype" w:hAnsi="Palatino Linotype"/>
          <w:color w:val="000000" w:themeColor="text1"/>
          <w:shd w:val="clear" w:color="auto" w:fill="FFFFFF"/>
        </w:rPr>
        <w:t> </w:t>
      </w:r>
    </w:p>
    <w:p w14:paraId="30E634AE" w14:textId="6AA68010" w:rsidR="00E466D6" w:rsidRPr="003D17E9" w:rsidRDefault="00E466D6" w:rsidP="003D17E9">
      <w:pPr>
        <w:jc w:val="both"/>
        <w:rPr>
          <w:rFonts w:ascii="Palatino Linotype" w:hAnsi="Palatino Linotype"/>
          <w:color w:val="000000" w:themeColor="text1"/>
        </w:rPr>
      </w:pPr>
      <w:r w:rsidRPr="003D17E9">
        <w:rPr>
          <w:rFonts w:ascii="Palatino Linotype" w:hAnsi="Palatino Linotype" w:cs="Palatino Linotype"/>
          <w:color w:val="000000" w:themeColor="text1"/>
        </w:rPr>
        <w:t>J Morgan, ‘Nonfeasance and the end of policy? Reflections on the revolution in public authority liability’</w:t>
      </w:r>
      <w:r w:rsidRPr="003D17E9">
        <w:rPr>
          <w:rFonts w:ascii="Palatino Linotype" w:hAnsi="Palatino Linotype"/>
          <w:color w:val="000000" w:themeColor="text1"/>
        </w:rPr>
        <w:t xml:space="preserve"> </w:t>
      </w:r>
      <w:r w:rsidRPr="003D17E9">
        <w:rPr>
          <w:rFonts w:ascii="Palatino Linotype" w:hAnsi="Palatino Linotype" w:cs="Palatino Linotype"/>
          <w:iCs/>
          <w:color w:val="000000" w:themeColor="text1"/>
        </w:rPr>
        <w:t xml:space="preserve">(2019) 35 </w:t>
      </w:r>
      <w:r w:rsidRPr="003D17E9">
        <w:rPr>
          <w:rFonts w:ascii="Palatino Linotype" w:hAnsi="Palatino Linotype" w:cs="Palatino Linotype"/>
          <w:i/>
          <w:color w:val="000000" w:themeColor="text1"/>
        </w:rPr>
        <w:t>Journal of Professional Negligence</w:t>
      </w:r>
      <w:r w:rsidRPr="003D17E9">
        <w:rPr>
          <w:rFonts w:ascii="Palatino Linotype" w:hAnsi="Palatino Linotype" w:cs="Palatino Linotype"/>
          <w:iCs/>
          <w:color w:val="000000" w:themeColor="text1"/>
        </w:rPr>
        <w:t xml:space="preserve"> 32</w:t>
      </w:r>
      <w:r w:rsidR="008D5C32">
        <w:rPr>
          <w:rFonts w:ascii="Palatino Linotype" w:hAnsi="Palatino Linotype" w:cs="Palatino Linotype"/>
          <w:iCs/>
          <w:color w:val="000000" w:themeColor="text1"/>
        </w:rPr>
        <w:t xml:space="preserve"> (R</w:t>
      </w:r>
      <w:r w:rsidRPr="003D17E9">
        <w:rPr>
          <w:rFonts w:ascii="Palatino Linotype" w:hAnsi="Palatino Linotype" w:cs="Palatino Linotype"/>
          <w:iCs/>
          <w:color w:val="000000" w:themeColor="text1"/>
        </w:rPr>
        <w:t>ead pages 32–41 only</w:t>
      </w:r>
      <w:r w:rsidR="008D5C32">
        <w:rPr>
          <w:rFonts w:ascii="Palatino Linotype" w:hAnsi="Palatino Linotype" w:cs="Palatino Linotype"/>
          <w:iCs/>
          <w:color w:val="000000" w:themeColor="text1"/>
        </w:rPr>
        <w:t>)</w:t>
      </w:r>
    </w:p>
    <w:p w14:paraId="649AB05C" w14:textId="34A3360C" w:rsidR="00E466D6" w:rsidRDefault="00E466D6" w:rsidP="005B6558">
      <w:pPr>
        <w:rPr>
          <w:rFonts w:ascii="Palatino Linotype" w:hAnsi="Palatino Linotype" w:cs="Palatino Linotype"/>
          <w:b/>
          <w:bCs/>
        </w:rPr>
      </w:pPr>
    </w:p>
    <w:p w14:paraId="6E8DE060" w14:textId="77777777" w:rsidR="00502212" w:rsidRDefault="00502212" w:rsidP="005B6558">
      <w:pPr>
        <w:rPr>
          <w:rFonts w:ascii="Palatino Linotype" w:hAnsi="Palatino Linotype" w:cs="Palatino Linotype"/>
          <w:b/>
          <w:bCs/>
          <w:u w:val="single"/>
        </w:rPr>
      </w:pPr>
    </w:p>
    <w:p w14:paraId="54E04E7B" w14:textId="3C2F9981" w:rsidR="00A03DEA" w:rsidRDefault="00502212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Palatino Linotype" w:hAnsi="Palatino Linotype" w:cs="Palatino Linotype"/>
          <w:b/>
          <w:bCs/>
          <w:u w:val="single"/>
        </w:rPr>
      </w:pPr>
      <w:r>
        <w:rPr>
          <w:rFonts w:ascii="Palatino Linotype" w:hAnsi="Palatino Linotype" w:cs="Palatino Linotype"/>
          <w:b/>
          <w:bCs/>
          <w:u w:val="single"/>
        </w:rPr>
        <w:t>Beyond tort</w:t>
      </w:r>
    </w:p>
    <w:p w14:paraId="73712D9B" w14:textId="78C742E3" w:rsidR="00502212" w:rsidRDefault="00502212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Palatino Linotype" w:hAnsi="Palatino Linotype" w:cs="Palatino Linotype"/>
          <w:b/>
          <w:bCs/>
          <w:u w:val="single"/>
        </w:rPr>
      </w:pPr>
    </w:p>
    <w:p w14:paraId="0F5E04BD" w14:textId="4CF73404" w:rsidR="00AA2EA1" w:rsidRPr="00AA2EA1" w:rsidRDefault="00AA2EA1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Read: Donna Tart, </w:t>
      </w:r>
      <w:r>
        <w:rPr>
          <w:rFonts w:ascii="Palatino Linotype" w:hAnsi="Palatino Linotype" w:cs="Palatino Linotype"/>
          <w:i/>
          <w:iCs/>
        </w:rPr>
        <w:t>The Secret History</w:t>
      </w:r>
      <w:r>
        <w:rPr>
          <w:rFonts w:ascii="Palatino Linotype" w:hAnsi="Palatino Linotype" w:cs="Palatino Linotype"/>
        </w:rPr>
        <w:t>. A well-loved whodunnit about a group of students in the US and their weird Professor. Hopefully your time at Lancaster will be nothing like this.</w:t>
      </w:r>
    </w:p>
    <w:p w14:paraId="08824148" w14:textId="77777777" w:rsidR="00AA2EA1" w:rsidRDefault="00AA2EA1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Palatino Linotype" w:hAnsi="Palatino Linotype" w:cs="Palatino Linotype"/>
          <w:b/>
          <w:bCs/>
          <w:u w:val="single"/>
        </w:rPr>
      </w:pPr>
    </w:p>
    <w:p w14:paraId="22A9FF27" w14:textId="5C479DB7" w:rsidR="00502212" w:rsidRDefault="00AA2EA1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Watch: </w:t>
      </w:r>
      <w:r w:rsidR="00AD37CF" w:rsidRPr="00831E30">
        <w:rPr>
          <w:rFonts w:ascii="Palatino Linotype" w:hAnsi="Palatino Linotype" w:cs="Palatino Linotype"/>
          <w:i/>
          <w:iCs/>
        </w:rPr>
        <w:t>The Sopranos</w:t>
      </w:r>
      <w:r w:rsidR="00AD37CF">
        <w:rPr>
          <w:rFonts w:ascii="Palatino Linotype" w:hAnsi="Palatino Linotype" w:cs="Palatino Linotype"/>
        </w:rPr>
        <w:t>. *The* classic TV show, which shaped the course of TV history. It really needs no introduction.</w:t>
      </w:r>
    </w:p>
    <w:p w14:paraId="0A6C0DF6" w14:textId="4E100FA1" w:rsidR="00AA2EA1" w:rsidRDefault="00AA2EA1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Palatino Linotype" w:hAnsi="Palatino Linotype" w:cs="Palatino Linotype"/>
        </w:rPr>
      </w:pPr>
    </w:p>
    <w:p w14:paraId="19C79F46" w14:textId="6C0006E7" w:rsidR="00502212" w:rsidRPr="00AD37CF" w:rsidRDefault="00AA2EA1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Listen:</w:t>
      </w:r>
      <w:r w:rsidR="00AD37CF">
        <w:rPr>
          <w:rFonts w:ascii="Palatino Linotype" w:hAnsi="Palatino Linotype" w:cs="Palatino Linotype"/>
        </w:rPr>
        <w:t xml:space="preserve"> Anything by rapper MF DOOM, but </w:t>
      </w:r>
      <w:r w:rsidR="00A03DEA">
        <w:rPr>
          <w:rFonts w:ascii="Palatino Linotype" w:hAnsi="Palatino Linotype" w:cs="Palatino Linotype"/>
        </w:rPr>
        <w:t>I advise starting with</w:t>
      </w:r>
      <w:r w:rsidR="00AD37CF">
        <w:rPr>
          <w:rFonts w:ascii="Palatino Linotype" w:hAnsi="Palatino Linotype" w:cs="Palatino Linotype"/>
        </w:rPr>
        <w:t xml:space="preserve"> his most popular album with producer Madlib, called </w:t>
      </w:r>
      <w:proofErr w:type="spellStart"/>
      <w:r w:rsidR="00AD37CF">
        <w:rPr>
          <w:rFonts w:ascii="Palatino Linotype" w:hAnsi="Palatino Linotype" w:cs="Palatino Linotype"/>
          <w:i/>
          <w:iCs/>
        </w:rPr>
        <w:t>Madvillany</w:t>
      </w:r>
      <w:proofErr w:type="spellEnd"/>
      <w:r w:rsidR="00AD37CF">
        <w:rPr>
          <w:rFonts w:ascii="Palatino Linotype" w:hAnsi="Palatino Linotype" w:cs="Palatino Linotype"/>
        </w:rPr>
        <w:t xml:space="preserve">. Prepare to enter the wonderful, whimsical world of DOOM, the supervillain, free from any of the bravado and self-aggrandisement of most modern </w:t>
      </w:r>
      <w:r w:rsidR="00826B4E">
        <w:rPr>
          <w:rFonts w:ascii="Palatino Linotype" w:hAnsi="Palatino Linotype" w:cs="Palatino Linotype"/>
        </w:rPr>
        <w:t xml:space="preserve">so-called </w:t>
      </w:r>
      <w:r w:rsidR="00AD37CF">
        <w:rPr>
          <w:rFonts w:ascii="Palatino Linotype" w:hAnsi="Palatino Linotype" w:cs="Palatino Linotype"/>
        </w:rPr>
        <w:t xml:space="preserve">‘rappers’. </w:t>
      </w:r>
    </w:p>
    <w:sectPr w:rsidR="00502212" w:rsidRPr="00AD37CF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8F55" w14:textId="77777777" w:rsidR="00941538" w:rsidRDefault="00941538" w:rsidP="00E466D6">
      <w:r>
        <w:separator/>
      </w:r>
    </w:p>
  </w:endnote>
  <w:endnote w:type="continuationSeparator" w:id="0">
    <w:p w14:paraId="6F419B8C" w14:textId="77777777" w:rsidR="00941538" w:rsidRDefault="00941538" w:rsidP="00E466D6">
      <w:r>
        <w:continuationSeparator/>
      </w:r>
    </w:p>
  </w:endnote>
  <w:endnote w:type="continuationNotice" w:id="1">
    <w:p w14:paraId="6D14822A" w14:textId="77777777" w:rsidR="00941538" w:rsidRDefault="009415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ngs Caslon Text">
    <w:altName w:val="Calibri"/>
    <w:panose1 w:val="020B0604020202020204"/>
    <w:charset w:val="00"/>
    <w:family w:val="auto"/>
    <w:pitch w:val="variable"/>
    <w:sig w:usb0="A00000AF" w:usb1="5000205B" w:usb2="00000000" w:usb3="00000000" w:csb0="0000009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3164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BD83DD" w14:textId="28B06BF9" w:rsidR="00E466D6" w:rsidRDefault="00E466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27875F" w14:textId="77777777" w:rsidR="00E466D6" w:rsidRDefault="00E46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BCFDE" w14:textId="77777777" w:rsidR="00941538" w:rsidRDefault="00941538" w:rsidP="00E466D6">
      <w:r>
        <w:separator/>
      </w:r>
    </w:p>
  </w:footnote>
  <w:footnote w:type="continuationSeparator" w:id="0">
    <w:p w14:paraId="22D27983" w14:textId="77777777" w:rsidR="00941538" w:rsidRDefault="00941538" w:rsidP="00E466D6">
      <w:r>
        <w:continuationSeparator/>
      </w:r>
    </w:p>
  </w:footnote>
  <w:footnote w:type="continuationNotice" w:id="1">
    <w:p w14:paraId="448959C5" w14:textId="77777777" w:rsidR="00941538" w:rsidRDefault="0094153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3E75"/>
    <w:multiLevelType w:val="hybridMultilevel"/>
    <w:tmpl w:val="BFFEF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2" w:tplc="9DE8502A">
      <w:numFmt w:val="bullet"/>
      <w:lvlText w:val="-"/>
      <w:lvlJc w:val="left"/>
      <w:pPr>
        <w:ind w:left="1069" w:hanging="360"/>
      </w:pPr>
      <w:rPr>
        <w:rFonts w:ascii="Kings Caslon Text" w:eastAsia="Times New Roman" w:hAnsi="Kings Caslon Text" w:cs="Palatino Linotype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34C5C"/>
    <w:multiLevelType w:val="hybridMultilevel"/>
    <w:tmpl w:val="FD2894AE"/>
    <w:lvl w:ilvl="0" w:tplc="5288A1E6">
      <w:start w:val="1"/>
      <w:numFmt w:val="lowerRoman"/>
      <w:lvlText w:val="(%1)"/>
      <w:lvlJc w:val="left"/>
      <w:pPr>
        <w:ind w:left="1080" w:hanging="720"/>
      </w:pPr>
      <w:rPr>
        <w:rFonts w:hint="default"/>
        <w:i/>
        <w:i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04102"/>
    <w:multiLevelType w:val="hybridMultilevel"/>
    <w:tmpl w:val="3A0E844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76426BA"/>
    <w:multiLevelType w:val="hybridMultilevel"/>
    <w:tmpl w:val="4758929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90A41C2"/>
    <w:multiLevelType w:val="hybridMultilevel"/>
    <w:tmpl w:val="F5E03E6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3901427">
    <w:abstractNumId w:val="2"/>
  </w:num>
  <w:num w:numId="2" w16cid:durableId="386034351">
    <w:abstractNumId w:val="3"/>
  </w:num>
  <w:num w:numId="3" w16cid:durableId="1498956819">
    <w:abstractNumId w:val="1"/>
  </w:num>
  <w:num w:numId="4" w16cid:durableId="122962659">
    <w:abstractNumId w:val="4"/>
  </w:num>
  <w:num w:numId="5" w16cid:durableId="145529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D6"/>
    <w:rsid w:val="0002129D"/>
    <w:rsid w:val="00022F95"/>
    <w:rsid w:val="000260F4"/>
    <w:rsid w:val="00077389"/>
    <w:rsid w:val="000774CE"/>
    <w:rsid w:val="00082EFF"/>
    <w:rsid w:val="00084489"/>
    <w:rsid w:val="00091D90"/>
    <w:rsid w:val="00097444"/>
    <w:rsid w:val="00097873"/>
    <w:rsid w:val="000A597D"/>
    <w:rsid w:val="000B3547"/>
    <w:rsid w:val="000D393F"/>
    <w:rsid w:val="000D4C08"/>
    <w:rsid w:val="000E49AD"/>
    <w:rsid w:val="000E6E03"/>
    <w:rsid w:val="000F0236"/>
    <w:rsid w:val="000F0937"/>
    <w:rsid w:val="001002DB"/>
    <w:rsid w:val="001052E1"/>
    <w:rsid w:val="001154A1"/>
    <w:rsid w:val="00115C5E"/>
    <w:rsid w:val="001239A8"/>
    <w:rsid w:val="00134436"/>
    <w:rsid w:val="00141E86"/>
    <w:rsid w:val="001445BD"/>
    <w:rsid w:val="0014511D"/>
    <w:rsid w:val="00163D7B"/>
    <w:rsid w:val="001730F8"/>
    <w:rsid w:val="00175EDB"/>
    <w:rsid w:val="0017713E"/>
    <w:rsid w:val="001965D5"/>
    <w:rsid w:val="001C7487"/>
    <w:rsid w:val="001F3570"/>
    <w:rsid w:val="001F6F1F"/>
    <w:rsid w:val="002050AC"/>
    <w:rsid w:val="0021291C"/>
    <w:rsid w:val="0021563C"/>
    <w:rsid w:val="00221572"/>
    <w:rsid w:val="0023379D"/>
    <w:rsid w:val="002428D8"/>
    <w:rsid w:val="0025521F"/>
    <w:rsid w:val="002668FE"/>
    <w:rsid w:val="002674D0"/>
    <w:rsid w:val="0027159C"/>
    <w:rsid w:val="0029086E"/>
    <w:rsid w:val="002C267B"/>
    <w:rsid w:val="002D4D23"/>
    <w:rsid w:val="002D7884"/>
    <w:rsid w:val="002F0682"/>
    <w:rsid w:val="002F36A1"/>
    <w:rsid w:val="003025BF"/>
    <w:rsid w:val="00312AF7"/>
    <w:rsid w:val="0032354B"/>
    <w:rsid w:val="003549A2"/>
    <w:rsid w:val="00365F91"/>
    <w:rsid w:val="0039358F"/>
    <w:rsid w:val="00397924"/>
    <w:rsid w:val="003A0081"/>
    <w:rsid w:val="003A325B"/>
    <w:rsid w:val="003A698B"/>
    <w:rsid w:val="003B2F8B"/>
    <w:rsid w:val="003B72EC"/>
    <w:rsid w:val="003C3A67"/>
    <w:rsid w:val="003C68C5"/>
    <w:rsid w:val="003D17E9"/>
    <w:rsid w:val="003E291B"/>
    <w:rsid w:val="003E62EA"/>
    <w:rsid w:val="003E73C9"/>
    <w:rsid w:val="004114DD"/>
    <w:rsid w:val="00413EC9"/>
    <w:rsid w:val="00417400"/>
    <w:rsid w:val="00430FC9"/>
    <w:rsid w:val="004430CF"/>
    <w:rsid w:val="00450A99"/>
    <w:rsid w:val="00452485"/>
    <w:rsid w:val="00454DB5"/>
    <w:rsid w:val="00456685"/>
    <w:rsid w:val="00487400"/>
    <w:rsid w:val="004A1B09"/>
    <w:rsid w:val="004B0786"/>
    <w:rsid w:val="004B377E"/>
    <w:rsid w:val="004B73E4"/>
    <w:rsid w:val="004C79BB"/>
    <w:rsid w:val="004D2885"/>
    <w:rsid w:val="004E2317"/>
    <w:rsid w:val="004E51B0"/>
    <w:rsid w:val="004F2666"/>
    <w:rsid w:val="00502212"/>
    <w:rsid w:val="00516B06"/>
    <w:rsid w:val="00521747"/>
    <w:rsid w:val="00552911"/>
    <w:rsid w:val="00552D5E"/>
    <w:rsid w:val="00557A5E"/>
    <w:rsid w:val="005657E7"/>
    <w:rsid w:val="00571008"/>
    <w:rsid w:val="00575B7F"/>
    <w:rsid w:val="00584C0C"/>
    <w:rsid w:val="005A1C65"/>
    <w:rsid w:val="005A3511"/>
    <w:rsid w:val="005A5617"/>
    <w:rsid w:val="005B3277"/>
    <w:rsid w:val="005B6558"/>
    <w:rsid w:val="005D075D"/>
    <w:rsid w:val="005E048C"/>
    <w:rsid w:val="005E0927"/>
    <w:rsid w:val="005E36BD"/>
    <w:rsid w:val="005F5568"/>
    <w:rsid w:val="006409CC"/>
    <w:rsid w:val="006416A5"/>
    <w:rsid w:val="00654DEB"/>
    <w:rsid w:val="00670298"/>
    <w:rsid w:val="00673C4F"/>
    <w:rsid w:val="00677F92"/>
    <w:rsid w:val="00681449"/>
    <w:rsid w:val="00692958"/>
    <w:rsid w:val="00693851"/>
    <w:rsid w:val="006A3E30"/>
    <w:rsid w:val="006B48D3"/>
    <w:rsid w:val="006B5A90"/>
    <w:rsid w:val="006C2653"/>
    <w:rsid w:val="006C6934"/>
    <w:rsid w:val="006D2AEE"/>
    <w:rsid w:val="006F7D83"/>
    <w:rsid w:val="0071196F"/>
    <w:rsid w:val="00742051"/>
    <w:rsid w:val="0074253C"/>
    <w:rsid w:val="00756FAA"/>
    <w:rsid w:val="00761B24"/>
    <w:rsid w:val="00782C67"/>
    <w:rsid w:val="00786530"/>
    <w:rsid w:val="00791988"/>
    <w:rsid w:val="0079568F"/>
    <w:rsid w:val="007A28FE"/>
    <w:rsid w:val="007A4E9C"/>
    <w:rsid w:val="007B7C7D"/>
    <w:rsid w:val="007D5B49"/>
    <w:rsid w:val="007E441C"/>
    <w:rsid w:val="007E64C6"/>
    <w:rsid w:val="007F23F1"/>
    <w:rsid w:val="00802056"/>
    <w:rsid w:val="0081173E"/>
    <w:rsid w:val="00816932"/>
    <w:rsid w:val="00826B4E"/>
    <w:rsid w:val="008272C2"/>
    <w:rsid w:val="00831E30"/>
    <w:rsid w:val="00840690"/>
    <w:rsid w:val="00850DD7"/>
    <w:rsid w:val="00853504"/>
    <w:rsid w:val="00861D4C"/>
    <w:rsid w:val="008637A3"/>
    <w:rsid w:val="00880A12"/>
    <w:rsid w:val="0088577F"/>
    <w:rsid w:val="00895A37"/>
    <w:rsid w:val="008A78DC"/>
    <w:rsid w:val="008B3787"/>
    <w:rsid w:val="008D5C32"/>
    <w:rsid w:val="008E3BB9"/>
    <w:rsid w:val="008F05A4"/>
    <w:rsid w:val="009000F7"/>
    <w:rsid w:val="00901BFB"/>
    <w:rsid w:val="009039B5"/>
    <w:rsid w:val="00903FA1"/>
    <w:rsid w:val="00907B57"/>
    <w:rsid w:val="0091219F"/>
    <w:rsid w:val="00934E8D"/>
    <w:rsid w:val="00941538"/>
    <w:rsid w:val="009A02B5"/>
    <w:rsid w:val="009A3F0C"/>
    <w:rsid w:val="009A6EFF"/>
    <w:rsid w:val="009F220E"/>
    <w:rsid w:val="009F436F"/>
    <w:rsid w:val="00A03DEA"/>
    <w:rsid w:val="00A05CD1"/>
    <w:rsid w:val="00A10FE3"/>
    <w:rsid w:val="00A20BC7"/>
    <w:rsid w:val="00A30E93"/>
    <w:rsid w:val="00A318FD"/>
    <w:rsid w:val="00A41EC5"/>
    <w:rsid w:val="00A428D7"/>
    <w:rsid w:val="00A43F32"/>
    <w:rsid w:val="00AA2EA1"/>
    <w:rsid w:val="00AB3E4C"/>
    <w:rsid w:val="00AC6630"/>
    <w:rsid w:val="00AD37CF"/>
    <w:rsid w:val="00AF34D3"/>
    <w:rsid w:val="00B05CDF"/>
    <w:rsid w:val="00B35FA2"/>
    <w:rsid w:val="00B36EFA"/>
    <w:rsid w:val="00B44155"/>
    <w:rsid w:val="00B45C55"/>
    <w:rsid w:val="00B570A0"/>
    <w:rsid w:val="00B60070"/>
    <w:rsid w:val="00B6102D"/>
    <w:rsid w:val="00B63962"/>
    <w:rsid w:val="00B80564"/>
    <w:rsid w:val="00B84A86"/>
    <w:rsid w:val="00BB4F32"/>
    <w:rsid w:val="00BB563D"/>
    <w:rsid w:val="00BC37CC"/>
    <w:rsid w:val="00BD7466"/>
    <w:rsid w:val="00BE3A9B"/>
    <w:rsid w:val="00BF3D86"/>
    <w:rsid w:val="00BF3E6E"/>
    <w:rsid w:val="00C01762"/>
    <w:rsid w:val="00C026F3"/>
    <w:rsid w:val="00C21C5A"/>
    <w:rsid w:val="00C30539"/>
    <w:rsid w:val="00C32F16"/>
    <w:rsid w:val="00C33A18"/>
    <w:rsid w:val="00C36885"/>
    <w:rsid w:val="00C37916"/>
    <w:rsid w:val="00C37A4E"/>
    <w:rsid w:val="00C4192C"/>
    <w:rsid w:val="00C553E2"/>
    <w:rsid w:val="00C64AA8"/>
    <w:rsid w:val="00C678CE"/>
    <w:rsid w:val="00C72D03"/>
    <w:rsid w:val="00C74070"/>
    <w:rsid w:val="00C8143F"/>
    <w:rsid w:val="00C90833"/>
    <w:rsid w:val="00C971E4"/>
    <w:rsid w:val="00CD19DB"/>
    <w:rsid w:val="00CF7482"/>
    <w:rsid w:val="00D003BF"/>
    <w:rsid w:val="00D07C3E"/>
    <w:rsid w:val="00D225F1"/>
    <w:rsid w:val="00D313AB"/>
    <w:rsid w:val="00D32CF0"/>
    <w:rsid w:val="00D43691"/>
    <w:rsid w:val="00D50291"/>
    <w:rsid w:val="00D617FA"/>
    <w:rsid w:val="00D72CA9"/>
    <w:rsid w:val="00D85710"/>
    <w:rsid w:val="00D95ABD"/>
    <w:rsid w:val="00DA6458"/>
    <w:rsid w:val="00DB7917"/>
    <w:rsid w:val="00DD5EB9"/>
    <w:rsid w:val="00DD7541"/>
    <w:rsid w:val="00DE1574"/>
    <w:rsid w:val="00DE5DC1"/>
    <w:rsid w:val="00E1503D"/>
    <w:rsid w:val="00E24C35"/>
    <w:rsid w:val="00E36308"/>
    <w:rsid w:val="00E37417"/>
    <w:rsid w:val="00E40E73"/>
    <w:rsid w:val="00E447ED"/>
    <w:rsid w:val="00E466D6"/>
    <w:rsid w:val="00E63727"/>
    <w:rsid w:val="00E65D3C"/>
    <w:rsid w:val="00E75EB5"/>
    <w:rsid w:val="00E800F3"/>
    <w:rsid w:val="00E80EE4"/>
    <w:rsid w:val="00E82D03"/>
    <w:rsid w:val="00E878E1"/>
    <w:rsid w:val="00E9356E"/>
    <w:rsid w:val="00EA0974"/>
    <w:rsid w:val="00EA35DB"/>
    <w:rsid w:val="00EC2D2F"/>
    <w:rsid w:val="00EC7B6D"/>
    <w:rsid w:val="00F04AA2"/>
    <w:rsid w:val="00F07F30"/>
    <w:rsid w:val="00F10B7F"/>
    <w:rsid w:val="00F118C8"/>
    <w:rsid w:val="00F20B9C"/>
    <w:rsid w:val="00F22F89"/>
    <w:rsid w:val="00F46AF4"/>
    <w:rsid w:val="00F574E7"/>
    <w:rsid w:val="00F61C6D"/>
    <w:rsid w:val="00F651A4"/>
    <w:rsid w:val="00F65A5D"/>
    <w:rsid w:val="00F66822"/>
    <w:rsid w:val="00F6734D"/>
    <w:rsid w:val="00F717E8"/>
    <w:rsid w:val="00F75B3E"/>
    <w:rsid w:val="00F76E45"/>
    <w:rsid w:val="00F777A4"/>
    <w:rsid w:val="00F82CF6"/>
    <w:rsid w:val="00F83759"/>
    <w:rsid w:val="00F906AD"/>
    <w:rsid w:val="00FA6413"/>
    <w:rsid w:val="00FB1726"/>
    <w:rsid w:val="00FB7086"/>
    <w:rsid w:val="00FC0BB2"/>
    <w:rsid w:val="00FC6C22"/>
    <w:rsid w:val="00FE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2342"/>
  <w15:chartTrackingRefBased/>
  <w15:docId w15:val="{61D1CF06-A6F0-4CF2-95D8-26F94C50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6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3BF"/>
    <w:pPr>
      <w:jc w:val="center"/>
      <w:outlineLvl w:val="0"/>
    </w:pPr>
    <w:rPr>
      <w:rFonts w:ascii="Kings Caslon Text" w:hAnsi="Kings Caslon Text" w:cs="Palatino Linotype"/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003BF"/>
    <w:pPr>
      <w:outlineLvl w:val="1"/>
    </w:pPr>
    <w:rPr>
      <w:rFonts w:ascii="Kings Caslon Text" w:hAnsi="Kings Caslon Text" w:cs="Palatino Linotype"/>
      <w:b/>
      <w:smallCaps/>
      <w:sz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FAA"/>
    <w:pPr>
      <w:outlineLvl w:val="2"/>
    </w:pPr>
    <w:rPr>
      <w:rFonts w:ascii="Kings Caslon Text" w:hAnsi="Kings Caslon Text" w:cs="Palatino Linotype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D003BF"/>
    <w:rPr>
      <w:rFonts w:ascii="Kings Caslon Text" w:eastAsia="Times New Roman" w:hAnsi="Kings Caslon Text" w:cs="Palatino Linotype"/>
      <w:b/>
      <w:smallCaps/>
      <w:sz w:val="28"/>
      <w:szCs w:val="24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E466D6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E466D6"/>
    <w:rPr>
      <w:rFonts w:ascii="Verdana" w:hAnsi="Verdana" w:cs="Verdana"/>
      <w:color w:val="3300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66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6D6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466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6D6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A008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EB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EB5"/>
    <w:rPr>
      <w:rFonts w:ascii="Times New Roman" w:eastAsia="Times New Roman" w:hAnsi="Times New Roman" w:cs="Times New Roman"/>
      <w:sz w:val="18"/>
      <w:szCs w:val="1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56FAA"/>
    <w:rPr>
      <w:rFonts w:ascii="Kings Caslon Text" w:eastAsia="Times New Roman" w:hAnsi="Kings Caslon Text" w:cs="Palatino Linotype"/>
      <w:b/>
      <w:bCs/>
      <w:sz w:val="24"/>
      <w:szCs w:val="24"/>
      <w:u w:val="single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003BF"/>
    <w:rPr>
      <w:rFonts w:ascii="Kings Caslon Text" w:eastAsia="Times New Roman" w:hAnsi="Kings Caslon Text" w:cs="Palatino Linotype"/>
      <w:b/>
      <w:bCs/>
      <w:sz w:val="24"/>
      <w:szCs w:val="24"/>
      <w:u w:val="single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C2D2F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B6558"/>
  </w:style>
  <w:style w:type="character" w:customStyle="1" w:styleId="eop">
    <w:name w:val="eop"/>
    <w:basedOn w:val="DefaultParagraphFont"/>
    <w:rsid w:val="005B6558"/>
  </w:style>
  <w:style w:type="character" w:styleId="IntenseEmphasis">
    <w:name w:val="Intense Emphasis"/>
    <w:uiPriority w:val="21"/>
    <w:qFormat/>
    <w:rsid w:val="00C30539"/>
    <w:rPr>
      <w:rFonts w:ascii="Kings Caslon Text" w:hAnsi="Kings Caslon Text"/>
      <w:b/>
      <w:i/>
      <w:iCs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mcbridesguides.com/wp-content/uploads/2018/03/Robinson-v-Chief-Constable-of-West-Yorkshire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BB695C7D6CD54AB1BD366FDB66534A" ma:contentTypeVersion="11" ma:contentTypeDescription="Create a new document." ma:contentTypeScope="" ma:versionID="738c5575847cdd3c282e616b4ef95320">
  <xsd:schema xmlns:xsd="http://www.w3.org/2001/XMLSchema" xmlns:xs="http://www.w3.org/2001/XMLSchema" xmlns:p="http://schemas.microsoft.com/office/2006/metadata/properties" xmlns:ns3="4cdb1fa6-5b5f-4ebc-bd7f-c0a7f3ea0aa5" xmlns:ns4="766fbb6e-0bd2-42ed-8461-03700add4776" targetNamespace="http://schemas.microsoft.com/office/2006/metadata/properties" ma:root="true" ma:fieldsID="07818c52d5d06ff73edb1520a56c4161" ns3:_="" ns4:_="">
    <xsd:import namespace="4cdb1fa6-5b5f-4ebc-bd7f-c0a7f3ea0aa5"/>
    <xsd:import namespace="766fbb6e-0bd2-42ed-8461-03700add477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b1fa6-5b5f-4ebc-bd7f-c0a7f3ea0aa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fbb6e-0bd2-42ed-8461-03700add47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F6F331-8979-479E-969E-9483D7F798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E28EBFC-B8C9-422C-BD82-05024860C3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E22092-530F-4915-AA1E-8C978EDC0A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db1fa6-5b5f-4ebc-bd7f-c0a7f3ea0aa5"/>
    <ds:schemaRef ds:uri="766fbb6e-0bd2-42ed-8461-03700add47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McGrath, Colm</dc:creator>
  <cp:keywords/>
  <dc:description/>
  <cp:lastModifiedBy>Letwin, Jeremy</cp:lastModifiedBy>
  <cp:revision>271</cp:revision>
  <cp:lastPrinted>2021-10-27T08:50:00Z</cp:lastPrinted>
  <dcterms:created xsi:type="dcterms:W3CDTF">2019-09-18T16:39:00Z</dcterms:created>
  <dcterms:modified xsi:type="dcterms:W3CDTF">2025-10-07T10:15:00Z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0x0101008FBB695C7D6CD54AB1BD366FDB66534A</vt:lpwstr>
  </property>
</Properties>
</file>