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C1F28" w14:textId="2DDBABB2" w:rsidR="001B7FB8" w:rsidRPr="00D0547A" w:rsidRDefault="00475B4B" w:rsidP="001B7FB8">
      <w:pPr>
        <w:jc w:val="center"/>
        <w:rPr>
          <w:rFonts w:ascii="Palatino Linotype" w:hAnsi="Palatino Linotype"/>
          <w:b/>
          <w:u w:val="single"/>
        </w:rPr>
      </w:pPr>
      <w:r w:rsidRPr="00D0547A">
        <w:rPr>
          <w:rFonts w:ascii="Palatino Linotype" w:hAnsi="Palatino Linotype"/>
          <w:b/>
          <w:u w:val="single"/>
        </w:rPr>
        <w:t>WEEK 3</w:t>
      </w:r>
    </w:p>
    <w:p w14:paraId="5F56A4D4" w14:textId="19FE38B4" w:rsidR="00475B4B" w:rsidRPr="00D0547A" w:rsidRDefault="00475B4B" w:rsidP="001B7FB8">
      <w:pPr>
        <w:jc w:val="center"/>
        <w:rPr>
          <w:rFonts w:ascii="Palatino Linotype" w:hAnsi="Palatino Linotype"/>
          <w:b/>
          <w:u w:val="single"/>
        </w:rPr>
      </w:pPr>
    </w:p>
    <w:p w14:paraId="48D20325" w14:textId="5DDC042A" w:rsidR="00475B4B" w:rsidRPr="00D0547A" w:rsidRDefault="00475B4B" w:rsidP="001B7FB8">
      <w:pPr>
        <w:jc w:val="center"/>
        <w:rPr>
          <w:rFonts w:ascii="Palatino Linotype" w:hAnsi="Palatino Linotype"/>
          <w:b/>
        </w:rPr>
      </w:pPr>
      <w:r w:rsidRPr="00D0547A">
        <w:rPr>
          <w:rFonts w:ascii="Palatino Linotype" w:hAnsi="Palatino Linotype"/>
          <w:b/>
        </w:rPr>
        <w:t>NEGLIGENCE: BREACH OF DUTY</w:t>
      </w:r>
    </w:p>
    <w:p w14:paraId="4A1A6446" w14:textId="77777777" w:rsidR="001B7FB8" w:rsidRPr="00D0547A" w:rsidRDefault="001B7FB8" w:rsidP="001B7FB8">
      <w:pPr>
        <w:rPr>
          <w:rFonts w:ascii="Palatino Linotype" w:hAnsi="Palatino Linotype" w:cs="Palatino Linotype"/>
          <w:b/>
          <w:smallCaps/>
          <w:color w:val="FF0000"/>
          <w:sz w:val="28"/>
          <w:u w:val="single"/>
        </w:rPr>
      </w:pPr>
    </w:p>
    <w:p w14:paraId="65083D7F" w14:textId="465D7636" w:rsidR="00A020E1" w:rsidRPr="00D0547A" w:rsidRDefault="00235079" w:rsidP="00A020E1">
      <w:pPr>
        <w:widowControl w:val="0"/>
        <w:autoSpaceDE w:val="0"/>
        <w:autoSpaceDN w:val="0"/>
        <w:adjustRightInd w:val="0"/>
        <w:jc w:val="both"/>
        <w:rPr>
          <w:rFonts w:ascii="Palatino Linotype" w:hAnsi="Palatino Linotype" w:cs="Palatino Linotype"/>
          <w:color w:val="000000" w:themeColor="text1"/>
        </w:rPr>
      </w:pPr>
      <w:r w:rsidRPr="00D0547A">
        <w:rPr>
          <w:rFonts w:ascii="Palatino Linotype" w:hAnsi="Palatino Linotype" w:cs="Palatino Linotype"/>
          <w:color w:val="000000" w:themeColor="text1"/>
        </w:rPr>
        <w:t xml:space="preserve">In negligence, the ‘duty of care’ is not an absolute duty to avoid harming others. Rather, it is a duty to take </w:t>
      </w:r>
      <w:r w:rsidRPr="00D0547A">
        <w:rPr>
          <w:rFonts w:ascii="Palatino Linotype" w:hAnsi="Palatino Linotype" w:cs="Palatino Linotype"/>
          <w:i/>
          <w:iCs/>
          <w:color w:val="000000" w:themeColor="text1"/>
        </w:rPr>
        <w:t xml:space="preserve">reasonable care </w:t>
      </w:r>
      <w:r w:rsidRPr="00D0547A">
        <w:rPr>
          <w:rFonts w:ascii="Palatino Linotype" w:hAnsi="Palatino Linotype" w:cs="Palatino Linotype"/>
          <w:color w:val="000000" w:themeColor="text1"/>
        </w:rPr>
        <w:t xml:space="preserve">to avoid harming others. In this week’s readings, we look at what it means for someone to breach that duty. This involves failing to meet to objective standard of the ‘reasonable person’ </w:t>
      </w:r>
      <w:r w:rsidR="00310A78">
        <w:rPr>
          <w:rFonts w:ascii="Palatino Linotype" w:hAnsi="Palatino Linotype" w:cs="Palatino Linotype"/>
          <w:color w:val="000000" w:themeColor="text1"/>
        </w:rPr>
        <w:t>—</w:t>
      </w:r>
      <w:r w:rsidRPr="00D0547A">
        <w:rPr>
          <w:rFonts w:ascii="Palatino Linotype" w:hAnsi="Palatino Linotype" w:cs="Palatino Linotype"/>
          <w:color w:val="000000" w:themeColor="text1"/>
        </w:rPr>
        <w:t xml:space="preserve"> but what exactly constitutes a reasonable person may often depend on the context. </w:t>
      </w:r>
    </w:p>
    <w:p w14:paraId="69F88671" w14:textId="7E4A8546" w:rsidR="00235079" w:rsidRPr="00D0547A" w:rsidRDefault="00235079" w:rsidP="00A020E1">
      <w:pPr>
        <w:widowControl w:val="0"/>
        <w:autoSpaceDE w:val="0"/>
        <w:autoSpaceDN w:val="0"/>
        <w:adjustRightInd w:val="0"/>
        <w:jc w:val="both"/>
        <w:rPr>
          <w:rFonts w:ascii="Palatino Linotype" w:hAnsi="Palatino Linotype" w:cs="Palatino Linotype"/>
          <w:color w:val="000000" w:themeColor="text1"/>
        </w:rPr>
      </w:pPr>
    </w:p>
    <w:p w14:paraId="2A9701D7" w14:textId="77777777" w:rsidR="00235079" w:rsidRPr="00D0547A" w:rsidRDefault="00235079" w:rsidP="00A020E1">
      <w:pPr>
        <w:widowControl w:val="0"/>
        <w:autoSpaceDE w:val="0"/>
        <w:autoSpaceDN w:val="0"/>
        <w:adjustRightInd w:val="0"/>
        <w:jc w:val="both"/>
        <w:rPr>
          <w:rFonts w:ascii="Palatino Linotype" w:hAnsi="Palatino Linotype" w:cs="Palatino Linotype"/>
          <w:color w:val="000000" w:themeColor="text1"/>
        </w:rPr>
      </w:pPr>
      <w:r w:rsidRPr="00D0547A">
        <w:rPr>
          <w:rFonts w:ascii="Palatino Linotype" w:hAnsi="Palatino Linotype" w:cs="Palatino Linotype"/>
          <w:color w:val="000000" w:themeColor="text1"/>
        </w:rPr>
        <w:t xml:space="preserve">Particular attention should be paid to: </w:t>
      </w:r>
    </w:p>
    <w:p w14:paraId="36730456" w14:textId="757A2B89" w:rsidR="00235079" w:rsidRPr="00D0547A" w:rsidRDefault="00235079" w:rsidP="00235079">
      <w:pPr>
        <w:pStyle w:val="ListParagraph"/>
        <w:widowControl w:val="0"/>
        <w:numPr>
          <w:ilvl w:val="0"/>
          <w:numId w:val="5"/>
        </w:numPr>
        <w:autoSpaceDE w:val="0"/>
        <w:autoSpaceDN w:val="0"/>
        <w:adjustRightInd w:val="0"/>
        <w:jc w:val="both"/>
        <w:rPr>
          <w:rFonts w:ascii="Palatino Linotype" w:hAnsi="Palatino Linotype" w:cs="Palatino Linotype"/>
          <w:color w:val="000000" w:themeColor="text1"/>
        </w:rPr>
      </w:pPr>
      <w:r w:rsidRPr="00D0547A">
        <w:rPr>
          <w:rFonts w:ascii="Palatino Linotype" w:hAnsi="Palatino Linotype" w:cs="Palatino Linotype"/>
          <w:color w:val="000000" w:themeColor="text1"/>
        </w:rPr>
        <w:t xml:space="preserve">the balancing of various factors taken into account to determine whether D breached their duty of care to C, including the probability and gravity of harm, the cost of precautions, the utility of the conduct, and the context; </w:t>
      </w:r>
    </w:p>
    <w:p w14:paraId="0BE7C1AC" w14:textId="741193A4" w:rsidR="00235079" w:rsidRPr="00D0547A" w:rsidRDefault="00235079" w:rsidP="00235079">
      <w:pPr>
        <w:pStyle w:val="ListParagraph"/>
        <w:widowControl w:val="0"/>
        <w:numPr>
          <w:ilvl w:val="0"/>
          <w:numId w:val="5"/>
        </w:numPr>
        <w:autoSpaceDE w:val="0"/>
        <w:autoSpaceDN w:val="0"/>
        <w:adjustRightInd w:val="0"/>
        <w:jc w:val="both"/>
        <w:rPr>
          <w:rFonts w:ascii="Palatino Linotype" w:hAnsi="Palatino Linotype"/>
        </w:rPr>
      </w:pPr>
      <w:r w:rsidRPr="00D0547A">
        <w:rPr>
          <w:rFonts w:ascii="Palatino Linotype" w:hAnsi="Palatino Linotype" w:cs="Palatino Linotype"/>
          <w:color w:val="000000" w:themeColor="text1"/>
        </w:rPr>
        <w:t>the objectivity of the ‘reasonable person’ standard, and the factors which are, and are not, capable of introducing some subjective element into that standard, such as age or disability; and,</w:t>
      </w:r>
    </w:p>
    <w:p w14:paraId="247D401E" w14:textId="60C4E618" w:rsidR="00235079" w:rsidRDefault="00235079" w:rsidP="00235079">
      <w:pPr>
        <w:pStyle w:val="ListParagraph"/>
        <w:widowControl w:val="0"/>
        <w:numPr>
          <w:ilvl w:val="0"/>
          <w:numId w:val="5"/>
        </w:numPr>
        <w:autoSpaceDE w:val="0"/>
        <w:autoSpaceDN w:val="0"/>
        <w:adjustRightInd w:val="0"/>
        <w:jc w:val="both"/>
        <w:rPr>
          <w:rFonts w:ascii="Palatino Linotype" w:hAnsi="Palatino Linotype"/>
        </w:rPr>
      </w:pPr>
      <w:r w:rsidRPr="00D0547A">
        <w:rPr>
          <w:rFonts w:ascii="Palatino Linotype" w:hAnsi="Palatino Linotype"/>
        </w:rPr>
        <w:t xml:space="preserve">the way the ‘reasonable person’ standard varies </w:t>
      </w:r>
      <w:r w:rsidR="00071313" w:rsidRPr="00D0547A">
        <w:rPr>
          <w:rFonts w:ascii="Palatino Linotype" w:hAnsi="Palatino Linotype"/>
        </w:rPr>
        <w:t xml:space="preserve">in the medical, professional, and industrial contexts. </w:t>
      </w:r>
    </w:p>
    <w:p w14:paraId="50919031" w14:textId="5C978DFD" w:rsidR="00602FBE" w:rsidRDefault="00602FBE" w:rsidP="00602FBE">
      <w:pPr>
        <w:widowControl w:val="0"/>
        <w:autoSpaceDE w:val="0"/>
        <w:autoSpaceDN w:val="0"/>
        <w:adjustRightInd w:val="0"/>
        <w:jc w:val="both"/>
        <w:rPr>
          <w:rFonts w:ascii="Palatino Linotype" w:hAnsi="Palatino Linotype"/>
        </w:rPr>
      </w:pPr>
    </w:p>
    <w:p w14:paraId="3D2F04C4" w14:textId="530E1277" w:rsidR="00602FBE" w:rsidRPr="00602FBE" w:rsidRDefault="00602FBE" w:rsidP="00602FBE">
      <w:pPr>
        <w:widowControl w:val="0"/>
        <w:autoSpaceDE w:val="0"/>
        <w:autoSpaceDN w:val="0"/>
        <w:adjustRightInd w:val="0"/>
        <w:jc w:val="both"/>
        <w:rPr>
          <w:rFonts w:ascii="Palatino Linotype" w:hAnsi="Palatino Linotype"/>
        </w:rPr>
      </w:pPr>
      <w:r>
        <w:rPr>
          <w:rFonts w:ascii="Palatino Linotype" w:hAnsi="Palatino Linotype" w:cs="Palatino Linotype"/>
          <w:bCs/>
          <w:iCs/>
          <w:color w:val="000000" w:themeColor="text1"/>
        </w:rPr>
        <w:t>(</w:t>
      </w:r>
      <w:proofErr w:type="spellStart"/>
      <w:r>
        <w:rPr>
          <w:rFonts w:ascii="Palatino Linotype" w:hAnsi="Palatino Linotype" w:cs="Palatino Linotype"/>
          <w:bCs/>
          <w:iCs/>
          <w:color w:val="000000" w:themeColor="text1"/>
        </w:rPr>
        <w:t>N.b.</w:t>
      </w:r>
      <w:proofErr w:type="spellEnd"/>
      <w:r>
        <w:rPr>
          <w:rFonts w:ascii="Palatino Linotype" w:hAnsi="Palatino Linotype" w:cs="Palatino Linotype"/>
          <w:bCs/>
          <w:iCs/>
          <w:color w:val="000000" w:themeColor="text1"/>
        </w:rPr>
        <w:t xml:space="preserve"> When reading </w:t>
      </w:r>
      <w:r w:rsidRPr="001F2D93">
        <w:rPr>
          <w:rFonts w:ascii="Palatino Linotype" w:hAnsi="Palatino Linotype" w:cs="Palatino Linotype"/>
          <w:bCs/>
          <w:i/>
          <w:color w:val="000000" w:themeColor="text1"/>
        </w:rPr>
        <w:t>Tomlinson</w:t>
      </w:r>
      <w:r>
        <w:rPr>
          <w:rFonts w:ascii="Palatino Linotype" w:hAnsi="Palatino Linotype" w:cs="Palatino Linotype"/>
          <w:bCs/>
          <w:iCs/>
          <w:color w:val="000000" w:themeColor="text1"/>
        </w:rPr>
        <w:t>, i</w:t>
      </w:r>
      <w:r w:rsidRPr="00602FBE">
        <w:rPr>
          <w:rFonts w:ascii="Palatino Linotype" w:hAnsi="Palatino Linotype" w:cs="Palatino Linotype"/>
          <w:bCs/>
          <w:iCs/>
          <w:color w:val="000000" w:themeColor="text1"/>
        </w:rPr>
        <w:t>gnore</w:t>
      </w:r>
      <w:r>
        <w:rPr>
          <w:rFonts w:ascii="Palatino Linotype" w:hAnsi="Palatino Linotype" w:cs="Palatino Linotype"/>
          <w:bCs/>
          <w:iCs/>
          <w:color w:val="000000" w:themeColor="text1"/>
        </w:rPr>
        <w:t xml:space="preserve"> the fact this case is about occupiers’ liability. You will learn about this later in the year. The points about breach of duty made by the judges apply to negligence just as much as to occupiers’ liability.)</w:t>
      </w:r>
    </w:p>
    <w:p w14:paraId="643CF21A" w14:textId="77777777" w:rsidR="00D10FED" w:rsidRPr="00D0547A" w:rsidRDefault="00D10FED" w:rsidP="0069375F">
      <w:pPr>
        <w:jc w:val="both"/>
        <w:rPr>
          <w:rFonts w:ascii="Palatino Linotype" w:hAnsi="Palatino Linotype" w:cs="Palatino Linotype"/>
          <w:color w:val="FF0000"/>
        </w:rPr>
      </w:pPr>
    </w:p>
    <w:p w14:paraId="597CD0AE" w14:textId="6324B6ED" w:rsidR="00A00151" w:rsidRPr="00D0547A" w:rsidRDefault="00A00151" w:rsidP="0069375F">
      <w:pPr>
        <w:jc w:val="both"/>
        <w:rPr>
          <w:rFonts w:ascii="Palatino Linotype" w:hAnsi="Palatino Linotype" w:cs="Palatino Linotype"/>
          <w:b/>
          <w:bCs/>
          <w:color w:val="000000" w:themeColor="text1"/>
        </w:rPr>
      </w:pPr>
      <w:r w:rsidRPr="00D0547A">
        <w:rPr>
          <w:rFonts w:ascii="Palatino Linotype" w:hAnsi="Palatino Linotype" w:cs="Palatino Linotype"/>
          <w:b/>
          <w:bCs/>
          <w:color w:val="000000" w:themeColor="text1"/>
        </w:rPr>
        <w:t>Textbook</w:t>
      </w:r>
      <w:r w:rsidR="0004734B" w:rsidRPr="00D0547A">
        <w:rPr>
          <w:rFonts w:ascii="Palatino Linotype" w:hAnsi="Palatino Linotype" w:cs="Palatino Linotype"/>
          <w:b/>
          <w:bCs/>
          <w:color w:val="000000" w:themeColor="text1"/>
        </w:rPr>
        <w:t>s</w:t>
      </w:r>
    </w:p>
    <w:p w14:paraId="46D05259" w14:textId="28D60991" w:rsidR="00A00151" w:rsidRPr="00D0547A" w:rsidRDefault="00A00151" w:rsidP="0069375F">
      <w:pPr>
        <w:jc w:val="both"/>
        <w:rPr>
          <w:rFonts w:ascii="Palatino Linotype" w:hAnsi="Palatino Linotype" w:cs="Palatino Linotype"/>
          <w:b/>
          <w:bCs/>
          <w:color w:val="0070C0"/>
        </w:rPr>
      </w:pPr>
      <w:r w:rsidRPr="00D0547A">
        <w:rPr>
          <w:rFonts w:ascii="Palatino Linotype" w:hAnsi="Palatino Linotype" w:cs="Palatino Linotype"/>
          <w:b/>
          <w:bCs/>
          <w:color w:val="0070C0"/>
        </w:rPr>
        <w:t>*H&amp;R, Ch.</w:t>
      </w:r>
      <w:r w:rsidR="00375765" w:rsidRPr="00D0547A">
        <w:rPr>
          <w:rFonts w:ascii="Palatino Linotype" w:hAnsi="Palatino Linotype" w:cs="Palatino Linotype"/>
          <w:b/>
          <w:bCs/>
          <w:color w:val="0070C0"/>
        </w:rPr>
        <w:t>8</w:t>
      </w:r>
      <w:r w:rsidRPr="00D0547A">
        <w:rPr>
          <w:rFonts w:ascii="Palatino Linotype" w:hAnsi="Palatino Linotype" w:cs="Palatino Linotype"/>
          <w:b/>
          <w:bCs/>
          <w:color w:val="0070C0"/>
        </w:rPr>
        <w:t xml:space="preserve"> – </w:t>
      </w:r>
      <w:r w:rsidR="00375765" w:rsidRPr="00D0547A">
        <w:rPr>
          <w:rFonts w:ascii="Palatino Linotype" w:hAnsi="Palatino Linotype" w:cs="Palatino Linotype"/>
          <w:b/>
          <w:bCs/>
          <w:color w:val="0070C0"/>
        </w:rPr>
        <w:t>‘Breach of Duty: the standard of care’</w:t>
      </w:r>
      <w:r w:rsidRPr="00D0547A">
        <w:rPr>
          <w:rFonts w:ascii="Palatino Linotype" w:hAnsi="Palatino Linotype" w:cs="Palatino Linotype"/>
          <w:b/>
          <w:bCs/>
          <w:color w:val="0070C0"/>
        </w:rPr>
        <w:t xml:space="preserve"> </w:t>
      </w:r>
    </w:p>
    <w:p w14:paraId="04002049" w14:textId="77777777" w:rsidR="00D07999" w:rsidRPr="00D0547A" w:rsidRDefault="00D07999" w:rsidP="001B7FB8">
      <w:pPr>
        <w:jc w:val="both"/>
        <w:rPr>
          <w:rFonts w:ascii="Palatino Linotype" w:hAnsi="Palatino Linotype"/>
          <w:b/>
          <w:color w:val="000000" w:themeColor="text1"/>
        </w:rPr>
      </w:pPr>
    </w:p>
    <w:p w14:paraId="3935A06C" w14:textId="1120C0AA" w:rsidR="00462CB5" w:rsidRPr="00D0547A" w:rsidRDefault="00462CB5" w:rsidP="001B7FB8">
      <w:pPr>
        <w:jc w:val="both"/>
        <w:rPr>
          <w:rFonts w:ascii="Palatino Linotype" w:hAnsi="Palatino Linotype"/>
          <w:b/>
          <w:color w:val="000000" w:themeColor="text1"/>
        </w:rPr>
      </w:pPr>
      <w:r w:rsidRPr="00D0547A">
        <w:rPr>
          <w:rFonts w:ascii="Palatino Linotype" w:hAnsi="Palatino Linotype"/>
          <w:b/>
          <w:color w:val="000000" w:themeColor="text1"/>
        </w:rPr>
        <w:t>Core cases</w:t>
      </w:r>
    </w:p>
    <w:p w14:paraId="45739F4E" w14:textId="439D24CB" w:rsidR="00C143A0" w:rsidRPr="00D0547A" w:rsidRDefault="00C143A0" w:rsidP="00605C48">
      <w:pPr>
        <w:jc w:val="both"/>
        <w:rPr>
          <w:rFonts w:ascii="Palatino Linotype" w:hAnsi="Palatino Linotype" w:cs="Palatino Linotype"/>
          <w:b/>
          <w:iCs/>
          <w:color w:val="0070C0"/>
        </w:rPr>
      </w:pPr>
      <w:r w:rsidRPr="00D0547A">
        <w:rPr>
          <w:rFonts w:ascii="Palatino Linotype" w:hAnsi="Palatino Linotype" w:cs="Palatino Linotype"/>
          <w:b/>
          <w:iCs/>
          <w:color w:val="0070C0"/>
        </w:rPr>
        <w:t>*</w:t>
      </w:r>
      <w:r w:rsidRPr="00D0547A">
        <w:rPr>
          <w:rFonts w:ascii="Palatino Linotype" w:hAnsi="Palatino Linotype" w:cs="Palatino Linotype"/>
          <w:b/>
          <w:i/>
          <w:color w:val="0070C0"/>
        </w:rPr>
        <w:t>Nettleship v Weston</w:t>
      </w:r>
      <w:r w:rsidRPr="00D0547A">
        <w:rPr>
          <w:rFonts w:ascii="Palatino Linotype" w:hAnsi="Palatino Linotype" w:cs="Palatino Linotype"/>
          <w:b/>
          <w:iCs/>
          <w:color w:val="0070C0"/>
        </w:rPr>
        <w:t xml:space="preserve"> </w:t>
      </w:r>
      <w:r w:rsidRPr="00D0547A">
        <w:rPr>
          <w:rFonts w:ascii="Palatino Linotype" w:hAnsi="Palatino Linotype" w:cs="Palatino Linotype"/>
          <w:bCs/>
          <w:iCs/>
          <w:color w:val="000000" w:themeColor="text1"/>
        </w:rPr>
        <w:t>[1971] 2 QB 691</w:t>
      </w:r>
    </w:p>
    <w:p w14:paraId="7C8F5003" w14:textId="75F6751D" w:rsidR="00605C48" w:rsidRPr="0001202A" w:rsidRDefault="00605C48" w:rsidP="00605C48">
      <w:pPr>
        <w:jc w:val="both"/>
        <w:rPr>
          <w:rFonts w:ascii="Palatino Linotype" w:hAnsi="Palatino Linotype" w:cs="Palatino Linotype"/>
          <w:bCs/>
          <w:iCs/>
          <w:color w:val="0070C0"/>
        </w:rPr>
      </w:pPr>
      <w:r w:rsidRPr="00D0547A">
        <w:rPr>
          <w:rFonts w:ascii="Palatino Linotype" w:hAnsi="Palatino Linotype" w:cs="Palatino Linotype"/>
          <w:b/>
          <w:iCs/>
          <w:color w:val="0070C0"/>
        </w:rPr>
        <w:t>*</w:t>
      </w:r>
      <w:r w:rsidRPr="00D0547A">
        <w:rPr>
          <w:rFonts w:ascii="Palatino Linotype" w:hAnsi="Palatino Linotype" w:cs="Palatino Linotype"/>
          <w:b/>
          <w:i/>
          <w:color w:val="0070C0"/>
        </w:rPr>
        <w:t>Tomlinson v Congleton Borough Council</w:t>
      </w:r>
      <w:r w:rsidRPr="00D0547A">
        <w:rPr>
          <w:rFonts w:ascii="Palatino Linotype" w:hAnsi="Palatino Linotype" w:cs="Palatino Linotype"/>
          <w:b/>
          <w:iCs/>
          <w:color w:val="0070C0"/>
        </w:rPr>
        <w:t xml:space="preserve"> </w:t>
      </w:r>
      <w:r w:rsidRPr="00D0547A">
        <w:rPr>
          <w:rFonts w:ascii="Palatino Linotype" w:hAnsi="Palatino Linotype" w:cs="Palatino Linotype"/>
          <w:bCs/>
          <w:iCs/>
          <w:color w:val="000000" w:themeColor="text1"/>
        </w:rPr>
        <w:t>[2003] UKHL 47</w:t>
      </w:r>
      <w:r w:rsidRPr="00D0547A">
        <w:rPr>
          <w:rFonts w:ascii="Palatino Linotype" w:hAnsi="Palatino Linotype" w:cs="Palatino Linotype"/>
          <w:b/>
          <w:iCs/>
          <w:color w:val="000000" w:themeColor="text1"/>
        </w:rPr>
        <w:t xml:space="preserve"> </w:t>
      </w:r>
      <w:r w:rsidR="0001202A">
        <w:rPr>
          <w:rFonts w:ascii="Palatino Linotype" w:hAnsi="Palatino Linotype" w:cs="Palatino Linotype"/>
          <w:bCs/>
          <w:iCs/>
          <w:color w:val="000000" w:themeColor="text1"/>
        </w:rPr>
        <w:t>(</w:t>
      </w:r>
      <w:proofErr w:type="spellStart"/>
      <w:r w:rsidR="0001202A">
        <w:rPr>
          <w:rFonts w:ascii="Palatino Linotype" w:hAnsi="Palatino Linotype" w:cs="Palatino Linotype"/>
          <w:bCs/>
          <w:iCs/>
          <w:color w:val="000000" w:themeColor="text1"/>
        </w:rPr>
        <w:t>N.b.</w:t>
      </w:r>
      <w:proofErr w:type="spellEnd"/>
      <w:r w:rsidR="0001202A">
        <w:rPr>
          <w:rFonts w:ascii="Palatino Linotype" w:hAnsi="Palatino Linotype" w:cs="Palatino Linotype"/>
          <w:bCs/>
          <w:iCs/>
          <w:color w:val="000000" w:themeColor="text1"/>
        </w:rPr>
        <w:t xml:space="preserve"> Focus on the balancing of the factors relevant to breach of duty, not on occupiers’ liability.)</w:t>
      </w:r>
    </w:p>
    <w:p w14:paraId="40241CA5" w14:textId="0792063F" w:rsidR="00605C48" w:rsidRPr="00D0547A" w:rsidRDefault="00605C48" w:rsidP="00605C48">
      <w:pPr>
        <w:jc w:val="both"/>
        <w:rPr>
          <w:rFonts w:ascii="Palatino Linotype" w:hAnsi="Palatino Linotype" w:cs="Palatino Linotype"/>
          <w:bCs/>
        </w:rPr>
      </w:pPr>
      <w:r w:rsidRPr="00D0547A">
        <w:rPr>
          <w:rFonts w:ascii="Palatino Linotype" w:hAnsi="Palatino Linotype" w:cs="Palatino Linotype"/>
          <w:bCs/>
          <w:iCs/>
          <w:color w:val="0070C0"/>
        </w:rPr>
        <w:t>*</w:t>
      </w:r>
      <w:r w:rsidRPr="00D0547A">
        <w:rPr>
          <w:rFonts w:ascii="Palatino Linotype" w:hAnsi="Palatino Linotype" w:cs="Palatino Linotype"/>
          <w:b/>
          <w:i/>
          <w:color w:val="0070C0"/>
        </w:rPr>
        <w:t>Montgomery v Lanarkshire Health Board</w:t>
      </w:r>
      <w:r w:rsidRPr="00D0547A">
        <w:rPr>
          <w:rFonts w:ascii="Palatino Linotype" w:hAnsi="Palatino Linotype" w:cs="Palatino Linotype"/>
          <w:b/>
          <w:color w:val="0070C0"/>
        </w:rPr>
        <w:t xml:space="preserve"> </w:t>
      </w:r>
      <w:r w:rsidRPr="00D0547A">
        <w:rPr>
          <w:rFonts w:ascii="Palatino Linotype" w:hAnsi="Palatino Linotype" w:cs="Palatino Linotype"/>
          <w:bCs/>
        </w:rPr>
        <w:t>[2015] UKSC 11</w:t>
      </w:r>
    </w:p>
    <w:p w14:paraId="080655BD" w14:textId="7738023F" w:rsidR="00605C48" w:rsidRPr="00D0547A" w:rsidRDefault="00605C48" w:rsidP="00605C48">
      <w:pPr>
        <w:rPr>
          <w:rFonts w:ascii="Palatino Linotype" w:hAnsi="Palatino Linotype"/>
        </w:rPr>
      </w:pPr>
      <w:r w:rsidRPr="00D0547A">
        <w:rPr>
          <w:rFonts w:ascii="Palatino Linotype" w:hAnsi="Palatino Linotype"/>
          <w:b/>
          <w:iCs/>
          <w:color w:val="0070C0"/>
        </w:rPr>
        <w:t>*</w:t>
      </w:r>
      <w:r w:rsidRPr="00D0547A">
        <w:rPr>
          <w:rFonts w:ascii="Palatino Linotype" w:hAnsi="Palatino Linotype"/>
          <w:b/>
          <w:i/>
          <w:color w:val="0070C0"/>
        </w:rPr>
        <w:t>Darnley v Croydon Health Services NHS Trust</w:t>
      </w:r>
      <w:r w:rsidRPr="00D0547A">
        <w:rPr>
          <w:rFonts w:ascii="Palatino Linotype" w:hAnsi="Palatino Linotype"/>
          <w:b/>
          <w:color w:val="0070C0"/>
        </w:rPr>
        <w:t xml:space="preserve"> </w:t>
      </w:r>
      <w:r w:rsidRPr="00D0547A">
        <w:rPr>
          <w:rFonts w:ascii="Palatino Linotype" w:hAnsi="Palatino Linotype"/>
        </w:rPr>
        <w:t>[2018] UKSC 50</w:t>
      </w:r>
      <w:r w:rsidR="007749FF">
        <w:rPr>
          <w:rFonts w:ascii="Palatino Linotype" w:hAnsi="Palatino Linotype"/>
        </w:rPr>
        <w:t xml:space="preserve"> (</w:t>
      </w:r>
      <w:proofErr w:type="spellStart"/>
      <w:r w:rsidR="007749FF">
        <w:rPr>
          <w:rFonts w:ascii="Palatino Linotype" w:hAnsi="Palatino Linotype"/>
        </w:rPr>
        <w:t>N.b.</w:t>
      </w:r>
      <w:proofErr w:type="spellEnd"/>
      <w:r w:rsidR="007749FF">
        <w:rPr>
          <w:rFonts w:ascii="Palatino Linotype" w:hAnsi="Palatino Linotype"/>
        </w:rPr>
        <w:t xml:space="preserve"> Focus on the breach of duty discussion.)</w:t>
      </w:r>
    </w:p>
    <w:p w14:paraId="517B6DA8" w14:textId="607EE5D3" w:rsidR="00F1362E" w:rsidRPr="00D0547A" w:rsidRDefault="00F1362E" w:rsidP="49DE6236">
      <w:pPr>
        <w:ind w:right="26"/>
        <w:jc w:val="both"/>
        <w:rPr>
          <w:rFonts w:ascii="Palatino Linotype" w:hAnsi="Palatino Linotype"/>
          <w:b/>
          <w:i/>
          <w:iCs/>
        </w:rPr>
      </w:pPr>
    </w:p>
    <w:p w14:paraId="2EC55F1B" w14:textId="05EBE8DC" w:rsidR="001B2CE3" w:rsidRPr="00D0547A" w:rsidRDefault="001B2CE3" w:rsidP="001B2CE3">
      <w:pPr>
        <w:jc w:val="both"/>
        <w:rPr>
          <w:rFonts w:ascii="Palatino Linotype" w:hAnsi="Palatino Linotype"/>
          <w:b/>
        </w:rPr>
      </w:pPr>
      <w:r w:rsidRPr="00D0547A">
        <w:rPr>
          <w:rFonts w:ascii="Palatino Linotype" w:hAnsi="Palatino Linotype"/>
          <w:b/>
        </w:rPr>
        <w:t>Additional cases</w:t>
      </w:r>
    </w:p>
    <w:p w14:paraId="1966D211" w14:textId="5334F5F4" w:rsidR="00D0547A" w:rsidRDefault="00D0547A" w:rsidP="00D0547A">
      <w:pPr>
        <w:jc w:val="both"/>
        <w:rPr>
          <w:rFonts w:ascii="Palatino Linotype" w:hAnsi="Palatino Linotype" w:cs="Palatino Linotype"/>
          <w:bCs/>
          <w:color w:val="000000" w:themeColor="text1"/>
        </w:rPr>
      </w:pPr>
      <w:r w:rsidRPr="00D0547A">
        <w:rPr>
          <w:rFonts w:ascii="Palatino Linotype" w:hAnsi="Palatino Linotype" w:cs="Palatino Linotype"/>
          <w:bCs/>
          <w:i/>
          <w:iCs/>
          <w:color w:val="000000" w:themeColor="text1"/>
        </w:rPr>
        <w:t xml:space="preserve">Bolton v Stone </w:t>
      </w:r>
      <w:r w:rsidRPr="00D0547A">
        <w:rPr>
          <w:rFonts w:ascii="Palatino Linotype" w:hAnsi="Palatino Linotype" w:cs="Palatino Linotype"/>
          <w:bCs/>
          <w:color w:val="000000" w:themeColor="text1"/>
        </w:rPr>
        <w:t xml:space="preserve">[1951] AC 850 </w:t>
      </w:r>
    </w:p>
    <w:p w14:paraId="31CC6E8E" w14:textId="28996F1E" w:rsidR="002058B9" w:rsidRPr="00D0547A" w:rsidRDefault="002058B9" w:rsidP="00D0547A">
      <w:pPr>
        <w:jc w:val="both"/>
        <w:rPr>
          <w:rFonts w:ascii="Palatino Linotype" w:hAnsi="Palatino Linotype" w:cs="Palatino Linotype"/>
          <w:bCs/>
          <w:color w:val="000000" w:themeColor="text1"/>
        </w:rPr>
      </w:pPr>
      <w:r w:rsidRPr="002058B9">
        <w:rPr>
          <w:rFonts w:ascii="Palatino Linotype" w:hAnsi="Palatino Linotype" w:cs="Palatino Linotype"/>
          <w:bCs/>
          <w:i/>
          <w:iCs/>
          <w:color w:val="000000" w:themeColor="text1"/>
        </w:rPr>
        <w:t>Paris v Stepney Borough Council</w:t>
      </w:r>
      <w:r w:rsidRPr="002058B9">
        <w:rPr>
          <w:rFonts w:ascii="Palatino Linotype" w:hAnsi="Palatino Linotype" w:cs="Palatino Linotype"/>
          <w:bCs/>
          <w:color w:val="000000" w:themeColor="text1"/>
        </w:rPr>
        <w:t xml:space="preserve"> [1951] AC 367</w:t>
      </w:r>
    </w:p>
    <w:p w14:paraId="1895975E" w14:textId="2A60EB57" w:rsidR="00D0547A" w:rsidRPr="00D0547A" w:rsidRDefault="00D0547A" w:rsidP="00D0547A">
      <w:pPr>
        <w:jc w:val="both"/>
        <w:rPr>
          <w:rFonts w:ascii="Palatino Linotype" w:hAnsi="Palatino Linotype" w:cs="Palatino Linotype"/>
          <w:bCs/>
          <w:color w:val="000000" w:themeColor="text1"/>
        </w:rPr>
      </w:pPr>
      <w:r w:rsidRPr="00D0547A">
        <w:rPr>
          <w:rFonts w:ascii="Palatino Linotype" w:hAnsi="Palatino Linotype" w:cs="Palatino Linotype"/>
          <w:bCs/>
          <w:i/>
          <w:color w:val="000000" w:themeColor="text1"/>
        </w:rPr>
        <w:t>Cavanagh v Ulster Weaving Co Ltd</w:t>
      </w:r>
      <w:r w:rsidRPr="00D0547A">
        <w:rPr>
          <w:rFonts w:ascii="Palatino Linotype" w:hAnsi="Palatino Linotype" w:cs="Palatino Linotype"/>
          <w:bCs/>
          <w:color w:val="000000" w:themeColor="text1"/>
        </w:rPr>
        <w:t xml:space="preserve"> [1960] AC 145 (Viscount Simonds and Lord Tucker only)</w:t>
      </w:r>
    </w:p>
    <w:p w14:paraId="3DDCA5AC" w14:textId="63313E19" w:rsidR="00D0547A" w:rsidRPr="00D0547A" w:rsidRDefault="00D0547A" w:rsidP="00D0547A">
      <w:pPr>
        <w:jc w:val="both"/>
        <w:rPr>
          <w:rFonts w:ascii="Palatino Linotype" w:hAnsi="Palatino Linotype" w:cs="Palatino Linotype"/>
          <w:bCs/>
          <w:color w:val="000000" w:themeColor="text1"/>
        </w:rPr>
      </w:pPr>
      <w:r w:rsidRPr="00D0547A">
        <w:rPr>
          <w:rFonts w:ascii="Palatino Linotype" w:hAnsi="Palatino Linotype" w:cs="Palatino Linotype"/>
          <w:bCs/>
          <w:i/>
          <w:iCs/>
          <w:color w:val="000000" w:themeColor="text1"/>
        </w:rPr>
        <w:t xml:space="preserve">Wooldridge v Sumner </w:t>
      </w:r>
      <w:r w:rsidRPr="00D0547A">
        <w:rPr>
          <w:rFonts w:ascii="Palatino Linotype" w:hAnsi="Palatino Linotype" w:cs="Palatino Linotype"/>
          <w:bCs/>
          <w:color w:val="000000" w:themeColor="text1"/>
        </w:rPr>
        <w:t xml:space="preserve">[1963] 2 QB 43 </w:t>
      </w:r>
    </w:p>
    <w:p w14:paraId="54CC9DFC" w14:textId="015971DD" w:rsidR="00D0547A" w:rsidRPr="00D0547A" w:rsidRDefault="00D0547A" w:rsidP="00D0547A">
      <w:pPr>
        <w:jc w:val="both"/>
        <w:rPr>
          <w:rFonts w:ascii="Palatino Linotype" w:hAnsi="Palatino Linotype" w:cs="Palatino Linotype"/>
          <w:bCs/>
          <w:color w:val="000000" w:themeColor="text1"/>
        </w:rPr>
      </w:pPr>
      <w:r w:rsidRPr="00D0547A">
        <w:rPr>
          <w:rFonts w:ascii="Palatino Linotype" w:hAnsi="Palatino Linotype" w:cs="Palatino Linotype"/>
          <w:bCs/>
          <w:i/>
          <w:iCs/>
          <w:color w:val="000000" w:themeColor="text1"/>
        </w:rPr>
        <w:t xml:space="preserve">The Wagon Mound (No 2) </w:t>
      </w:r>
      <w:r w:rsidRPr="00D0547A">
        <w:rPr>
          <w:rFonts w:ascii="Palatino Linotype" w:hAnsi="Palatino Linotype" w:cs="Palatino Linotype"/>
          <w:bCs/>
          <w:color w:val="000000" w:themeColor="text1"/>
        </w:rPr>
        <w:t xml:space="preserve">[1967] 1 AC 617 </w:t>
      </w:r>
    </w:p>
    <w:p w14:paraId="5F71EC9F" w14:textId="415E2DA4" w:rsidR="00D0547A" w:rsidRDefault="00D0547A" w:rsidP="00D0547A">
      <w:pPr>
        <w:jc w:val="both"/>
        <w:rPr>
          <w:rFonts w:ascii="Palatino Linotype" w:hAnsi="Palatino Linotype" w:cs="Palatino Linotype"/>
        </w:rPr>
      </w:pPr>
      <w:r w:rsidRPr="00D0547A">
        <w:rPr>
          <w:rFonts w:ascii="Palatino Linotype" w:hAnsi="Palatino Linotype" w:cs="Palatino Linotype"/>
          <w:i/>
          <w:iCs/>
        </w:rPr>
        <w:lastRenderedPageBreak/>
        <w:t xml:space="preserve">Mansfield v Weetabix Ltd </w:t>
      </w:r>
      <w:r w:rsidRPr="00D0547A">
        <w:rPr>
          <w:rFonts w:ascii="Palatino Linotype" w:hAnsi="Palatino Linotype" w:cs="Palatino Linotype"/>
        </w:rPr>
        <w:t>[1998] 1 WLR 1263</w:t>
      </w:r>
    </w:p>
    <w:p w14:paraId="5509D3E7" w14:textId="65171EE8" w:rsidR="00796259" w:rsidRPr="00D0547A" w:rsidRDefault="00796259" w:rsidP="00D0547A">
      <w:pPr>
        <w:jc w:val="both"/>
        <w:rPr>
          <w:rFonts w:ascii="Palatino Linotype" w:hAnsi="Palatino Linotype" w:cs="Palatino Linotype"/>
          <w:bCs/>
          <w:color w:val="000000" w:themeColor="text1"/>
        </w:rPr>
      </w:pPr>
      <w:r w:rsidRPr="00796259">
        <w:rPr>
          <w:rFonts w:ascii="Palatino Linotype" w:hAnsi="Palatino Linotype" w:cs="Palatino Linotype"/>
          <w:bCs/>
          <w:i/>
          <w:iCs/>
          <w:color w:val="000000" w:themeColor="text1"/>
        </w:rPr>
        <w:t>Bolitho v City and Hackney Health Authority</w:t>
      </w:r>
      <w:r w:rsidRPr="00796259">
        <w:rPr>
          <w:rFonts w:ascii="Palatino Linotype" w:hAnsi="Palatino Linotype" w:cs="Palatino Linotype"/>
          <w:bCs/>
          <w:color w:val="000000" w:themeColor="text1"/>
        </w:rPr>
        <w:t xml:space="preserve"> [1998] AC 232</w:t>
      </w:r>
    </w:p>
    <w:p w14:paraId="48D5B8F8" w14:textId="66A9E4B9" w:rsidR="00D0547A" w:rsidRPr="00D0547A" w:rsidRDefault="00D0547A" w:rsidP="00D0547A">
      <w:pPr>
        <w:jc w:val="both"/>
        <w:rPr>
          <w:rFonts w:ascii="Palatino Linotype" w:hAnsi="Palatino Linotype" w:cs="Palatino Linotype"/>
          <w:bCs/>
          <w:color w:val="000000" w:themeColor="text1"/>
        </w:rPr>
      </w:pPr>
      <w:r w:rsidRPr="00D0547A">
        <w:rPr>
          <w:rFonts w:ascii="Palatino Linotype" w:hAnsi="Palatino Linotype" w:cs="Palatino Linotype"/>
          <w:bCs/>
          <w:i/>
          <w:iCs/>
          <w:color w:val="000000" w:themeColor="text1"/>
        </w:rPr>
        <w:t xml:space="preserve">George v Eagle Air Services Ltd </w:t>
      </w:r>
      <w:r w:rsidRPr="00D0547A">
        <w:rPr>
          <w:rFonts w:ascii="Palatino Linotype" w:hAnsi="Palatino Linotype" w:cs="Palatino Linotype"/>
          <w:bCs/>
          <w:color w:val="000000" w:themeColor="text1"/>
        </w:rPr>
        <w:t>[2009] UKPC 21</w:t>
      </w:r>
    </w:p>
    <w:p w14:paraId="68A54532" w14:textId="71A3AF42" w:rsidR="00605C48" w:rsidRPr="00D0547A" w:rsidRDefault="00D0547A" w:rsidP="000415AD">
      <w:pPr>
        <w:jc w:val="both"/>
        <w:rPr>
          <w:rFonts w:ascii="Palatino Linotype" w:hAnsi="Palatino Linotype" w:cs="Palatino Linotype"/>
          <w:bCs/>
          <w:color w:val="000000" w:themeColor="text1"/>
        </w:rPr>
      </w:pPr>
      <w:r w:rsidRPr="00D0547A">
        <w:rPr>
          <w:rFonts w:ascii="Palatino Linotype" w:hAnsi="Palatino Linotype" w:cs="Palatino Linotype"/>
          <w:bCs/>
          <w:i/>
          <w:iCs/>
          <w:color w:val="000000" w:themeColor="text1"/>
        </w:rPr>
        <w:t>Baker v Quantum Clothing Group Ltd</w:t>
      </w:r>
      <w:r w:rsidRPr="00D0547A">
        <w:rPr>
          <w:rFonts w:ascii="Palatino Linotype" w:hAnsi="Palatino Linotype" w:cs="Palatino Linotype"/>
          <w:bCs/>
          <w:color w:val="000000" w:themeColor="text1"/>
        </w:rPr>
        <w:t xml:space="preserve"> [2011] UKSC 17</w:t>
      </w:r>
    </w:p>
    <w:p w14:paraId="2F877336" w14:textId="5048AF85" w:rsidR="00D0547A" w:rsidRDefault="00D0547A" w:rsidP="000415AD">
      <w:pPr>
        <w:jc w:val="both"/>
        <w:rPr>
          <w:rFonts w:ascii="Palatino Linotype" w:hAnsi="Palatino Linotype" w:cs="Palatino Linotype"/>
        </w:rPr>
      </w:pPr>
      <w:r w:rsidRPr="00D0547A">
        <w:rPr>
          <w:rFonts w:ascii="Palatino Linotype" w:hAnsi="Palatino Linotype" w:cs="Palatino Linotype"/>
          <w:i/>
        </w:rPr>
        <w:t>Dunnage v Randall</w:t>
      </w:r>
      <w:r w:rsidRPr="00D0547A">
        <w:rPr>
          <w:rFonts w:ascii="Palatino Linotype" w:hAnsi="Palatino Linotype" w:cs="Palatino Linotype"/>
        </w:rPr>
        <w:t xml:space="preserve"> [2015] EWCA </w:t>
      </w:r>
      <w:proofErr w:type="spellStart"/>
      <w:r w:rsidRPr="00D0547A">
        <w:rPr>
          <w:rFonts w:ascii="Palatino Linotype" w:hAnsi="Palatino Linotype" w:cs="Palatino Linotype"/>
        </w:rPr>
        <w:t>Civ</w:t>
      </w:r>
      <w:proofErr w:type="spellEnd"/>
      <w:r w:rsidRPr="00D0547A">
        <w:rPr>
          <w:rFonts w:ascii="Palatino Linotype" w:hAnsi="Palatino Linotype" w:cs="Palatino Linotype"/>
        </w:rPr>
        <w:t xml:space="preserve"> 673</w:t>
      </w:r>
    </w:p>
    <w:p w14:paraId="0F8256BD" w14:textId="22D6512D" w:rsidR="00D0547A" w:rsidRPr="00D0547A" w:rsidRDefault="00D0547A" w:rsidP="000415AD">
      <w:pPr>
        <w:jc w:val="both"/>
        <w:rPr>
          <w:rFonts w:ascii="Palatino Linotype" w:hAnsi="Palatino Linotype" w:cs="Palatino Linotype"/>
          <w:bCs/>
          <w:color w:val="000000" w:themeColor="text1"/>
        </w:rPr>
      </w:pPr>
      <w:r w:rsidRPr="00D0547A">
        <w:rPr>
          <w:rFonts w:ascii="Palatino Linotype" w:hAnsi="Palatino Linotype" w:cs="Palatino Linotype"/>
          <w:bCs/>
          <w:i/>
          <w:iCs/>
          <w:color w:val="000000" w:themeColor="text1"/>
        </w:rPr>
        <w:t xml:space="preserve">Royal Opera House Covent Garden Foundation v </w:t>
      </w:r>
      <w:proofErr w:type="spellStart"/>
      <w:r w:rsidRPr="00D0547A">
        <w:rPr>
          <w:rFonts w:ascii="Palatino Linotype" w:hAnsi="Palatino Linotype" w:cs="Palatino Linotype"/>
          <w:bCs/>
          <w:i/>
          <w:iCs/>
          <w:color w:val="000000" w:themeColor="text1"/>
        </w:rPr>
        <w:t>Goldscheider</w:t>
      </w:r>
      <w:proofErr w:type="spellEnd"/>
      <w:r w:rsidRPr="00D0547A">
        <w:rPr>
          <w:rFonts w:ascii="Palatino Linotype" w:hAnsi="Palatino Linotype" w:cs="Palatino Linotype"/>
          <w:bCs/>
          <w:color w:val="000000" w:themeColor="text1"/>
        </w:rPr>
        <w:t xml:space="preserve"> [2019] EWCA </w:t>
      </w:r>
      <w:proofErr w:type="spellStart"/>
      <w:r w:rsidRPr="00D0547A">
        <w:rPr>
          <w:rFonts w:ascii="Palatino Linotype" w:hAnsi="Palatino Linotype" w:cs="Palatino Linotype"/>
          <w:bCs/>
          <w:color w:val="000000" w:themeColor="text1"/>
        </w:rPr>
        <w:t>Civ</w:t>
      </w:r>
      <w:proofErr w:type="spellEnd"/>
      <w:r w:rsidRPr="00D0547A">
        <w:rPr>
          <w:rFonts w:ascii="Palatino Linotype" w:hAnsi="Palatino Linotype" w:cs="Palatino Linotype"/>
          <w:bCs/>
          <w:color w:val="000000" w:themeColor="text1"/>
        </w:rPr>
        <w:t xml:space="preserve"> 711</w:t>
      </w:r>
    </w:p>
    <w:p w14:paraId="343CF40C" w14:textId="77777777" w:rsidR="00D0547A" w:rsidRPr="00D0547A" w:rsidRDefault="00D0547A" w:rsidP="000415AD">
      <w:pPr>
        <w:jc w:val="both"/>
        <w:rPr>
          <w:rFonts w:ascii="Palatino Linotype" w:hAnsi="Palatino Linotype" w:cs="Palatino Linotype"/>
          <w:b/>
          <w:bCs/>
        </w:rPr>
      </w:pPr>
    </w:p>
    <w:p w14:paraId="217F82A8" w14:textId="26639344" w:rsidR="00605C48" w:rsidRPr="00D0547A" w:rsidRDefault="00605C48" w:rsidP="000415AD">
      <w:pPr>
        <w:jc w:val="both"/>
        <w:rPr>
          <w:rFonts w:ascii="Palatino Linotype" w:hAnsi="Palatino Linotype"/>
          <w:b/>
          <w:iCs/>
        </w:rPr>
      </w:pPr>
      <w:r w:rsidRPr="00D0547A">
        <w:rPr>
          <w:rFonts w:ascii="Palatino Linotype" w:hAnsi="Palatino Linotype"/>
          <w:b/>
          <w:iCs/>
        </w:rPr>
        <w:t>Legislation</w:t>
      </w:r>
    </w:p>
    <w:p w14:paraId="5370A392" w14:textId="77777777" w:rsidR="00605C48" w:rsidRPr="00D0547A" w:rsidRDefault="00605C48" w:rsidP="00605C48">
      <w:pPr>
        <w:jc w:val="both"/>
        <w:rPr>
          <w:rFonts w:ascii="Palatino Linotype" w:hAnsi="Palatino Linotype" w:cs="Palatino Linotype"/>
          <w:b/>
          <w:color w:val="0070C0"/>
        </w:rPr>
      </w:pPr>
      <w:r w:rsidRPr="00D0547A">
        <w:rPr>
          <w:rFonts w:ascii="Palatino Linotype" w:hAnsi="Palatino Linotype" w:cs="Palatino Linotype"/>
          <w:bCs/>
          <w:color w:val="0070C0"/>
        </w:rPr>
        <w:t>*</w:t>
      </w:r>
      <w:r w:rsidRPr="00D0547A">
        <w:rPr>
          <w:rFonts w:ascii="Palatino Linotype" w:hAnsi="Palatino Linotype" w:cs="Palatino Linotype"/>
          <w:b/>
          <w:color w:val="0070C0"/>
        </w:rPr>
        <w:t xml:space="preserve">Compensation Act 2006, s1 </w:t>
      </w:r>
    </w:p>
    <w:p w14:paraId="34231B08" w14:textId="41D0D381" w:rsidR="006F4FBD" w:rsidRPr="006F4FBD" w:rsidRDefault="00605C48" w:rsidP="000415AD">
      <w:pPr>
        <w:jc w:val="both"/>
        <w:rPr>
          <w:rFonts w:ascii="Palatino Linotype" w:hAnsi="Palatino Linotype" w:cs="Palatino Linotype"/>
          <w:b/>
          <w:color w:val="0070C0"/>
        </w:rPr>
      </w:pPr>
      <w:r w:rsidRPr="00D0547A">
        <w:rPr>
          <w:rFonts w:ascii="Palatino Linotype" w:hAnsi="Palatino Linotype" w:cs="Palatino Linotype"/>
          <w:bCs/>
          <w:color w:val="0070C0"/>
        </w:rPr>
        <w:t>*</w:t>
      </w:r>
      <w:r w:rsidRPr="00D0547A">
        <w:rPr>
          <w:rFonts w:ascii="Palatino Linotype" w:hAnsi="Palatino Linotype" w:cs="Palatino Linotype"/>
          <w:b/>
          <w:color w:val="0070C0"/>
        </w:rPr>
        <w:t>Social Action, Responsibility and Heroism Act 2015</w:t>
      </w:r>
    </w:p>
    <w:p w14:paraId="2E917A4F" w14:textId="77777777" w:rsidR="001D5B5F" w:rsidRPr="00D0547A" w:rsidRDefault="001D5B5F" w:rsidP="001B7FB8">
      <w:pPr>
        <w:jc w:val="both"/>
        <w:rPr>
          <w:rFonts w:ascii="Palatino Linotype" w:hAnsi="Palatino Linotype"/>
        </w:rPr>
      </w:pPr>
    </w:p>
    <w:p w14:paraId="3BC1A75E" w14:textId="23F2EF6B" w:rsidR="00AB104A" w:rsidRPr="00D0547A" w:rsidRDefault="00AB104A" w:rsidP="001B7FB8">
      <w:pPr>
        <w:jc w:val="both"/>
        <w:rPr>
          <w:rFonts w:ascii="Palatino Linotype" w:hAnsi="Palatino Linotype"/>
          <w:b/>
          <w:bCs/>
        </w:rPr>
      </w:pPr>
      <w:r w:rsidRPr="00D0547A">
        <w:rPr>
          <w:rFonts w:ascii="Palatino Linotype" w:hAnsi="Palatino Linotype"/>
          <w:b/>
          <w:bCs/>
        </w:rPr>
        <w:t>Articles</w:t>
      </w:r>
    </w:p>
    <w:p w14:paraId="3E1A5F67" w14:textId="7E563649" w:rsidR="00D07999" w:rsidRPr="00D0547A" w:rsidRDefault="00D07999" w:rsidP="00D07999">
      <w:pPr>
        <w:jc w:val="both"/>
        <w:rPr>
          <w:rStyle w:val="IntenseEmphasis"/>
          <w:rFonts w:ascii="Palatino Linotype" w:hAnsi="Palatino Linotype"/>
          <w:b w:val="0"/>
          <w:bCs/>
          <w:i w:val="0"/>
          <w:iCs w:val="0"/>
          <w:color w:val="000000" w:themeColor="text1"/>
        </w:rPr>
      </w:pPr>
      <w:r w:rsidRPr="00D0547A">
        <w:rPr>
          <w:rStyle w:val="IntenseEmphasis"/>
          <w:rFonts w:ascii="Palatino Linotype" w:hAnsi="Palatino Linotype"/>
          <w:b w:val="0"/>
          <w:bCs/>
          <w:i w:val="0"/>
          <w:iCs w:val="0"/>
          <w:color w:val="000000" w:themeColor="text1"/>
        </w:rPr>
        <w:t xml:space="preserve">J Gardner, ‘The many faces of the reasonable person’ (2015) 131 </w:t>
      </w:r>
      <w:r w:rsidRPr="00D0547A">
        <w:rPr>
          <w:rStyle w:val="IntenseEmphasis"/>
          <w:rFonts w:ascii="Palatino Linotype" w:hAnsi="Palatino Linotype"/>
          <w:b w:val="0"/>
          <w:bCs/>
          <w:color w:val="000000" w:themeColor="text1"/>
        </w:rPr>
        <w:t>Law Quarterly Review</w:t>
      </w:r>
      <w:r w:rsidRPr="00D0547A">
        <w:rPr>
          <w:rStyle w:val="IntenseEmphasis"/>
          <w:rFonts w:ascii="Palatino Linotype" w:hAnsi="Palatino Linotype"/>
          <w:b w:val="0"/>
          <w:bCs/>
          <w:i w:val="0"/>
          <w:iCs w:val="0"/>
          <w:color w:val="000000" w:themeColor="text1"/>
        </w:rPr>
        <w:t xml:space="preserve"> 563</w:t>
      </w:r>
    </w:p>
    <w:p w14:paraId="2C059774" w14:textId="58656E9E" w:rsidR="00D07999" w:rsidRPr="00D0547A" w:rsidRDefault="00D07999" w:rsidP="00D07999">
      <w:pPr>
        <w:jc w:val="both"/>
        <w:rPr>
          <w:rStyle w:val="IntenseEmphasis"/>
          <w:rFonts w:ascii="Palatino Linotype" w:hAnsi="Palatino Linotype"/>
          <w:b w:val="0"/>
          <w:bCs/>
          <w:i w:val="0"/>
          <w:iCs w:val="0"/>
          <w:color w:val="000000" w:themeColor="text1"/>
        </w:rPr>
      </w:pPr>
      <w:r w:rsidRPr="00D0547A">
        <w:rPr>
          <w:rStyle w:val="IntenseEmphasis"/>
          <w:rFonts w:ascii="Palatino Linotype" w:hAnsi="Palatino Linotype"/>
          <w:b w:val="0"/>
          <w:bCs/>
          <w:i w:val="0"/>
          <w:iCs w:val="0"/>
          <w:color w:val="000000" w:themeColor="text1"/>
        </w:rPr>
        <w:t xml:space="preserve">J Montrose, ‘Is Negligence an Ethical or a Sociological Concept’ (1958) 21 </w:t>
      </w:r>
      <w:r w:rsidRPr="00D0547A">
        <w:rPr>
          <w:rStyle w:val="IntenseEmphasis"/>
          <w:rFonts w:ascii="Palatino Linotype" w:hAnsi="Palatino Linotype"/>
          <w:b w:val="0"/>
          <w:bCs/>
          <w:color w:val="000000" w:themeColor="text1"/>
        </w:rPr>
        <w:t>Modern Law Review</w:t>
      </w:r>
      <w:r w:rsidRPr="00D0547A">
        <w:rPr>
          <w:rStyle w:val="IntenseEmphasis"/>
          <w:rFonts w:ascii="Palatino Linotype" w:hAnsi="Palatino Linotype"/>
          <w:b w:val="0"/>
          <w:bCs/>
          <w:i w:val="0"/>
          <w:iCs w:val="0"/>
          <w:color w:val="000000" w:themeColor="text1"/>
        </w:rPr>
        <w:t xml:space="preserve"> 259</w:t>
      </w:r>
    </w:p>
    <w:p w14:paraId="539E6F36" w14:textId="77777777" w:rsidR="00E8260A" w:rsidRPr="00D0547A" w:rsidRDefault="00E8260A" w:rsidP="00D07999">
      <w:pPr>
        <w:jc w:val="both"/>
        <w:rPr>
          <w:rStyle w:val="IntenseEmphasis"/>
          <w:rFonts w:ascii="Palatino Linotype" w:hAnsi="Palatino Linotype"/>
          <w:i w:val="0"/>
          <w:iCs w:val="0"/>
          <w:color w:val="000000" w:themeColor="text1"/>
        </w:rPr>
      </w:pPr>
    </w:p>
    <w:p w14:paraId="6D8FFC87" w14:textId="6E961315" w:rsidR="00D07999" w:rsidRPr="00D0547A" w:rsidRDefault="00D07999" w:rsidP="00D07999">
      <w:pPr>
        <w:jc w:val="both"/>
        <w:rPr>
          <w:rStyle w:val="IntenseEmphasis"/>
          <w:rFonts w:ascii="Palatino Linotype" w:hAnsi="Palatino Linotype"/>
          <w:b w:val="0"/>
          <w:bCs/>
          <w:i w:val="0"/>
          <w:iCs w:val="0"/>
          <w:color w:val="000000" w:themeColor="text1"/>
        </w:rPr>
      </w:pPr>
      <w:r w:rsidRPr="00D0547A">
        <w:rPr>
          <w:rStyle w:val="IntenseEmphasis"/>
          <w:rFonts w:ascii="Palatino Linotype" w:hAnsi="Palatino Linotype"/>
          <w:b w:val="0"/>
          <w:bCs/>
          <w:i w:val="0"/>
          <w:iCs w:val="0"/>
          <w:color w:val="000000" w:themeColor="text1"/>
        </w:rPr>
        <w:t xml:space="preserve">D Nolan, ‘Varying the Standard of Care in Negligence' [2013] 72 </w:t>
      </w:r>
      <w:r w:rsidRPr="00D0547A">
        <w:rPr>
          <w:rStyle w:val="IntenseEmphasis"/>
          <w:rFonts w:ascii="Palatino Linotype" w:hAnsi="Palatino Linotype"/>
          <w:b w:val="0"/>
          <w:bCs/>
          <w:color w:val="000000" w:themeColor="text1"/>
        </w:rPr>
        <w:t>Cambridge Law Journal</w:t>
      </w:r>
      <w:r w:rsidRPr="00D0547A">
        <w:rPr>
          <w:rStyle w:val="IntenseEmphasis"/>
          <w:rFonts w:ascii="Palatino Linotype" w:hAnsi="Palatino Linotype"/>
          <w:b w:val="0"/>
          <w:bCs/>
          <w:i w:val="0"/>
          <w:iCs w:val="0"/>
          <w:color w:val="000000" w:themeColor="text1"/>
        </w:rPr>
        <w:t xml:space="preserve"> 651</w:t>
      </w:r>
    </w:p>
    <w:p w14:paraId="214D45BF" w14:textId="65FD5933" w:rsidR="00E8260A" w:rsidRPr="00D0547A" w:rsidRDefault="00E8260A" w:rsidP="00E8260A">
      <w:pPr>
        <w:pStyle w:val="paragraph"/>
        <w:spacing w:before="0" w:beforeAutospacing="0" w:after="0" w:afterAutospacing="0"/>
        <w:jc w:val="both"/>
        <w:textAlignment w:val="baseline"/>
        <w:rPr>
          <w:rFonts w:ascii="Palatino Linotype" w:eastAsia="Palatino Linotype" w:hAnsi="Palatino Linotype" w:cs="Palatino Linotype"/>
        </w:rPr>
      </w:pPr>
      <w:r w:rsidRPr="00D0547A">
        <w:rPr>
          <w:rFonts w:ascii="Palatino Linotype" w:eastAsia="Palatino Linotype" w:hAnsi="Palatino Linotype" w:cs="Palatino Linotype"/>
        </w:rPr>
        <w:t xml:space="preserve">C </w:t>
      </w:r>
      <w:proofErr w:type="spellStart"/>
      <w:r w:rsidRPr="00D0547A">
        <w:rPr>
          <w:rFonts w:ascii="Palatino Linotype" w:eastAsia="Palatino Linotype" w:hAnsi="Palatino Linotype" w:cs="Palatino Linotype"/>
        </w:rPr>
        <w:t>Purshouse</w:t>
      </w:r>
      <w:proofErr w:type="spellEnd"/>
      <w:r w:rsidRPr="00D0547A">
        <w:rPr>
          <w:rFonts w:ascii="Palatino Linotype" w:eastAsia="Palatino Linotype" w:hAnsi="Palatino Linotype" w:cs="Palatino Linotype"/>
        </w:rPr>
        <w:t xml:space="preserve">, ‘The Impatient Patient and The Unreceptive Receptionist: </w:t>
      </w:r>
      <w:r w:rsidRPr="00D0547A">
        <w:rPr>
          <w:rFonts w:ascii="Palatino Linotype" w:eastAsia="Palatino Linotype" w:hAnsi="Palatino Linotype" w:cs="Palatino Linotype"/>
          <w:i/>
          <w:iCs/>
        </w:rPr>
        <w:t>Darnley v Croydon Health Services NHS Trust</w:t>
      </w:r>
      <w:r w:rsidRPr="00D0547A">
        <w:rPr>
          <w:rFonts w:ascii="Palatino Linotype" w:eastAsia="Palatino Linotype" w:hAnsi="Palatino Linotype" w:cs="Palatino Linotype"/>
        </w:rPr>
        <w:t xml:space="preserve"> [2018] UKSC 50’ (2019) 27(2) </w:t>
      </w:r>
      <w:r w:rsidRPr="00D0547A">
        <w:rPr>
          <w:rFonts w:ascii="Palatino Linotype" w:eastAsia="Palatino Linotype" w:hAnsi="Palatino Linotype" w:cs="Palatino Linotype"/>
          <w:i/>
          <w:iCs/>
        </w:rPr>
        <w:t>Medical Law Review</w:t>
      </w:r>
      <w:r w:rsidRPr="00D0547A">
        <w:rPr>
          <w:rFonts w:ascii="Palatino Linotype" w:eastAsia="Palatino Linotype" w:hAnsi="Palatino Linotype" w:cs="Palatino Linotype"/>
        </w:rPr>
        <w:t>, 318</w:t>
      </w:r>
    </w:p>
    <w:p w14:paraId="2C798176" w14:textId="078720AE" w:rsidR="00E8260A" w:rsidRPr="00D0547A" w:rsidRDefault="00E8260A" w:rsidP="00E8260A">
      <w:pPr>
        <w:pStyle w:val="paragraph"/>
        <w:spacing w:before="0" w:beforeAutospacing="0" w:after="0" w:afterAutospacing="0"/>
        <w:jc w:val="both"/>
        <w:textAlignment w:val="baseline"/>
        <w:rPr>
          <w:rFonts w:ascii="Palatino Linotype" w:eastAsia="Palatino Linotype" w:hAnsi="Palatino Linotype" w:cs="Palatino Linotype"/>
        </w:rPr>
      </w:pPr>
      <w:r w:rsidRPr="00D0547A">
        <w:rPr>
          <w:rFonts w:ascii="Palatino Linotype" w:eastAsia="Palatino Linotype" w:hAnsi="Palatino Linotype" w:cs="Palatino Linotype"/>
        </w:rPr>
        <w:t xml:space="preserve">J </w:t>
      </w:r>
      <w:proofErr w:type="spellStart"/>
      <w:r w:rsidRPr="00D0547A">
        <w:rPr>
          <w:rFonts w:ascii="Palatino Linotype" w:eastAsia="Palatino Linotype" w:hAnsi="Palatino Linotype" w:cs="Palatino Linotype"/>
        </w:rPr>
        <w:t>Goudkamp</w:t>
      </w:r>
      <w:proofErr w:type="spellEnd"/>
      <w:r w:rsidRPr="00D0547A">
        <w:rPr>
          <w:rFonts w:ascii="Palatino Linotype" w:eastAsia="Palatino Linotype" w:hAnsi="Palatino Linotype" w:cs="Palatino Linotype"/>
        </w:rPr>
        <w:t xml:space="preserve">, ‘Breach of Duty: A Disappearing Element of the Action in Negligence’ (2017) 75 </w:t>
      </w:r>
      <w:r w:rsidRPr="00D0547A">
        <w:rPr>
          <w:rFonts w:ascii="Palatino Linotype" w:eastAsia="Palatino Linotype" w:hAnsi="Palatino Linotype" w:cs="Palatino Linotype"/>
          <w:i/>
          <w:iCs/>
        </w:rPr>
        <w:t>Cambridge Law Journal</w:t>
      </w:r>
      <w:r w:rsidRPr="00D0547A">
        <w:rPr>
          <w:rFonts w:ascii="Palatino Linotype" w:eastAsia="Palatino Linotype" w:hAnsi="Palatino Linotype" w:cs="Palatino Linotype"/>
        </w:rPr>
        <w:t xml:space="preserve"> 12</w:t>
      </w:r>
    </w:p>
    <w:p w14:paraId="0E670591" w14:textId="77777777" w:rsidR="00E8260A" w:rsidRPr="00D0547A" w:rsidRDefault="00E8260A" w:rsidP="00D07999">
      <w:pPr>
        <w:jc w:val="both"/>
        <w:rPr>
          <w:rStyle w:val="IntenseEmphasis"/>
          <w:rFonts w:ascii="Palatino Linotype" w:hAnsi="Palatino Linotype"/>
          <w:b w:val="0"/>
          <w:bCs/>
          <w:i w:val="0"/>
          <w:iCs w:val="0"/>
          <w:color w:val="000000" w:themeColor="text1"/>
        </w:rPr>
      </w:pPr>
    </w:p>
    <w:p w14:paraId="6FEA21CA" w14:textId="77777777" w:rsidR="003B4EFB" w:rsidRDefault="003B4EFB" w:rsidP="003B4EFB">
      <w:pPr>
        <w:rPr>
          <w:rFonts w:ascii="Palatino Linotype" w:hAnsi="Palatino Linotype" w:cs="Palatino Linotype"/>
          <w:b/>
          <w:bCs/>
          <w:u w:val="single"/>
        </w:rPr>
      </w:pPr>
    </w:p>
    <w:p w14:paraId="041F2AB0" w14:textId="77777777" w:rsidR="003B4EFB" w:rsidRDefault="003B4EFB" w:rsidP="003B4EFB">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r>
        <w:rPr>
          <w:rFonts w:ascii="Palatino Linotype" w:hAnsi="Palatino Linotype" w:cs="Palatino Linotype"/>
          <w:b/>
          <w:bCs/>
          <w:u w:val="single"/>
        </w:rPr>
        <w:t>Beyond tort</w:t>
      </w:r>
    </w:p>
    <w:p w14:paraId="3AB54F6B" w14:textId="77777777" w:rsidR="003B4EFB" w:rsidRDefault="003B4EFB" w:rsidP="003B4EFB">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58B49F86" w14:textId="6FBB88CA" w:rsidR="003B4EFB" w:rsidRPr="007749FF" w:rsidRDefault="003B4EFB" w:rsidP="003B4EFB">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Read:</w:t>
      </w:r>
      <w:r w:rsidR="007749FF">
        <w:rPr>
          <w:rFonts w:ascii="Palatino Linotype" w:hAnsi="Palatino Linotype" w:cs="Palatino Linotype"/>
        </w:rPr>
        <w:t xml:space="preserve"> Joe Tasker, </w:t>
      </w:r>
      <w:r w:rsidR="007749FF">
        <w:rPr>
          <w:rFonts w:ascii="Palatino Linotype" w:hAnsi="Palatino Linotype" w:cs="Palatino Linotype"/>
          <w:i/>
          <w:iCs/>
        </w:rPr>
        <w:t xml:space="preserve">Savage Arena: K2, </w:t>
      </w:r>
      <w:proofErr w:type="spellStart"/>
      <w:r w:rsidR="007749FF">
        <w:rPr>
          <w:rFonts w:ascii="Palatino Linotype" w:hAnsi="Palatino Linotype" w:cs="Palatino Linotype"/>
          <w:i/>
          <w:iCs/>
        </w:rPr>
        <w:t>Changabang</w:t>
      </w:r>
      <w:proofErr w:type="spellEnd"/>
      <w:r w:rsidR="007749FF">
        <w:rPr>
          <w:rFonts w:ascii="Palatino Linotype" w:hAnsi="Palatino Linotype" w:cs="Palatino Linotype"/>
          <w:i/>
          <w:iCs/>
        </w:rPr>
        <w:t xml:space="preserve"> and the North Face of the </w:t>
      </w:r>
      <w:proofErr w:type="spellStart"/>
      <w:r w:rsidR="007749FF">
        <w:rPr>
          <w:rFonts w:ascii="Palatino Linotype" w:hAnsi="Palatino Linotype" w:cs="Palatino Linotype"/>
          <w:i/>
          <w:iCs/>
        </w:rPr>
        <w:t>Eiger</w:t>
      </w:r>
      <w:proofErr w:type="spellEnd"/>
      <w:r w:rsidR="007749FF">
        <w:rPr>
          <w:rFonts w:ascii="Palatino Linotype" w:hAnsi="Palatino Linotype" w:cs="Palatino Linotype"/>
          <w:i/>
          <w:iCs/>
        </w:rPr>
        <w:t xml:space="preserve">. </w:t>
      </w:r>
      <w:r w:rsidR="007749FF">
        <w:rPr>
          <w:rFonts w:ascii="Palatino Linotype" w:hAnsi="Palatino Linotype" w:cs="Palatino Linotype"/>
        </w:rPr>
        <w:t>A gripping adventure, and a window into the mindset of cutting-edge mountaineering. Probably the best piece of climbing literature ever written.</w:t>
      </w:r>
    </w:p>
    <w:p w14:paraId="2458C7D9" w14:textId="77777777" w:rsidR="003B4EFB" w:rsidRDefault="003B4EFB" w:rsidP="003B4EFB">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7CF7A672" w14:textId="7A83C186" w:rsidR="003B4EFB" w:rsidRPr="007749FF" w:rsidRDefault="003B4EFB" w:rsidP="003B4EFB">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 xml:space="preserve">Watch: </w:t>
      </w:r>
      <w:r w:rsidR="007749FF">
        <w:rPr>
          <w:rFonts w:ascii="Palatino Linotype" w:hAnsi="Palatino Linotype" w:cs="Palatino Linotype"/>
          <w:i/>
          <w:iCs/>
        </w:rPr>
        <w:t xml:space="preserve">Breaking Bad. </w:t>
      </w:r>
      <w:r w:rsidR="007749FF">
        <w:rPr>
          <w:rFonts w:ascii="Palatino Linotype" w:hAnsi="Palatino Linotype" w:cs="Palatino Linotype"/>
        </w:rPr>
        <w:t xml:space="preserve">Once you’ve finished watching </w:t>
      </w:r>
      <w:r w:rsidR="007749FF">
        <w:rPr>
          <w:rFonts w:ascii="Palatino Linotype" w:hAnsi="Palatino Linotype" w:cs="Palatino Linotype"/>
          <w:i/>
          <w:iCs/>
        </w:rPr>
        <w:t>The Sopranos</w:t>
      </w:r>
      <w:r w:rsidR="007749FF">
        <w:rPr>
          <w:rFonts w:ascii="Palatino Linotype" w:hAnsi="Palatino Linotype" w:cs="Palatino Linotype"/>
        </w:rPr>
        <w:t>, move on to this. Together, they lay the foundations for most of what is good in modern TV.</w:t>
      </w:r>
    </w:p>
    <w:p w14:paraId="43B962B8" w14:textId="77777777" w:rsidR="003B4EFB" w:rsidRDefault="003B4EFB" w:rsidP="003B4EFB">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p>
    <w:p w14:paraId="3A0CF7B3" w14:textId="69F482E7" w:rsidR="003B4EFB" w:rsidRPr="00CD4FB7" w:rsidRDefault="003B4EFB" w:rsidP="003B4EFB">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Listen:</w:t>
      </w:r>
      <w:r w:rsidR="00CD4FB7">
        <w:rPr>
          <w:rFonts w:ascii="Palatino Linotype" w:hAnsi="Palatino Linotype" w:cs="Palatino Linotype"/>
        </w:rPr>
        <w:t xml:space="preserve"> J </w:t>
      </w:r>
      <w:proofErr w:type="spellStart"/>
      <w:r w:rsidR="00CD4FB7">
        <w:rPr>
          <w:rFonts w:ascii="Palatino Linotype" w:hAnsi="Palatino Linotype" w:cs="Palatino Linotype"/>
        </w:rPr>
        <w:t>Dilla</w:t>
      </w:r>
      <w:proofErr w:type="spellEnd"/>
      <w:r w:rsidR="00CD4FB7">
        <w:rPr>
          <w:rFonts w:ascii="Palatino Linotype" w:hAnsi="Palatino Linotype" w:cs="Palatino Linotype"/>
        </w:rPr>
        <w:t xml:space="preserve">, </w:t>
      </w:r>
      <w:r w:rsidR="00CD4FB7">
        <w:rPr>
          <w:rFonts w:ascii="Palatino Linotype" w:hAnsi="Palatino Linotype" w:cs="Palatino Linotype"/>
          <w:i/>
          <w:iCs/>
        </w:rPr>
        <w:t xml:space="preserve">Donuts. </w:t>
      </w:r>
      <w:r w:rsidR="00596A59">
        <w:rPr>
          <w:rFonts w:ascii="Palatino Linotype" w:hAnsi="Palatino Linotype" w:cs="Palatino Linotype"/>
        </w:rPr>
        <w:t>Objectively the</w:t>
      </w:r>
      <w:r w:rsidR="00CD4FB7">
        <w:rPr>
          <w:rFonts w:ascii="Palatino Linotype" w:hAnsi="Palatino Linotype" w:cs="Palatino Linotype"/>
        </w:rPr>
        <w:t xml:space="preserve"> best hip-hop instrumental album ever made. </w:t>
      </w:r>
      <w:r w:rsidR="00E711F3">
        <w:rPr>
          <w:rFonts w:ascii="Palatino Linotype" w:hAnsi="Palatino Linotype" w:cs="Palatino Linotype"/>
        </w:rPr>
        <w:t xml:space="preserve">All of modern music production owes a great debt to </w:t>
      </w:r>
      <w:proofErr w:type="spellStart"/>
      <w:r w:rsidR="00E711F3">
        <w:rPr>
          <w:rFonts w:ascii="Palatino Linotype" w:hAnsi="Palatino Linotype" w:cs="Palatino Linotype"/>
        </w:rPr>
        <w:t>Dilla</w:t>
      </w:r>
      <w:proofErr w:type="spellEnd"/>
      <w:r w:rsidR="00E711F3">
        <w:rPr>
          <w:rFonts w:ascii="Palatino Linotype" w:hAnsi="Palatino Linotype" w:cs="Palatino Linotype"/>
        </w:rPr>
        <w:t>. He made this album essentially while on his deathbed.</w:t>
      </w:r>
    </w:p>
    <w:p w14:paraId="1E87531D" w14:textId="77777777" w:rsidR="003B4EFB" w:rsidRPr="00502212" w:rsidRDefault="003B4EFB" w:rsidP="003B4EFB">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28653652" w14:textId="77777777" w:rsidR="00507B1A" w:rsidRPr="00D0547A" w:rsidRDefault="00507B1A" w:rsidP="49DE6236">
      <w:pPr>
        <w:pStyle w:val="Title"/>
        <w:jc w:val="both"/>
        <w:rPr>
          <w:rFonts w:ascii="Palatino Linotype" w:hAnsi="Palatino Linotype"/>
          <w:i/>
          <w:iCs/>
          <w:color w:val="000000" w:themeColor="text1"/>
        </w:rPr>
      </w:pPr>
    </w:p>
    <w:p w14:paraId="0ACE794F" w14:textId="31C4E49A" w:rsidR="0087097F" w:rsidRPr="00D0547A" w:rsidRDefault="0087097F" w:rsidP="0087097F">
      <w:pPr>
        <w:rPr>
          <w:rStyle w:val="IntenseEmphasis"/>
          <w:rFonts w:ascii="Palatino Linotype" w:hAnsi="Palatino Linotype"/>
          <w:b w:val="0"/>
          <w:bCs/>
          <w:i w:val="0"/>
          <w:iCs w:val="0"/>
          <w:color w:val="000000" w:themeColor="text1"/>
        </w:rPr>
      </w:pPr>
    </w:p>
    <w:sectPr w:rsidR="0087097F" w:rsidRPr="00D0547A" w:rsidSect="00187EE7">
      <w:footerReference w:type="even" r:id="rId11"/>
      <w:footerReference w:type="defaul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4D49B" w14:textId="77777777" w:rsidR="008F3CDE" w:rsidRDefault="008F3CDE" w:rsidP="00832E5F">
      <w:r>
        <w:separator/>
      </w:r>
    </w:p>
  </w:endnote>
  <w:endnote w:type="continuationSeparator" w:id="0">
    <w:p w14:paraId="0EAEF3DE" w14:textId="77777777" w:rsidR="008F3CDE" w:rsidRDefault="008F3CDE" w:rsidP="00832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Kings Caslon Text">
    <w:altName w:val="Calibri"/>
    <w:panose1 w:val="020B0604020202020204"/>
    <w:charset w:val="00"/>
    <w:family w:val="auto"/>
    <w:pitch w:val="variable"/>
    <w:sig w:usb0="A00000AF" w:usb1="5000205B" w:usb2="00000000" w:usb3="00000000" w:csb0="0000009B"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95824" w14:textId="08E75313"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01967A1" w14:textId="77777777" w:rsidR="00832E5F" w:rsidRDefault="00832E5F" w:rsidP="00832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74106893"/>
      <w:docPartObj>
        <w:docPartGallery w:val="Page Numbers (Bottom of Page)"/>
        <w:docPartUnique/>
      </w:docPartObj>
    </w:sdtPr>
    <w:sdtContent>
      <w:p w14:paraId="0E594693" w14:textId="598ACD9D"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5438C">
          <w:rPr>
            <w:rStyle w:val="PageNumber"/>
            <w:noProof/>
          </w:rPr>
          <w:t>1</w:t>
        </w:r>
        <w:r>
          <w:rPr>
            <w:rStyle w:val="PageNumber"/>
          </w:rPr>
          <w:fldChar w:fldCharType="end"/>
        </w:r>
      </w:p>
    </w:sdtContent>
  </w:sdt>
  <w:p w14:paraId="5612126A" w14:textId="77777777" w:rsidR="00832E5F" w:rsidRDefault="00832E5F" w:rsidP="00832E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B2BA3" w14:textId="77777777" w:rsidR="008F3CDE" w:rsidRDefault="008F3CDE" w:rsidP="00832E5F">
      <w:r>
        <w:separator/>
      </w:r>
    </w:p>
  </w:footnote>
  <w:footnote w:type="continuationSeparator" w:id="0">
    <w:p w14:paraId="6F3C8635" w14:textId="77777777" w:rsidR="008F3CDE" w:rsidRDefault="008F3CDE" w:rsidP="00832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1F1C67"/>
    <w:multiLevelType w:val="multilevel"/>
    <w:tmpl w:val="E278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E2E61"/>
    <w:multiLevelType w:val="hybridMultilevel"/>
    <w:tmpl w:val="82522310"/>
    <w:lvl w:ilvl="0" w:tplc="52C6D950">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C0C37BF"/>
    <w:multiLevelType w:val="hybridMultilevel"/>
    <w:tmpl w:val="792873A8"/>
    <w:lvl w:ilvl="0" w:tplc="9A24C636">
      <w:start w:val="500"/>
      <w:numFmt w:val="bullet"/>
      <w:lvlText w:val="-"/>
      <w:lvlJc w:val="left"/>
      <w:pPr>
        <w:ind w:left="720" w:hanging="360"/>
      </w:pPr>
      <w:rPr>
        <w:rFonts w:ascii="Kings Caslon Text" w:eastAsia="Times New Roman" w:hAnsi="Kings Caslon T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986C88"/>
    <w:multiLevelType w:val="hybridMultilevel"/>
    <w:tmpl w:val="31A84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8C3BFF"/>
    <w:multiLevelType w:val="hybridMultilevel"/>
    <w:tmpl w:val="1BDE5E78"/>
    <w:lvl w:ilvl="0" w:tplc="8474D5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7846366">
    <w:abstractNumId w:val="1"/>
  </w:num>
  <w:num w:numId="2" w16cid:durableId="497622135">
    <w:abstractNumId w:val="5"/>
  </w:num>
  <w:num w:numId="3" w16cid:durableId="1713189468">
    <w:abstractNumId w:val="3"/>
  </w:num>
  <w:num w:numId="4" w16cid:durableId="1945068170">
    <w:abstractNumId w:val="0"/>
  </w:num>
  <w:num w:numId="5" w16cid:durableId="1526598927">
    <w:abstractNumId w:val="2"/>
  </w:num>
  <w:num w:numId="6" w16cid:durableId="2035644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B8"/>
    <w:rsid w:val="000019BA"/>
    <w:rsid w:val="0001202A"/>
    <w:rsid w:val="00012B37"/>
    <w:rsid w:val="00023C84"/>
    <w:rsid w:val="000415AD"/>
    <w:rsid w:val="0004734B"/>
    <w:rsid w:val="00071313"/>
    <w:rsid w:val="0008617A"/>
    <w:rsid w:val="00090478"/>
    <w:rsid w:val="00097ACB"/>
    <w:rsid w:val="00097D31"/>
    <w:rsid w:val="000D4D43"/>
    <w:rsid w:val="000D4E41"/>
    <w:rsid w:val="000F7AFF"/>
    <w:rsid w:val="00101628"/>
    <w:rsid w:val="00134224"/>
    <w:rsid w:val="00160C28"/>
    <w:rsid w:val="00187EE7"/>
    <w:rsid w:val="0019314B"/>
    <w:rsid w:val="00193C52"/>
    <w:rsid w:val="001B0737"/>
    <w:rsid w:val="001B2CE3"/>
    <w:rsid w:val="001B7FB8"/>
    <w:rsid w:val="001D5B5F"/>
    <w:rsid w:val="001E0470"/>
    <w:rsid w:val="001F2D93"/>
    <w:rsid w:val="001F516D"/>
    <w:rsid w:val="002049B6"/>
    <w:rsid w:val="002058B9"/>
    <w:rsid w:val="002106AF"/>
    <w:rsid w:val="00225493"/>
    <w:rsid w:val="00235079"/>
    <w:rsid w:val="00267A25"/>
    <w:rsid w:val="00280741"/>
    <w:rsid w:val="00286397"/>
    <w:rsid w:val="002A5468"/>
    <w:rsid w:val="002B379E"/>
    <w:rsid w:val="002F57AE"/>
    <w:rsid w:val="00310A78"/>
    <w:rsid w:val="00314DB8"/>
    <w:rsid w:val="00333845"/>
    <w:rsid w:val="00344FF9"/>
    <w:rsid w:val="00353CEC"/>
    <w:rsid w:val="00375765"/>
    <w:rsid w:val="00391BA0"/>
    <w:rsid w:val="003A13A3"/>
    <w:rsid w:val="003B4EFB"/>
    <w:rsid w:val="003C5EEE"/>
    <w:rsid w:val="003E78D5"/>
    <w:rsid w:val="003F23A7"/>
    <w:rsid w:val="00412433"/>
    <w:rsid w:val="00431E3D"/>
    <w:rsid w:val="00462CB5"/>
    <w:rsid w:val="004753E7"/>
    <w:rsid w:val="00475B4B"/>
    <w:rsid w:val="0048091F"/>
    <w:rsid w:val="00483C65"/>
    <w:rsid w:val="004B54B6"/>
    <w:rsid w:val="004D0218"/>
    <w:rsid w:val="004D2670"/>
    <w:rsid w:val="004F61AF"/>
    <w:rsid w:val="004F7835"/>
    <w:rsid w:val="00507B1A"/>
    <w:rsid w:val="00511B74"/>
    <w:rsid w:val="00511B94"/>
    <w:rsid w:val="00525525"/>
    <w:rsid w:val="00551F33"/>
    <w:rsid w:val="00554A90"/>
    <w:rsid w:val="005617C8"/>
    <w:rsid w:val="00563FF2"/>
    <w:rsid w:val="00567847"/>
    <w:rsid w:val="00587769"/>
    <w:rsid w:val="00596A59"/>
    <w:rsid w:val="005D0230"/>
    <w:rsid w:val="005E3AA4"/>
    <w:rsid w:val="005E718B"/>
    <w:rsid w:val="00601A37"/>
    <w:rsid w:val="00602FBE"/>
    <w:rsid w:val="00605C48"/>
    <w:rsid w:val="00613077"/>
    <w:rsid w:val="006206F6"/>
    <w:rsid w:val="00630563"/>
    <w:rsid w:val="006322D6"/>
    <w:rsid w:val="00647FCE"/>
    <w:rsid w:val="00665F13"/>
    <w:rsid w:val="00670EE1"/>
    <w:rsid w:val="00672BC1"/>
    <w:rsid w:val="0069298B"/>
    <w:rsid w:val="0069375F"/>
    <w:rsid w:val="006A46D7"/>
    <w:rsid w:val="006B2A33"/>
    <w:rsid w:val="006C5EC0"/>
    <w:rsid w:val="006E14F7"/>
    <w:rsid w:val="006F4FBD"/>
    <w:rsid w:val="006F548F"/>
    <w:rsid w:val="00727BFA"/>
    <w:rsid w:val="00736711"/>
    <w:rsid w:val="007749FF"/>
    <w:rsid w:val="007818B7"/>
    <w:rsid w:val="0078520F"/>
    <w:rsid w:val="00790C5E"/>
    <w:rsid w:val="00796259"/>
    <w:rsid w:val="007E7128"/>
    <w:rsid w:val="007F4107"/>
    <w:rsid w:val="007F476B"/>
    <w:rsid w:val="00811537"/>
    <w:rsid w:val="00823095"/>
    <w:rsid w:val="00832E5F"/>
    <w:rsid w:val="0084775B"/>
    <w:rsid w:val="0087097F"/>
    <w:rsid w:val="00875216"/>
    <w:rsid w:val="00896050"/>
    <w:rsid w:val="008F3CDE"/>
    <w:rsid w:val="008F4B7B"/>
    <w:rsid w:val="008F5165"/>
    <w:rsid w:val="009300B8"/>
    <w:rsid w:val="00944C12"/>
    <w:rsid w:val="00952E8A"/>
    <w:rsid w:val="0095438C"/>
    <w:rsid w:val="00957676"/>
    <w:rsid w:val="009637DC"/>
    <w:rsid w:val="009B7CBE"/>
    <w:rsid w:val="009E0A2B"/>
    <w:rsid w:val="00A00151"/>
    <w:rsid w:val="00A020E1"/>
    <w:rsid w:val="00A4076E"/>
    <w:rsid w:val="00A6203C"/>
    <w:rsid w:val="00A6341D"/>
    <w:rsid w:val="00A858C3"/>
    <w:rsid w:val="00AB104A"/>
    <w:rsid w:val="00AC096C"/>
    <w:rsid w:val="00AC0E15"/>
    <w:rsid w:val="00AC2062"/>
    <w:rsid w:val="00AD7188"/>
    <w:rsid w:val="00AD795A"/>
    <w:rsid w:val="00AF5811"/>
    <w:rsid w:val="00B30429"/>
    <w:rsid w:val="00B41453"/>
    <w:rsid w:val="00B43DD9"/>
    <w:rsid w:val="00B53FCD"/>
    <w:rsid w:val="00B57B69"/>
    <w:rsid w:val="00B949C8"/>
    <w:rsid w:val="00BD4F85"/>
    <w:rsid w:val="00C143A0"/>
    <w:rsid w:val="00C20123"/>
    <w:rsid w:val="00C2139B"/>
    <w:rsid w:val="00C4028C"/>
    <w:rsid w:val="00C41966"/>
    <w:rsid w:val="00C525AB"/>
    <w:rsid w:val="00C54B7E"/>
    <w:rsid w:val="00C723FD"/>
    <w:rsid w:val="00C8312C"/>
    <w:rsid w:val="00C85B08"/>
    <w:rsid w:val="00C92A4B"/>
    <w:rsid w:val="00C92B81"/>
    <w:rsid w:val="00CD0101"/>
    <w:rsid w:val="00CD4FB7"/>
    <w:rsid w:val="00CD5371"/>
    <w:rsid w:val="00CF6BE5"/>
    <w:rsid w:val="00D0547A"/>
    <w:rsid w:val="00D0580E"/>
    <w:rsid w:val="00D07999"/>
    <w:rsid w:val="00D10FED"/>
    <w:rsid w:val="00D11035"/>
    <w:rsid w:val="00D176C0"/>
    <w:rsid w:val="00D309A1"/>
    <w:rsid w:val="00D3271D"/>
    <w:rsid w:val="00D73E3D"/>
    <w:rsid w:val="00D93B6A"/>
    <w:rsid w:val="00D97F77"/>
    <w:rsid w:val="00DB2CFB"/>
    <w:rsid w:val="00DB6AA9"/>
    <w:rsid w:val="00DF3E62"/>
    <w:rsid w:val="00E14764"/>
    <w:rsid w:val="00E47634"/>
    <w:rsid w:val="00E61304"/>
    <w:rsid w:val="00E711F3"/>
    <w:rsid w:val="00E8260A"/>
    <w:rsid w:val="00E936C9"/>
    <w:rsid w:val="00EA01A4"/>
    <w:rsid w:val="00EB4773"/>
    <w:rsid w:val="00F10E72"/>
    <w:rsid w:val="00F1362E"/>
    <w:rsid w:val="00F14403"/>
    <w:rsid w:val="00F27F64"/>
    <w:rsid w:val="00F45EB6"/>
    <w:rsid w:val="00F81739"/>
    <w:rsid w:val="00F833A5"/>
    <w:rsid w:val="00FF047D"/>
    <w:rsid w:val="01596ED8"/>
    <w:rsid w:val="031B4C4F"/>
    <w:rsid w:val="13E5FD99"/>
    <w:rsid w:val="1425330C"/>
    <w:rsid w:val="175CA5E4"/>
    <w:rsid w:val="1D6C166A"/>
    <w:rsid w:val="22952F77"/>
    <w:rsid w:val="36AE170D"/>
    <w:rsid w:val="3A436724"/>
    <w:rsid w:val="49DE6236"/>
    <w:rsid w:val="7D97E0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3F18"/>
  <w15:chartTrackingRefBased/>
  <w15:docId w15:val="{6DB32C9A-E144-C043-B922-E5478C3E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FB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sultsublistitem1">
    <w:name w:val="resultsublistitem1"/>
    <w:basedOn w:val="DefaultParagraphFont"/>
    <w:rsid w:val="001B7FB8"/>
    <w:rPr>
      <w:rFonts w:ascii="Arial" w:hAnsi="Arial" w:cs="Arial"/>
      <w:sz w:val="16"/>
      <w:szCs w:val="16"/>
    </w:rPr>
  </w:style>
  <w:style w:type="paragraph" w:styleId="Title">
    <w:name w:val="Title"/>
    <w:basedOn w:val="Normal"/>
    <w:link w:val="TitleChar"/>
    <w:qFormat/>
    <w:rsid w:val="001B7FB8"/>
    <w:pPr>
      <w:autoSpaceDE w:val="0"/>
      <w:autoSpaceDN w:val="0"/>
      <w:jc w:val="center"/>
    </w:pPr>
    <w:rPr>
      <w:b/>
      <w:bCs/>
    </w:rPr>
  </w:style>
  <w:style w:type="character" w:customStyle="1" w:styleId="TitleChar">
    <w:name w:val="Title Char"/>
    <w:basedOn w:val="DefaultParagraphFont"/>
    <w:link w:val="Title"/>
    <w:rsid w:val="001B7FB8"/>
    <w:rPr>
      <w:rFonts w:ascii="Times New Roman" w:eastAsia="Times New Roman" w:hAnsi="Times New Roman" w:cs="Times New Roman"/>
      <w:b/>
      <w:bCs/>
      <w:lang w:eastAsia="en-GB"/>
    </w:rPr>
  </w:style>
  <w:style w:type="paragraph" w:styleId="ListParagraph">
    <w:name w:val="List Paragraph"/>
    <w:basedOn w:val="Normal"/>
    <w:uiPriority w:val="34"/>
    <w:qFormat/>
    <w:rsid w:val="001B7FB8"/>
    <w:pPr>
      <w:ind w:left="720"/>
      <w:contextualSpacing/>
    </w:pPr>
  </w:style>
  <w:style w:type="paragraph" w:styleId="Footer">
    <w:name w:val="footer"/>
    <w:basedOn w:val="Normal"/>
    <w:link w:val="FooterChar"/>
    <w:uiPriority w:val="99"/>
    <w:unhideWhenUsed/>
    <w:rsid w:val="00832E5F"/>
    <w:pPr>
      <w:tabs>
        <w:tab w:val="center" w:pos="4680"/>
        <w:tab w:val="right" w:pos="9360"/>
      </w:tabs>
    </w:pPr>
  </w:style>
  <w:style w:type="character" w:customStyle="1" w:styleId="FooterChar">
    <w:name w:val="Footer Char"/>
    <w:basedOn w:val="DefaultParagraphFont"/>
    <w:link w:val="Footer"/>
    <w:uiPriority w:val="99"/>
    <w:rsid w:val="00832E5F"/>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832E5F"/>
  </w:style>
  <w:style w:type="paragraph" w:styleId="BalloonText">
    <w:name w:val="Balloon Text"/>
    <w:basedOn w:val="Normal"/>
    <w:link w:val="BalloonTextChar"/>
    <w:uiPriority w:val="99"/>
    <w:semiHidden/>
    <w:unhideWhenUsed/>
    <w:rsid w:val="00952E8A"/>
    <w:rPr>
      <w:sz w:val="18"/>
      <w:szCs w:val="18"/>
    </w:rPr>
  </w:style>
  <w:style w:type="character" w:customStyle="1" w:styleId="BalloonTextChar">
    <w:name w:val="Balloon Text Char"/>
    <w:basedOn w:val="DefaultParagraphFont"/>
    <w:link w:val="BalloonText"/>
    <w:uiPriority w:val="99"/>
    <w:semiHidden/>
    <w:rsid w:val="00952E8A"/>
    <w:rPr>
      <w:rFonts w:ascii="Times New Roman" w:eastAsia="Times New Roman" w:hAnsi="Times New Roman" w:cs="Times New Roman"/>
      <w:sz w:val="18"/>
      <w:szCs w:val="18"/>
      <w:lang w:eastAsia="en-GB"/>
    </w:rPr>
  </w:style>
  <w:style w:type="character" w:styleId="CommentReference">
    <w:name w:val="annotation reference"/>
    <w:basedOn w:val="DefaultParagraphFont"/>
    <w:uiPriority w:val="99"/>
    <w:semiHidden/>
    <w:unhideWhenUsed/>
    <w:rsid w:val="00B30429"/>
    <w:rPr>
      <w:sz w:val="16"/>
      <w:szCs w:val="16"/>
    </w:rPr>
  </w:style>
  <w:style w:type="paragraph" w:styleId="CommentText">
    <w:name w:val="annotation text"/>
    <w:basedOn w:val="Normal"/>
    <w:link w:val="CommentTextChar"/>
    <w:uiPriority w:val="99"/>
    <w:semiHidden/>
    <w:unhideWhenUsed/>
    <w:rsid w:val="00B30429"/>
    <w:rPr>
      <w:sz w:val="20"/>
      <w:szCs w:val="20"/>
    </w:rPr>
  </w:style>
  <w:style w:type="character" w:customStyle="1" w:styleId="CommentTextChar">
    <w:name w:val="Comment Text Char"/>
    <w:basedOn w:val="DefaultParagraphFont"/>
    <w:link w:val="CommentText"/>
    <w:uiPriority w:val="99"/>
    <w:semiHidden/>
    <w:rsid w:val="00B3042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B30429"/>
    <w:rPr>
      <w:b/>
      <w:bCs/>
    </w:rPr>
  </w:style>
  <w:style w:type="character" w:customStyle="1" w:styleId="CommentSubjectChar">
    <w:name w:val="Comment Subject Char"/>
    <w:basedOn w:val="CommentTextChar"/>
    <w:link w:val="CommentSubject"/>
    <w:uiPriority w:val="99"/>
    <w:semiHidden/>
    <w:rsid w:val="00B30429"/>
    <w:rPr>
      <w:rFonts w:ascii="Times New Roman" w:eastAsia="Times New Roman" w:hAnsi="Times New Roman" w:cs="Times New Roman"/>
      <w:b/>
      <w:bCs/>
      <w:sz w:val="20"/>
      <w:szCs w:val="20"/>
      <w:lang w:eastAsia="en-GB"/>
    </w:rPr>
  </w:style>
  <w:style w:type="character" w:styleId="IntenseEmphasis">
    <w:name w:val="Intense Emphasis"/>
    <w:uiPriority w:val="21"/>
    <w:qFormat/>
    <w:rsid w:val="0069375F"/>
    <w:rPr>
      <w:rFonts w:ascii="Kings Caslon Text" w:hAnsi="Kings Caslon Text"/>
      <w:b/>
      <w:i/>
      <w:iCs/>
      <w:color w:val="0070C0"/>
    </w:rPr>
  </w:style>
  <w:style w:type="character" w:styleId="Hyperlink">
    <w:name w:val="Hyperlink"/>
    <w:basedOn w:val="DefaultParagraphFont"/>
    <w:uiPriority w:val="99"/>
    <w:unhideWhenUsed/>
    <w:rsid w:val="00823095"/>
    <w:rPr>
      <w:color w:val="0563C1" w:themeColor="hyperlink"/>
      <w:u w:val="single"/>
    </w:rPr>
  </w:style>
  <w:style w:type="character" w:styleId="UnresolvedMention">
    <w:name w:val="Unresolved Mention"/>
    <w:basedOn w:val="DefaultParagraphFont"/>
    <w:uiPriority w:val="99"/>
    <w:semiHidden/>
    <w:unhideWhenUsed/>
    <w:rsid w:val="00823095"/>
    <w:rPr>
      <w:color w:val="605E5C"/>
      <w:shd w:val="clear" w:color="auto" w:fill="E1DFDD"/>
    </w:rPr>
  </w:style>
  <w:style w:type="character" w:styleId="FollowedHyperlink">
    <w:name w:val="FollowedHyperlink"/>
    <w:basedOn w:val="DefaultParagraphFont"/>
    <w:uiPriority w:val="99"/>
    <w:semiHidden/>
    <w:unhideWhenUsed/>
    <w:rsid w:val="00823095"/>
    <w:rPr>
      <w:color w:val="954F72" w:themeColor="followedHyperlink"/>
      <w:u w:val="single"/>
    </w:rPr>
  </w:style>
  <w:style w:type="paragraph" w:customStyle="1" w:styleId="paragraph">
    <w:name w:val="paragraph"/>
    <w:basedOn w:val="Normal"/>
    <w:rsid w:val="00E826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813971">
      <w:bodyDiv w:val="1"/>
      <w:marLeft w:val="0"/>
      <w:marRight w:val="0"/>
      <w:marTop w:val="0"/>
      <w:marBottom w:val="0"/>
      <w:divBdr>
        <w:top w:val="none" w:sz="0" w:space="0" w:color="auto"/>
        <w:left w:val="none" w:sz="0" w:space="0" w:color="auto"/>
        <w:bottom w:val="none" w:sz="0" w:space="0" w:color="auto"/>
        <w:right w:val="none" w:sz="0" w:space="0" w:color="auto"/>
      </w:divBdr>
    </w:div>
    <w:div w:id="430663664">
      <w:bodyDiv w:val="1"/>
      <w:marLeft w:val="0"/>
      <w:marRight w:val="0"/>
      <w:marTop w:val="0"/>
      <w:marBottom w:val="0"/>
      <w:divBdr>
        <w:top w:val="none" w:sz="0" w:space="0" w:color="auto"/>
        <w:left w:val="none" w:sz="0" w:space="0" w:color="auto"/>
        <w:bottom w:val="none" w:sz="0" w:space="0" w:color="auto"/>
        <w:right w:val="none" w:sz="0" w:space="0" w:color="auto"/>
      </w:divBdr>
    </w:div>
    <w:div w:id="908341398">
      <w:bodyDiv w:val="1"/>
      <w:marLeft w:val="0"/>
      <w:marRight w:val="0"/>
      <w:marTop w:val="0"/>
      <w:marBottom w:val="0"/>
      <w:divBdr>
        <w:top w:val="none" w:sz="0" w:space="0" w:color="auto"/>
        <w:left w:val="none" w:sz="0" w:space="0" w:color="auto"/>
        <w:bottom w:val="none" w:sz="0" w:space="0" w:color="auto"/>
        <w:right w:val="none" w:sz="0" w:space="0" w:color="auto"/>
      </w:divBdr>
    </w:div>
    <w:div w:id="936787188">
      <w:bodyDiv w:val="1"/>
      <w:marLeft w:val="0"/>
      <w:marRight w:val="0"/>
      <w:marTop w:val="0"/>
      <w:marBottom w:val="0"/>
      <w:divBdr>
        <w:top w:val="none" w:sz="0" w:space="0" w:color="auto"/>
        <w:left w:val="none" w:sz="0" w:space="0" w:color="auto"/>
        <w:bottom w:val="none" w:sz="0" w:space="0" w:color="auto"/>
        <w:right w:val="none" w:sz="0" w:space="0" w:color="auto"/>
      </w:divBdr>
    </w:div>
    <w:div w:id="1115247646">
      <w:bodyDiv w:val="1"/>
      <w:marLeft w:val="0"/>
      <w:marRight w:val="0"/>
      <w:marTop w:val="0"/>
      <w:marBottom w:val="0"/>
      <w:divBdr>
        <w:top w:val="none" w:sz="0" w:space="0" w:color="auto"/>
        <w:left w:val="none" w:sz="0" w:space="0" w:color="auto"/>
        <w:bottom w:val="none" w:sz="0" w:space="0" w:color="auto"/>
        <w:right w:val="none" w:sz="0" w:space="0" w:color="auto"/>
      </w:divBdr>
    </w:div>
    <w:div w:id="1131091047">
      <w:bodyDiv w:val="1"/>
      <w:marLeft w:val="0"/>
      <w:marRight w:val="0"/>
      <w:marTop w:val="0"/>
      <w:marBottom w:val="0"/>
      <w:divBdr>
        <w:top w:val="none" w:sz="0" w:space="0" w:color="auto"/>
        <w:left w:val="none" w:sz="0" w:space="0" w:color="auto"/>
        <w:bottom w:val="none" w:sz="0" w:space="0" w:color="auto"/>
        <w:right w:val="none" w:sz="0" w:space="0" w:color="auto"/>
      </w:divBdr>
    </w:div>
    <w:div w:id="1476220277">
      <w:bodyDiv w:val="1"/>
      <w:marLeft w:val="0"/>
      <w:marRight w:val="0"/>
      <w:marTop w:val="0"/>
      <w:marBottom w:val="0"/>
      <w:divBdr>
        <w:top w:val="none" w:sz="0" w:space="0" w:color="auto"/>
        <w:left w:val="none" w:sz="0" w:space="0" w:color="auto"/>
        <w:bottom w:val="none" w:sz="0" w:space="0" w:color="auto"/>
        <w:right w:val="none" w:sz="0" w:space="0" w:color="auto"/>
      </w:divBdr>
    </w:div>
    <w:div w:id="150053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F8D05B25DBD65479F341CDCBA0DE3E0" ma:contentTypeVersion="7" ma:contentTypeDescription="Create a new document." ma:contentTypeScope="" ma:versionID="b771b457e615fe5d2a2055591f9d34e5">
  <xsd:schema xmlns:xsd="http://www.w3.org/2001/XMLSchema" xmlns:xs="http://www.w3.org/2001/XMLSchema" xmlns:p="http://schemas.microsoft.com/office/2006/metadata/properties" xmlns:ns2="c85093d1-3ffd-4cb5-81a7-333380151176" xmlns:ns3="dab24798-d3b6-4f34-9d9a-4183cf31177d" targetNamespace="http://schemas.microsoft.com/office/2006/metadata/properties" ma:root="true" ma:fieldsID="a50be4b93f2bef9a96fda66cbb4806b8" ns2:_="" ns3:_="">
    <xsd:import namespace="c85093d1-3ffd-4cb5-81a7-333380151176"/>
    <xsd:import namespace="dab24798-d3b6-4f34-9d9a-4183cf3117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093d1-3ffd-4cb5-81a7-3333801511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24798-d3b6-4f34-9d9a-4183cf3117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B8F9A-E16E-4B3C-BEC1-30ECEE15CF7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433423-E81C-4776-B99E-F4C0FC417D44}">
  <ds:schemaRefs>
    <ds:schemaRef ds:uri="http://schemas.microsoft.com/sharepoint/v3/contenttype/forms"/>
  </ds:schemaRefs>
</ds:datastoreItem>
</file>

<file path=customXml/itemProps3.xml><?xml version="1.0" encoding="utf-8"?>
<ds:datastoreItem xmlns:ds="http://schemas.openxmlformats.org/officeDocument/2006/customXml" ds:itemID="{FAD8EE5F-DA8D-4B4A-8BBE-F2372F0A3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093d1-3ffd-4cb5-81a7-333380151176"/>
    <ds:schemaRef ds:uri="dab24798-d3b6-4f34-9d9a-4183cf3117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61563D-0931-40CE-A622-C6174560C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 Mc Grath</dc:creator>
  <cp:keywords/>
  <dc:description/>
  <cp:lastModifiedBy>jeremy letwin</cp:lastModifiedBy>
  <cp:revision>129</cp:revision>
  <dcterms:created xsi:type="dcterms:W3CDTF">2021-03-01T11:34:00Z</dcterms:created>
  <dcterms:modified xsi:type="dcterms:W3CDTF">2023-10-19T09:02:00Z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0x0101000F8D05B25DBD65479F341CDCBA0DE3E0</vt:lpwstr>
  </property>
</Properties>
</file>