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C1F28" w14:textId="0932CE38" w:rsidR="001B7FB8" w:rsidRPr="003F6CB7" w:rsidRDefault="00732614" w:rsidP="001B7FB8">
      <w:pPr>
        <w:jc w:val="center"/>
        <w:rPr>
          <w:rFonts w:ascii="Palatino Linotype" w:hAnsi="Palatino Linotype"/>
          <w:b/>
          <w:u w:val="single"/>
        </w:rPr>
      </w:pPr>
      <w:r w:rsidRPr="003F6CB7">
        <w:rPr>
          <w:rFonts w:ascii="Palatino Linotype" w:hAnsi="Palatino Linotype"/>
          <w:b/>
          <w:u w:val="single"/>
        </w:rPr>
        <w:t xml:space="preserve">WEEK </w:t>
      </w:r>
      <w:r w:rsidR="003F6CB7" w:rsidRPr="003F6CB7">
        <w:rPr>
          <w:rFonts w:ascii="Palatino Linotype" w:hAnsi="Palatino Linotype"/>
          <w:b/>
          <w:u w:val="single"/>
        </w:rPr>
        <w:t>4</w:t>
      </w:r>
    </w:p>
    <w:p w14:paraId="3E0E395A" w14:textId="42BAFD86" w:rsidR="00732614" w:rsidRDefault="00732614" w:rsidP="001B7FB8">
      <w:pPr>
        <w:jc w:val="center"/>
        <w:rPr>
          <w:rFonts w:ascii="Palatino Linotype" w:hAnsi="Palatino Linotype"/>
          <w:b/>
        </w:rPr>
      </w:pPr>
    </w:p>
    <w:p w14:paraId="1A9CD0A1" w14:textId="67E145DD" w:rsidR="00732614" w:rsidRPr="0019314B" w:rsidRDefault="003F6CB7" w:rsidP="001B7FB8">
      <w:pPr>
        <w:jc w:val="center"/>
        <w:rPr>
          <w:rFonts w:ascii="Palatino Linotype" w:hAnsi="Palatino Linotype"/>
          <w:b/>
        </w:rPr>
      </w:pPr>
      <w:r>
        <w:rPr>
          <w:rFonts w:ascii="Palatino Linotype" w:hAnsi="Palatino Linotype"/>
          <w:b/>
        </w:rPr>
        <w:t>FACTUAL CAUSATION</w:t>
      </w:r>
    </w:p>
    <w:p w14:paraId="4A1A6446" w14:textId="77777777" w:rsidR="001B7FB8" w:rsidRPr="0019314B" w:rsidRDefault="001B7FB8" w:rsidP="001B7FB8">
      <w:pPr>
        <w:rPr>
          <w:rFonts w:ascii="Palatino Linotype" w:hAnsi="Palatino Linotype" w:cs="Palatino Linotype"/>
          <w:b/>
          <w:smallCaps/>
          <w:color w:val="FF0000"/>
          <w:sz w:val="28"/>
          <w:u w:val="single"/>
        </w:rPr>
      </w:pPr>
    </w:p>
    <w:p w14:paraId="46229F93" w14:textId="77777777" w:rsidR="00C07B34" w:rsidRDefault="008740AD" w:rsidP="00A020E1">
      <w:pPr>
        <w:widowControl w:val="0"/>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 xml:space="preserve">This week and the next cover the topic of causation. This is relevant not just for negligence, but for every tort. Usually, if D did not cause the problem of which C complains, then D cannot be held liable in tort. </w:t>
      </w:r>
    </w:p>
    <w:p w14:paraId="64805E4A" w14:textId="77777777" w:rsidR="00C07B34" w:rsidRDefault="00C07B34" w:rsidP="00A020E1">
      <w:pPr>
        <w:widowControl w:val="0"/>
        <w:autoSpaceDE w:val="0"/>
        <w:autoSpaceDN w:val="0"/>
        <w:adjustRightInd w:val="0"/>
        <w:jc w:val="both"/>
        <w:rPr>
          <w:rFonts w:ascii="Palatino Linotype" w:hAnsi="Palatino Linotype" w:cs="Palatino Linotype"/>
          <w:color w:val="000000" w:themeColor="text1"/>
        </w:rPr>
      </w:pPr>
    </w:p>
    <w:p w14:paraId="65083D7F" w14:textId="3916B995" w:rsidR="00A020E1" w:rsidRDefault="00D34EC4" w:rsidP="00A020E1">
      <w:pPr>
        <w:widowControl w:val="0"/>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 xml:space="preserve">Issues about causation can be divided into two key questions: (i) was C’s </w:t>
      </w:r>
      <w:r w:rsidRPr="00D34EC4">
        <w:rPr>
          <w:rFonts w:ascii="Palatino Linotype" w:hAnsi="Palatino Linotype" w:cs="Palatino Linotype"/>
          <w:color w:val="000000" w:themeColor="text1"/>
        </w:rPr>
        <w:t xml:space="preserve">loss caused by the breach as a matter of </w:t>
      </w:r>
      <w:proofErr w:type="gramStart"/>
      <w:r w:rsidRPr="00D34EC4">
        <w:rPr>
          <w:rFonts w:ascii="Palatino Linotype" w:hAnsi="Palatino Linotype" w:cs="Palatino Linotype"/>
          <w:color w:val="000000" w:themeColor="text1"/>
        </w:rPr>
        <w:t>fact</w:t>
      </w:r>
      <w:r>
        <w:rPr>
          <w:rFonts w:ascii="Palatino Linotype" w:hAnsi="Palatino Linotype" w:cs="Palatino Linotype"/>
          <w:color w:val="000000" w:themeColor="text1"/>
        </w:rPr>
        <w:t>?;</w:t>
      </w:r>
      <w:proofErr w:type="gramEnd"/>
      <w:r>
        <w:rPr>
          <w:rFonts w:ascii="Palatino Linotype" w:hAnsi="Palatino Linotype" w:cs="Palatino Linotype"/>
          <w:color w:val="000000" w:themeColor="text1"/>
        </w:rPr>
        <w:t xml:space="preserve"> and (ii) was D’s breach the legally relevant </w:t>
      </w:r>
      <w:proofErr w:type="gramStart"/>
      <w:r>
        <w:rPr>
          <w:rFonts w:ascii="Palatino Linotype" w:hAnsi="Palatino Linotype" w:cs="Palatino Linotype"/>
          <w:color w:val="000000" w:themeColor="text1"/>
        </w:rPr>
        <w:t>cause?.</w:t>
      </w:r>
      <w:proofErr w:type="gramEnd"/>
      <w:r>
        <w:rPr>
          <w:rFonts w:ascii="Palatino Linotype" w:hAnsi="Palatino Linotype" w:cs="Palatino Linotype"/>
          <w:color w:val="000000" w:themeColor="text1"/>
        </w:rPr>
        <w:t xml:space="preserve"> </w:t>
      </w:r>
      <w:r w:rsidR="00DB312D">
        <w:rPr>
          <w:rFonts w:ascii="Palatino Linotype" w:hAnsi="Palatino Linotype" w:cs="Palatino Linotype"/>
          <w:color w:val="000000" w:themeColor="text1"/>
        </w:rPr>
        <w:t>We will</w:t>
      </w:r>
      <w:r>
        <w:rPr>
          <w:rFonts w:ascii="Palatino Linotype" w:hAnsi="Palatino Linotype" w:cs="Palatino Linotype"/>
          <w:color w:val="000000" w:themeColor="text1"/>
        </w:rPr>
        <w:t xml:space="preserve"> look at</w:t>
      </w:r>
      <w:r w:rsidR="00DB312D">
        <w:rPr>
          <w:rFonts w:ascii="Palatino Linotype" w:hAnsi="Palatino Linotype" w:cs="Palatino Linotype"/>
          <w:color w:val="000000" w:themeColor="text1"/>
        </w:rPr>
        <w:t xml:space="preserve"> the first question</w:t>
      </w:r>
      <w:r>
        <w:rPr>
          <w:rFonts w:ascii="Palatino Linotype" w:hAnsi="Palatino Linotype" w:cs="Palatino Linotype"/>
          <w:color w:val="000000" w:themeColor="text1"/>
        </w:rPr>
        <w:t xml:space="preserve"> this week — ‘factual causation’ —and the </w:t>
      </w:r>
      <w:r w:rsidR="00303052">
        <w:rPr>
          <w:rFonts w:ascii="Palatino Linotype" w:hAnsi="Palatino Linotype" w:cs="Palatino Linotype"/>
          <w:color w:val="000000" w:themeColor="text1"/>
        </w:rPr>
        <w:t>second question</w:t>
      </w:r>
      <w:r>
        <w:rPr>
          <w:rFonts w:ascii="Palatino Linotype" w:hAnsi="Palatino Linotype" w:cs="Palatino Linotype"/>
          <w:color w:val="000000" w:themeColor="text1"/>
        </w:rPr>
        <w:t xml:space="preserve"> next week — ‘legal causation’.</w:t>
      </w:r>
    </w:p>
    <w:p w14:paraId="54ACBAB5" w14:textId="0183A419" w:rsidR="00C07B34" w:rsidRDefault="00C07B34" w:rsidP="00A020E1">
      <w:pPr>
        <w:widowControl w:val="0"/>
        <w:autoSpaceDE w:val="0"/>
        <w:autoSpaceDN w:val="0"/>
        <w:adjustRightInd w:val="0"/>
        <w:jc w:val="both"/>
        <w:rPr>
          <w:rFonts w:ascii="Palatino Linotype" w:hAnsi="Palatino Linotype" w:cs="Palatino Linotype"/>
          <w:color w:val="000000" w:themeColor="text1"/>
        </w:rPr>
      </w:pPr>
    </w:p>
    <w:p w14:paraId="0DFF1D91" w14:textId="37CA881A" w:rsidR="00D34EC4" w:rsidRPr="00F56245" w:rsidRDefault="00C07B34" w:rsidP="00A020E1">
      <w:pPr>
        <w:widowControl w:val="0"/>
        <w:autoSpaceDE w:val="0"/>
        <w:autoSpaceDN w:val="0"/>
        <w:adjustRightInd w:val="0"/>
        <w:jc w:val="both"/>
        <w:rPr>
          <w:rFonts w:ascii="Palatino Linotype" w:hAnsi="Palatino Linotype" w:cs="Palatino Linotype"/>
          <w:color w:val="000000" w:themeColor="text1"/>
        </w:rPr>
      </w:pPr>
      <w:r>
        <w:rPr>
          <w:rFonts w:ascii="Palatino Linotype" w:hAnsi="Palatino Linotype" w:cs="Palatino Linotype"/>
          <w:color w:val="000000" w:themeColor="text1"/>
        </w:rPr>
        <w:t xml:space="preserve">The </w:t>
      </w:r>
      <w:r w:rsidR="00E302DB">
        <w:rPr>
          <w:rFonts w:ascii="Palatino Linotype" w:hAnsi="Palatino Linotype" w:cs="Palatino Linotype"/>
          <w:color w:val="000000" w:themeColor="text1"/>
        </w:rPr>
        <w:t>‘</w:t>
      </w:r>
      <w:r>
        <w:rPr>
          <w:rFonts w:ascii="Palatino Linotype" w:hAnsi="Palatino Linotype" w:cs="Palatino Linotype"/>
          <w:color w:val="000000" w:themeColor="text1"/>
        </w:rPr>
        <w:t>but-for test</w:t>
      </w:r>
      <w:r w:rsidR="00E302DB">
        <w:rPr>
          <w:rFonts w:ascii="Palatino Linotype" w:hAnsi="Palatino Linotype" w:cs="Palatino Linotype"/>
          <w:color w:val="000000" w:themeColor="text1"/>
        </w:rPr>
        <w:t>’</w:t>
      </w:r>
      <w:r>
        <w:rPr>
          <w:rFonts w:ascii="Palatino Linotype" w:hAnsi="Palatino Linotype" w:cs="Palatino Linotype"/>
          <w:color w:val="000000" w:themeColor="text1"/>
        </w:rPr>
        <w:t xml:space="preserve"> is simple, and well-explained by the textbook, as is</w:t>
      </w:r>
      <w:r w:rsidR="00EB2AA8">
        <w:rPr>
          <w:rFonts w:ascii="Palatino Linotype" w:hAnsi="Palatino Linotype" w:cs="Palatino Linotype"/>
          <w:color w:val="000000" w:themeColor="text1"/>
        </w:rPr>
        <w:t xml:space="preserve"> the concept of</w:t>
      </w:r>
      <w:r>
        <w:rPr>
          <w:rFonts w:ascii="Palatino Linotype" w:hAnsi="Palatino Linotype" w:cs="Palatino Linotype"/>
          <w:color w:val="000000" w:themeColor="text1"/>
        </w:rPr>
        <w:t xml:space="preserve"> ‘material contribution to injury’. No cases have been assigned on the reading in relation to these issues</w:t>
      </w:r>
      <w:r w:rsidR="00305B21">
        <w:rPr>
          <w:rFonts w:ascii="Palatino Linotype" w:hAnsi="Palatino Linotype" w:cs="Palatino Linotype"/>
          <w:color w:val="000000" w:themeColor="text1"/>
        </w:rPr>
        <w:t xml:space="preserve"> – although if you are finding </w:t>
      </w:r>
      <w:r w:rsidR="00DF3D82">
        <w:rPr>
          <w:rFonts w:ascii="Palatino Linotype" w:hAnsi="Palatino Linotype" w:cs="Palatino Linotype"/>
          <w:color w:val="000000" w:themeColor="text1"/>
        </w:rPr>
        <w:t>‘</w:t>
      </w:r>
      <w:r w:rsidR="00305B21">
        <w:rPr>
          <w:rFonts w:ascii="Palatino Linotype" w:hAnsi="Palatino Linotype" w:cs="Palatino Linotype"/>
          <w:color w:val="000000" w:themeColor="text1"/>
        </w:rPr>
        <w:t>material contribution to injury</w:t>
      </w:r>
      <w:r w:rsidR="00DF3D82">
        <w:rPr>
          <w:rFonts w:ascii="Palatino Linotype" w:hAnsi="Palatino Linotype" w:cs="Palatino Linotype"/>
          <w:color w:val="000000" w:themeColor="text1"/>
        </w:rPr>
        <w:t xml:space="preserve">’ </w:t>
      </w:r>
      <w:r w:rsidR="00305B21">
        <w:rPr>
          <w:rFonts w:ascii="Palatino Linotype" w:hAnsi="Palatino Linotype" w:cs="Palatino Linotype"/>
          <w:color w:val="000000" w:themeColor="text1"/>
        </w:rPr>
        <w:t>tricky, I highly recommend reading the article by Steel and Stapleton</w:t>
      </w:r>
      <w:r>
        <w:rPr>
          <w:rFonts w:ascii="Palatino Linotype" w:hAnsi="Palatino Linotype" w:cs="Palatino Linotype"/>
          <w:color w:val="000000" w:themeColor="text1"/>
        </w:rPr>
        <w:t xml:space="preserve">. The topic of ‘material contribution to </w:t>
      </w:r>
      <w:r w:rsidRPr="002C15F7">
        <w:rPr>
          <w:rFonts w:ascii="Palatino Linotype" w:hAnsi="Palatino Linotype" w:cs="Palatino Linotype"/>
          <w:i/>
          <w:iCs/>
          <w:color w:val="000000" w:themeColor="text1"/>
        </w:rPr>
        <w:t>risk</w:t>
      </w:r>
      <w:r>
        <w:rPr>
          <w:rFonts w:ascii="Palatino Linotype" w:hAnsi="Palatino Linotype" w:cs="Palatino Linotype"/>
          <w:color w:val="000000" w:themeColor="text1"/>
        </w:rPr>
        <w:t xml:space="preserve"> of injury’ is, by contrast, much more complex, and your understanding of that will be helped by careful attention being devoted to </w:t>
      </w:r>
      <w:r>
        <w:rPr>
          <w:rFonts w:ascii="Palatino Linotype" w:hAnsi="Palatino Linotype" w:cs="Palatino Linotype"/>
          <w:i/>
          <w:iCs/>
          <w:color w:val="000000" w:themeColor="text1"/>
        </w:rPr>
        <w:t>Fairchild</w:t>
      </w:r>
      <w:r>
        <w:rPr>
          <w:rFonts w:ascii="Palatino Linotype" w:hAnsi="Palatino Linotype" w:cs="Palatino Linotype"/>
          <w:color w:val="000000" w:themeColor="text1"/>
        </w:rPr>
        <w:t xml:space="preserve">, </w:t>
      </w:r>
      <w:r>
        <w:rPr>
          <w:rFonts w:ascii="Palatino Linotype" w:hAnsi="Palatino Linotype" w:cs="Palatino Linotype"/>
          <w:i/>
          <w:iCs/>
          <w:color w:val="000000" w:themeColor="text1"/>
        </w:rPr>
        <w:t>Barker</w:t>
      </w:r>
      <w:r>
        <w:rPr>
          <w:rFonts w:ascii="Palatino Linotype" w:hAnsi="Palatino Linotype" w:cs="Palatino Linotype"/>
          <w:color w:val="000000" w:themeColor="text1"/>
        </w:rPr>
        <w:t xml:space="preserve">, and </w:t>
      </w:r>
      <w:r>
        <w:rPr>
          <w:rFonts w:ascii="Palatino Linotype" w:hAnsi="Palatino Linotype" w:cs="Palatino Linotype"/>
          <w:i/>
          <w:iCs/>
          <w:color w:val="000000" w:themeColor="text1"/>
        </w:rPr>
        <w:t>Heneghan</w:t>
      </w:r>
      <w:r>
        <w:rPr>
          <w:rFonts w:ascii="Palatino Linotype" w:hAnsi="Palatino Linotype" w:cs="Palatino Linotype"/>
          <w:color w:val="000000" w:themeColor="text1"/>
        </w:rPr>
        <w:t xml:space="preserve">. ‘Loss of chance’ is also tricky, and reading </w:t>
      </w:r>
      <w:r>
        <w:rPr>
          <w:rFonts w:ascii="Palatino Linotype" w:hAnsi="Palatino Linotype" w:cs="Palatino Linotype"/>
          <w:i/>
          <w:iCs/>
          <w:color w:val="000000" w:themeColor="text1"/>
        </w:rPr>
        <w:t xml:space="preserve">Gregg v Scott </w:t>
      </w:r>
      <w:r>
        <w:rPr>
          <w:rFonts w:ascii="Palatino Linotype" w:hAnsi="Palatino Linotype" w:cs="Palatino Linotype"/>
          <w:color w:val="000000" w:themeColor="text1"/>
        </w:rPr>
        <w:t>will help a lot with your understanding of factual causation as a whole.</w:t>
      </w:r>
    </w:p>
    <w:p w14:paraId="643CF21A" w14:textId="77777777" w:rsidR="00D10FED" w:rsidRPr="0019314B" w:rsidRDefault="00D10FED" w:rsidP="0069375F">
      <w:pPr>
        <w:jc w:val="both"/>
        <w:rPr>
          <w:rFonts w:ascii="Palatino Linotype" w:hAnsi="Palatino Linotype" w:cs="Palatino Linotype"/>
          <w:color w:val="FF0000"/>
        </w:rPr>
      </w:pPr>
    </w:p>
    <w:p w14:paraId="597CD0AE" w14:textId="6324B6ED" w:rsidR="00A00151" w:rsidRPr="0019314B" w:rsidRDefault="00A00151" w:rsidP="0069375F">
      <w:pPr>
        <w:jc w:val="both"/>
        <w:rPr>
          <w:rFonts w:ascii="Palatino Linotype" w:hAnsi="Palatino Linotype" w:cs="Palatino Linotype"/>
          <w:b/>
          <w:bCs/>
          <w:color w:val="000000" w:themeColor="text1"/>
        </w:rPr>
      </w:pPr>
      <w:r w:rsidRPr="0019314B">
        <w:rPr>
          <w:rFonts w:ascii="Palatino Linotype" w:hAnsi="Palatino Linotype" w:cs="Palatino Linotype"/>
          <w:b/>
          <w:bCs/>
          <w:color w:val="000000" w:themeColor="text1"/>
        </w:rPr>
        <w:t>Textbook</w:t>
      </w:r>
      <w:r w:rsidR="0004734B" w:rsidRPr="0019314B">
        <w:rPr>
          <w:rFonts w:ascii="Palatino Linotype" w:hAnsi="Palatino Linotype" w:cs="Palatino Linotype"/>
          <w:b/>
          <w:bCs/>
          <w:color w:val="000000" w:themeColor="text1"/>
        </w:rPr>
        <w:t>s</w:t>
      </w:r>
    </w:p>
    <w:p w14:paraId="46D05259" w14:textId="365199B0" w:rsidR="00A00151" w:rsidRPr="0019314B" w:rsidRDefault="00A00151" w:rsidP="0069375F">
      <w:pPr>
        <w:jc w:val="both"/>
        <w:rPr>
          <w:rFonts w:ascii="Palatino Linotype" w:hAnsi="Palatino Linotype" w:cs="Palatino Linotype"/>
          <w:b/>
          <w:bCs/>
          <w:color w:val="0070C0"/>
        </w:rPr>
      </w:pPr>
      <w:r w:rsidRPr="0019314B">
        <w:rPr>
          <w:rFonts w:ascii="Palatino Linotype" w:hAnsi="Palatino Linotype" w:cs="Palatino Linotype"/>
          <w:b/>
          <w:bCs/>
          <w:color w:val="0070C0"/>
        </w:rPr>
        <w:t>*H&amp;R, Ch</w:t>
      </w:r>
      <w:r w:rsidR="00773D04">
        <w:rPr>
          <w:rFonts w:ascii="Palatino Linotype" w:hAnsi="Palatino Linotype" w:cs="Palatino Linotype"/>
          <w:b/>
          <w:bCs/>
          <w:color w:val="0070C0"/>
        </w:rPr>
        <w:t>s</w:t>
      </w:r>
      <w:r w:rsidRPr="0019314B">
        <w:rPr>
          <w:rFonts w:ascii="Palatino Linotype" w:hAnsi="Palatino Linotype" w:cs="Palatino Linotype"/>
          <w:b/>
          <w:bCs/>
          <w:color w:val="0070C0"/>
        </w:rPr>
        <w:t>.</w:t>
      </w:r>
      <w:r w:rsidR="00533E3A">
        <w:rPr>
          <w:rFonts w:ascii="Palatino Linotype" w:hAnsi="Palatino Linotype" w:cs="Palatino Linotype"/>
          <w:b/>
          <w:bCs/>
          <w:color w:val="0070C0"/>
        </w:rPr>
        <w:t>9.1-9.2</w:t>
      </w:r>
      <w:r w:rsidRPr="0019314B">
        <w:rPr>
          <w:rFonts w:ascii="Palatino Linotype" w:hAnsi="Palatino Linotype" w:cs="Palatino Linotype"/>
          <w:b/>
          <w:bCs/>
          <w:color w:val="0070C0"/>
        </w:rPr>
        <w:t xml:space="preserve"> – </w:t>
      </w:r>
      <w:r w:rsidR="00533E3A">
        <w:rPr>
          <w:rFonts w:ascii="Palatino Linotype" w:hAnsi="Palatino Linotype" w:cs="Palatino Linotype"/>
          <w:b/>
          <w:bCs/>
          <w:color w:val="0070C0"/>
        </w:rPr>
        <w:t>‘Causation and remoteness of damage’</w:t>
      </w:r>
      <w:r w:rsidR="00773D04">
        <w:rPr>
          <w:rFonts w:ascii="Palatino Linotype" w:hAnsi="Palatino Linotype" w:cs="Palatino Linotype"/>
          <w:b/>
          <w:bCs/>
          <w:color w:val="0070C0"/>
        </w:rPr>
        <w:t xml:space="preserve"> (</w:t>
      </w:r>
      <w:r w:rsidR="00533E3A">
        <w:rPr>
          <w:rFonts w:ascii="Palatino Linotype" w:hAnsi="Palatino Linotype" w:cs="Palatino Linotype"/>
          <w:b/>
          <w:bCs/>
          <w:color w:val="0070C0"/>
        </w:rPr>
        <w:t>READ ONLY ‘9.1 Introduction’ and ‘9.2 Factual causation—the ‘but for’ test’</w:t>
      </w:r>
      <w:r w:rsidR="00773D04">
        <w:rPr>
          <w:rFonts w:ascii="Palatino Linotype" w:hAnsi="Palatino Linotype" w:cs="Palatino Linotype"/>
          <w:b/>
          <w:bCs/>
          <w:color w:val="0070C0"/>
        </w:rPr>
        <w:t xml:space="preserve">, </w:t>
      </w:r>
      <w:r w:rsidR="006A2937">
        <w:rPr>
          <w:rFonts w:ascii="Palatino Linotype" w:hAnsi="Palatino Linotype" w:cs="Palatino Linotype"/>
          <w:b/>
          <w:bCs/>
          <w:color w:val="0070C0"/>
        </w:rPr>
        <w:t>pp.261-292)</w:t>
      </w:r>
    </w:p>
    <w:p w14:paraId="4C464F50" w14:textId="2FF74EC7" w:rsidR="002F42C5" w:rsidRDefault="002F42C5" w:rsidP="001B7FB8">
      <w:pPr>
        <w:jc w:val="both"/>
        <w:rPr>
          <w:rFonts w:ascii="Palatino Linotype" w:hAnsi="Palatino Linotype" w:cs="Palatino Linotype"/>
          <w:color w:val="000000" w:themeColor="text1"/>
        </w:rPr>
      </w:pPr>
      <w:r>
        <w:rPr>
          <w:rFonts w:ascii="Palatino Linotype" w:hAnsi="Palatino Linotype" w:cs="Palatino Linotype"/>
          <w:color w:val="000000" w:themeColor="text1"/>
        </w:rPr>
        <w:t xml:space="preserve">Winfield &amp; </w:t>
      </w:r>
      <w:proofErr w:type="spellStart"/>
      <w:r>
        <w:rPr>
          <w:rFonts w:ascii="Palatino Linotype" w:hAnsi="Palatino Linotype" w:cs="Palatino Linotype"/>
          <w:color w:val="000000" w:themeColor="text1"/>
        </w:rPr>
        <w:t>Jolowicz</w:t>
      </w:r>
      <w:proofErr w:type="spellEnd"/>
      <w:r>
        <w:rPr>
          <w:rFonts w:ascii="Palatino Linotype" w:hAnsi="Palatino Linotype" w:cs="Palatino Linotype"/>
          <w:color w:val="000000" w:themeColor="text1"/>
        </w:rPr>
        <w:t>, Ch.7, section 1,2, and 3 (7-001-7-043)</w:t>
      </w:r>
    </w:p>
    <w:p w14:paraId="3D960295" w14:textId="77777777" w:rsidR="002F42C5" w:rsidRPr="0019314B" w:rsidRDefault="002F42C5" w:rsidP="001B7FB8">
      <w:pPr>
        <w:jc w:val="both"/>
        <w:rPr>
          <w:rFonts w:ascii="Palatino Linotype" w:hAnsi="Palatino Linotype"/>
          <w:b/>
          <w:color w:val="000000" w:themeColor="text1"/>
        </w:rPr>
      </w:pPr>
    </w:p>
    <w:p w14:paraId="3935A06C" w14:textId="1120C0AA" w:rsidR="00462CB5" w:rsidRPr="0019314B" w:rsidRDefault="00462CB5" w:rsidP="001B7FB8">
      <w:pPr>
        <w:jc w:val="both"/>
        <w:rPr>
          <w:rFonts w:ascii="Palatino Linotype" w:hAnsi="Palatino Linotype"/>
          <w:b/>
          <w:color w:val="000000" w:themeColor="text1"/>
        </w:rPr>
      </w:pPr>
      <w:r w:rsidRPr="0019314B">
        <w:rPr>
          <w:rFonts w:ascii="Palatino Linotype" w:hAnsi="Palatino Linotype"/>
          <w:b/>
          <w:color w:val="000000" w:themeColor="text1"/>
        </w:rPr>
        <w:t>Core cases</w:t>
      </w:r>
    </w:p>
    <w:p w14:paraId="517B6DA8" w14:textId="0C934F46" w:rsidR="00F1362E" w:rsidRPr="002E462A" w:rsidRDefault="002F42C5" w:rsidP="49DE6236">
      <w:pPr>
        <w:ind w:right="26"/>
        <w:jc w:val="both"/>
        <w:rPr>
          <w:rFonts w:ascii="Palatino Linotype" w:hAnsi="Palatino Linotype"/>
          <w:bCs/>
          <w:iCs/>
          <w:color w:val="000000" w:themeColor="text1"/>
        </w:rPr>
      </w:pPr>
      <w:r w:rsidRPr="002E462A">
        <w:rPr>
          <w:rFonts w:ascii="Palatino Linotype" w:hAnsi="Palatino Linotype"/>
          <w:bCs/>
          <w:i/>
          <w:color w:val="000000" w:themeColor="text1"/>
        </w:rPr>
        <w:t xml:space="preserve">Fairchild v </w:t>
      </w:r>
      <w:proofErr w:type="spellStart"/>
      <w:r w:rsidRPr="002E462A">
        <w:rPr>
          <w:rFonts w:ascii="Palatino Linotype" w:hAnsi="Palatino Linotype"/>
          <w:bCs/>
          <w:i/>
          <w:color w:val="000000" w:themeColor="text1"/>
        </w:rPr>
        <w:t>Glenhaven</w:t>
      </w:r>
      <w:proofErr w:type="spellEnd"/>
      <w:r w:rsidRPr="002E462A">
        <w:rPr>
          <w:rFonts w:ascii="Palatino Linotype" w:hAnsi="Palatino Linotype"/>
          <w:bCs/>
          <w:i/>
          <w:color w:val="000000" w:themeColor="text1"/>
        </w:rPr>
        <w:t xml:space="preserve"> Funeral Services Ltd</w:t>
      </w:r>
      <w:r w:rsidRPr="002E462A">
        <w:rPr>
          <w:rFonts w:ascii="Palatino Linotype" w:hAnsi="Palatino Linotype"/>
          <w:bCs/>
          <w:iCs/>
          <w:color w:val="000000" w:themeColor="text1"/>
        </w:rPr>
        <w:t xml:space="preserve"> [2003] 1 AC 32</w:t>
      </w:r>
    </w:p>
    <w:p w14:paraId="15744BA2" w14:textId="0A54EDBA" w:rsidR="001C67E9" w:rsidRPr="002E462A" w:rsidRDefault="001C67E9" w:rsidP="49DE6236">
      <w:pPr>
        <w:ind w:right="26"/>
        <w:jc w:val="both"/>
        <w:rPr>
          <w:rFonts w:ascii="Palatino Linotype" w:hAnsi="Palatino Linotype"/>
          <w:bCs/>
          <w:iCs/>
          <w:color w:val="000000" w:themeColor="text1"/>
        </w:rPr>
      </w:pPr>
      <w:r w:rsidRPr="002E462A">
        <w:rPr>
          <w:rFonts w:ascii="Palatino Linotype" w:hAnsi="Palatino Linotype"/>
          <w:bCs/>
          <w:i/>
          <w:color w:val="000000" w:themeColor="text1"/>
        </w:rPr>
        <w:t>Barker v Corus</w:t>
      </w:r>
      <w:r w:rsidRPr="002E462A">
        <w:rPr>
          <w:rFonts w:ascii="Palatino Linotype" w:hAnsi="Palatino Linotype"/>
          <w:bCs/>
          <w:iCs/>
          <w:color w:val="000000" w:themeColor="text1"/>
        </w:rPr>
        <w:t xml:space="preserve"> [2006] </w:t>
      </w:r>
      <w:r w:rsidR="004E424E" w:rsidRPr="002E462A">
        <w:rPr>
          <w:rFonts w:ascii="Palatino Linotype" w:hAnsi="Palatino Linotype"/>
          <w:bCs/>
          <w:iCs/>
          <w:color w:val="000000" w:themeColor="text1"/>
        </w:rPr>
        <w:t>UKHL 20</w:t>
      </w:r>
    </w:p>
    <w:p w14:paraId="7DA18708" w14:textId="77309C02" w:rsidR="001C67E9" w:rsidRPr="002E462A" w:rsidRDefault="001C67E9" w:rsidP="49DE6236">
      <w:pPr>
        <w:ind w:right="26"/>
        <w:jc w:val="both"/>
        <w:rPr>
          <w:rFonts w:ascii="Palatino Linotype" w:hAnsi="Palatino Linotype"/>
          <w:bCs/>
          <w:iCs/>
          <w:color w:val="000000" w:themeColor="text1"/>
        </w:rPr>
      </w:pPr>
      <w:r w:rsidRPr="002E462A">
        <w:rPr>
          <w:rFonts w:ascii="Palatino Linotype" w:hAnsi="Palatino Linotype"/>
          <w:bCs/>
          <w:i/>
          <w:color w:val="000000" w:themeColor="text1"/>
        </w:rPr>
        <w:t>Heneghan v Manchester Dry Docks</w:t>
      </w:r>
      <w:r w:rsidRPr="002E462A">
        <w:rPr>
          <w:rFonts w:ascii="Palatino Linotype" w:hAnsi="Palatino Linotype"/>
          <w:bCs/>
          <w:iCs/>
          <w:color w:val="000000" w:themeColor="text1"/>
        </w:rPr>
        <w:t xml:space="preserve"> [2016] EWCA </w:t>
      </w:r>
      <w:proofErr w:type="spellStart"/>
      <w:r w:rsidRPr="002E462A">
        <w:rPr>
          <w:rFonts w:ascii="Palatino Linotype" w:hAnsi="Palatino Linotype"/>
          <w:bCs/>
          <w:iCs/>
          <w:color w:val="000000" w:themeColor="text1"/>
        </w:rPr>
        <w:t>Civ</w:t>
      </w:r>
      <w:proofErr w:type="spellEnd"/>
      <w:r w:rsidRPr="002E462A">
        <w:rPr>
          <w:rFonts w:ascii="Palatino Linotype" w:hAnsi="Palatino Linotype"/>
          <w:bCs/>
          <w:iCs/>
          <w:color w:val="000000" w:themeColor="text1"/>
        </w:rPr>
        <w:t xml:space="preserve"> 86</w:t>
      </w:r>
    </w:p>
    <w:p w14:paraId="5F9C1AD3" w14:textId="1EDDF5B6" w:rsidR="009F5B14" w:rsidRPr="002E462A" w:rsidRDefault="009F5B14" w:rsidP="49DE6236">
      <w:pPr>
        <w:ind w:right="26"/>
        <w:jc w:val="both"/>
        <w:rPr>
          <w:rFonts w:ascii="Palatino Linotype" w:hAnsi="Palatino Linotype"/>
          <w:bCs/>
          <w:iCs/>
          <w:color w:val="000000" w:themeColor="text1"/>
        </w:rPr>
      </w:pPr>
      <w:r w:rsidRPr="002E462A">
        <w:rPr>
          <w:rFonts w:ascii="Palatino Linotype" w:hAnsi="Palatino Linotype"/>
          <w:bCs/>
          <w:i/>
          <w:color w:val="000000" w:themeColor="text1"/>
        </w:rPr>
        <w:t>Gregg v Scott</w:t>
      </w:r>
      <w:r w:rsidRPr="002E462A">
        <w:rPr>
          <w:rFonts w:ascii="Palatino Linotype" w:hAnsi="Palatino Linotype"/>
          <w:bCs/>
          <w:iCs/>
          <w:color w:val="000000" w:themeColor="text1"/>
        </w:rPr>
        <w:t xml:space="preserve"> [2005] 2 AC 176</w:t>
      </w:r>
    </w:p>
    <w:p w14:paraId="38FFB0CE" w14:textId="77777777" w:rsidR="002F42C5" w:rsidRPr="0019314B" w:rsidRDefault="002F42C5" w:rsidP="49DE6236">
      <w:pPr>
        <w:ind w:right="26"/>
        <w:jc w:val="both"/>
        <w:rPr>
          <w:rFonts w:ascii="Palatino Linotype" w:hAnsi="Palatino Linotype"/>
          <w:i/>
          <w:iCs/>
        </w:rPr>
      </w:pPr>
    </w:p>
    <w:p w14:paraId="2EC55F1B" w14:textId="05EBE8DC" w:rsidR="001B2CE3" w:rsidRPr="0019314B" w:rsidRDefault="001B2CE3" w:rsidP="001B2CE3">
      <w:pPr>
        <w:jc w:val="both"/>
        <w:rPr>
          <w:rFonts w:ascii="Palatino Linotype" w:hAnsi="Palatino Linotype"/>
          <w:b/>
        </w:rPr>
      </w:pPr>
      <w:r w:rsidRPr="0019314B">
        <w:rPr>
          <w:rFonts w:ascii="Palatino Linotype" w:hAnsi="Palatino Linotype"/>
          <w:b/>
        </w:rPr>
        <w:t>Additional cases</w:t>
      </w:r>
    </w:p>
    <w:p w14:paraId="0772009E" w14:textId="77777777" w:rsidR="00482BC4" w:rsidRDefault="009B0BB6" w:rsidP="009B0BB6">
      <w:pPr>
        <w:jc w:val="both"/>
        <w:rPr>
          <w:rFonts w:ascii="Palatino Linotype" w:hAnsi="Palatino Linotype"/>
          <w:bCs/>
          <w:iCs/>
        </w:rPr>
      </w:pPr>
      <w:r w:rsidRPr="009B0BB6">
        <w:rPr>
          <w:rFonts w:ascii="Palatino Linotype" w:hAnsi="Palatino Linotype"/>
          <w:bCs/>
          <w:i/>
          <w:iCs/>
        </w:rPr>
        <w:t xml:space="preserve">Bonnington Castings Ltd v Wardlaw </w:t>
      </w:r>
      <w:r w:rsidRPr="009B0BB6">
        <w:rPr>
          <w:rFonts w:ascii="Palatino Linotype" w:hAnsi="Palatino Linotype"/>
          <w:bCs/>
          <w:iCs/>
        </w:rPr>
        <w:t>[1956] AC 613</w:t>
      </w:r>
    </w:p>
    <w:p w14:paraId="67507F01" w14:textId="373619B7" w:rsidR="009B0BB6" w:rsidRDefault="00482BC4" w:rsidP="009B0BB6">
      <w:pPr>
        <w:jc w:val="both"/>
        <w:rPr>
          <w:rFonts w:ascii="Palatino Linotype" w:hAnsi="Palatino Linotype"/>
          <w:bCs/>
          <w:i/>
        </w:rPr>
      </w:pPr>
      <w:r w:rsidRPr="00482BC4">
        <w:rPr>
          <w:rFonts w:ascii="Palatino Linotype" w:hAnsi="Palatino Linotype"/>
          <w:bCs/>
          <w:i/>
        </w:rPr>
        <w:t xml:space="preserve">Hotson v East Berkshire Area Health Authority </w:t>
      </w:r>
      <w:r w:rsidRPr="00482BC4">
        <w:rPr>
          <w:rFonts w:ascii="Palatino Linotype" w:hAnsi="Palatino Linotype"/>
          <w:bCs/>
          <w:iCs/>
        </w:rPr>
        <w:t>[1987] AC 750</w:t>
      </w:r>
      <w:r w:rsidRPr="00482BC4">
        <w:rPr>
          <w:rFonts w:ascii="Palatino Linotype" w:hAnsi="Palatino Linotype"/>
          <w:bCs/>
          <w:i/>
        </w:rPr>
        <w:t xml:space="preserve"> </w:t>
      </w:r>
      <w:r w:rsidR="009B0BB6" w:rsidRPr="009B0BB6">
        <w:rPr>
          <w:rFonts w:ascii="Palatino Linotype" w:hAnsi="Palatino Linotype"/>
          <w:bCs/>
          <w:i/>
        </w:rPr>
        <w:t xml:space="preserve"> </w:t>
      </w:r>
    </w:p>
    <w:p w14:paraId="7EB8D185" w14:textId="385BBFEE" w:rsidR="009B0BB6" w:rsidRPr="009B0BB6" w:rsidRDefault="009B0BB6" w:rsidP="009B0BB6">
      <w:pPr>
        <w:jc w:val="both"/>
        <w:rPr>
          <w:rFonts w:ascii="Palatino Linotype" w:hAnsi="Palatino Linotype"/>
          <w:bCs/>
          <w:i/>
        </w:rPr>
      </w:pPr>
      <w:r w:rsidRPr="009D6DE2">
        <w:rPr>
          <w:rFonts w:ascii="Palatino Linotype" w:hAnsi="Palatino Linotype"/>
          <w:bCs/>
          <w:i/>
        </w:rPr>
        <w:t xml:space="preserve">Wilsher v Essex Area Health Authority </w:t>
      </w:r>
      <w:r w:rsidRPr="009D6DE2">
        <w:rPr>
          <w:rFonts w:ascii="Palatino Linotype" w:hAnsi="Palatino Linotype"/>
          <w:bCs/>
          <w:iCs/>
        </w:rPr>
        <w:t>[1988] AC 1074</w:t>
      </w:r>
    </w:p>
    <w:p w14:paraId="16253ACF" w14:textId="77777777" w:rsidR="009B0BB6" w:rsidRPr="009B0BB6" w:rsidRDefault="009B0BB6" w:rsidP="009B0BB6">
      <w:pPr>
        <w:jc w:val="both"/>
        <w:rPr>
          <w:rFonts w:ascii="Palatino Linotype" w:hAnsi="Palatino Linotype"/>
          <w:bCs/>
          <w:i/>
        </w:rPr>
      </w:pPr>
      <w:r w:rsidRPr="009B0BB6">
        <w:rPr>
          <w:rFonts w:ascii="Palatino Linotype" w:hAnsi="Palatino Linotype"/>
          <w:bCs/>
          <w:i/>
          <w:iCs/>
        </w:rPr>
        <w:t>Holtby v Brigham &amp; Cowan Ltd</w:t>
      </w:r>
      <w:r w:rsidRPr="009B0BB6">
        <w:rPr>
          <w:rFonts w:ascii="Palatino Linotype" w:hAnsi="Palatino Linotype"/>
          <w:bCs/>
          <w:i/>
        </w:rPr>
        <w:t xml:space="preserve"> </w:t>
      </w:r>
      <w:r w:rsidRPr="009B0BB6">
        <w:rPr>
          <w:rFonts w:ascii="Palatino Linotype" w:hAnsi="Palatino Linotype"/>
          <w:bCs/>
          <w:iCs/>
        </w:rPr>
        <w:t xml:space="preserve">[2000] EWCA </w:t>
      </w:r>
      <w:proofErr w:type="spellStart"/>
      <w:r w:rsidRPr="009B0BB6">
        <w:rPr>
          <w:rFonts w:ascii="Palatino Linotype" w:hAnsi="Palatino Linotype"/>
          <w:bCs/>
          <w:iCs/>
        </w:rPr>
        <w:t>Civ</w:t>
      </w:r>
      <w:proofErr w:type="spellEnd"/>
      <w:r w:rsidRPr="009B0BB6">
        <w:rPr>
          <w:rFonts w:ascii="Palatino Linotype" w:hAnsi="Palatino Linotype"/>
          <w:bCs/>
          <w:iCs/>
        </w:rPr>
        <w:t xml:space="preserve"> 111</w:t>
      </w:r>
    </w:p>
    <w:p w14:paraId="71A5A329" w14:textId="41811065" w:rsidR="009B0BB6" w:rsidRPr="009B0BB6" w:rsidRDefault="009B0BB6" w:rsidP="001B7FB8">
      <w:pPr>
        <w:jc w:val="both"/>
        <w:rPr>
          <w:rFonts w:ascii="Palatino Linotype" w:hAnsi="Palatino Linotype"/>
          <w:bCs/>
          <w:i/>
        </w:rPr>
      </w:pPr>
      <w:r w:rsidRPr="009B0BB6">
        <w:rPr>
          <w:rFonts w:ascii="Palatino Linotype" w:hAnsi="Palatino Linotype"/>
          <w:bCs/>
          <w:i/>
          <w:iCs/>
        </w:rPr>
        <w:t xml:space="preserve">Bailey v Ministry of Defence </w:t>
      </w:r>
      <w:r w:rsidRPr="009B0BB6">
        <w:rPr>
          <w:rFonts w:ascii="Palatino Linotype" w:hAnsi="Palatino Linotype"/>
          <w:bCs/>
          <w:iCs/>
        </w:rPr>
        <w:t xml:space="preserve">[2008] EWCA </w:t>
      </w:r>
      <w:proofErr w:type="spellStart"/>
      <w:r w:rsidRPr="009B0BB6">
        <w:rPr>
          <w:rFonts w:ascii="Palatino Linotype" w:hAnsi="Palatino Linotype"/>
          <w:bCs/>
          <w:iCs/>
        </w:rPr>
        <w:t>Civ</w:t>
      </w:r>
      <w:proofErr w:type="spellEnd"/>
      <w:r w:rsidRPr="009B0BB6">
        <w:rPr>
          <w:rFonts w:ascii="Palatino Linotype" w:hAnsi="Palatino Linotype"/>
          <w:bCs/>
          <w:iCs/>
        </w:rPr>
        <w:t xml:space="preserve"> 883</w:t>
      </w:r>
    </w:p>
    <w:p w14:paraId="2E917A4F" w14:textId="7B90FAF8" w:rsidR="001D5B5F" w:rsidRDefault="00F140CB" w:rsidP="001B7FB8">
      <w:pPr>
        <w:jc w:val="both"/>
        <w:rPr>
          <w:rFonts w:ascii="Palatino Linotype" w:hAnsi="Palatino Linotype"/>
          <w:bCs/>
          <w:iCs/>
        </w:rPr>
      </w:pPr>
      <w:r w:rsidRPr="00F140CB">
        <w:rPr>
          <w:rFonts w:ascii="Palatino Linotype" w:hAnsi="Palatino Linotype"/>
          <w:bCs/>
          <w:i/>
        </w:rPr>
        <w:t xml:space="preserve">Sienkiewicz v Greif </w:t>
      </w:r>
      <w:r w:rsidRPr="00BF1778">
        <w:rPr>
          <w:rFonts w:ascii="Palatino Linotype" w:hAnsi="Palatino Linotype"/>
          <w:bCs/>
          <w:iCs/>
        </w:rPr>
        <w:t>[2011] 2 AC 229 (the headnote is admirably clear here)</w:t>
      </w:r>
    </w:p>
    <w:p w14:paraId="03F8FAF4" w14:textId="22132516" w:rsidR="000C7A20" w:rsidRDefault="000C7A20" w:rsidP="001B7FB8">
      <w:pPr>
        <w:jc w:val="both"/>
        <w:rPr>
          <w:rFonts w:ascii="Palatino Linotype" w:hAnsi="Palatino Linotype"/>
          <w:bCs/>
          <w:i/>
        </w:rPr>
      </w:pPr>
      <w:r w:rsidRPr="000C7A20">
        <w:rPr>
          <w:rFonts w:ascii="Palatino Linotype" w:hAnsi="Palatino Linotype"/>
          <w:bCs/>
          <w:i/>
        </w:rPr>
        <w:t xml:space="preserve">Zurich Insurance v International Energy Group </w:t>
      </w:r>
      <w:r w:rsidRPr="000C7A20">
        <w:rPr>
          <w:rFonts w:ascii="Palatino Linotype" w:hAnsi="Palatino Linotype"/>
          <w:bCs/>
          <w:iCs/>
        </w:rPr>
        <w:t>[2015] UKSC 33</w:t>
      </w:r>
    </w:p>
    <w:p w14:paraId="4F6700EB" w14:textId="2A70E6AB" w:rsidR="000C7A20" w:rsidRPr="004B1942" w:rsidRDefault="00BF1778" w:rsidP="001B7FB8">
      <w:pPr>
        <w:jc w:val="both"/>
        <w:rPr>
          <w:rFonts w:ascii="Palatino Linotype" w:hAnsi="Palatino Linotype"/>
          <w:bCs/>
          <w:iCs/>
        </w:rPr>
      </w:pPr>
      <w:r w:rsidRPr="00BF1778">
        <w:rPr>
          <w:rFonts w:ascii="Palatino Linotype" w:hAnsi="Palatino Linotype"/>
          <w:bCs/>
          <w:i/>
        </w:rPr>
        <w:t xml:space="preserve">Williams v The Bermuda Hospitals Board </w:t>
      </w:r>
      <w:r w:rsidRPr="00BF1778">
        <w:rPr>
          <w:rFonts w:ascii="Palatino Linotype" w:hAnsi="Palatino Linotype"/>
          <w:bCs/>
          <w:iCs/>
        </w:rPr>
        <w:t>[2016] UKPC 4</w:t>
      </w:r>
    </w:p>
    <w:p w14:paraId="4143B85C" w14:textId="77777777" w:rsidR="00F140CB" w:rsidRPr="0019314B" w:rsidRDefault="00F140CB" w:rsidP="001B7FB8">
      <w:pPr>
        <w:jc w:val="both"/>
        <w:rPr>
          <w:rFonts w:ascii="Palatino Linotype" w:hAnsi="Palatino Linotype"/>
        </w:rPr>
      </w:pPr>
    </w:p>
    <w:p w14:paraId="3BC1A75E" w14:textId="23F2EF6B" w:rsidR="00AB104A" w:rsidRPr="0019314B" w:rsidRDefault="00AB104A" w:rsidP="001B7FB8">
      <w:pPr>
        <w:jc w:val="both"/>
        <w:rPr>
          <w:rFonts w:ascii="Palatino Linotype" w:hAnsi="Palatino Linotype"/>
          <w:b/>
          <w:bCs/>
        </w:rPr>
      </w:pPr>
      <w:r w:rsidRPr="0019314B">
        <w:rPr>
          <w:rFonts w:ascii="Palatino Linotype" w:hAnsi="Palatino Linotype"/>
          <w:b/>
          <w:bCs/>
        </w:rPr>
        <w:t>Articles</w:t>
      </w:r>
    </w:p>
    <w:p w14:paraId="3DC848F9" w14:textId="4DDCAB8C" w:rsidR="00211956" w:rsidRDefault="00C915F6" w:rsidP="0069375F">
      <w:pPr>
        <w:jc w:val="both"/>
        <w:rPr>
          <w:rStyle w:val="IntenseEmphasis"/>
          <w:rFonts w:ascii="Palatino Linotype" w:hAnsi="Palatino Linotype"/>
          <w:b w:val="0"/>
          <w:bCs/>
          <w:i w:val="0"/>
          <w:iCs w:val="0"/>
          <w:color w:val="000000" w:themeColor="text1"/>
        </w:rPr>
      </w:pPr>
      <w:r w:rsidRPr="00C915F6">
        <w:rPr>
          <w:rStyle w:val="IntenseEmphasis"/>
          <w:rFonts w:ascii="Palatino Linotype" w:hAnsi="Palatino Linotype"/>
          <w:b w:val="0"/>
          <w:bCs/>
          <w:i w:val="0"/>
          <w:iCs w:val="0"/>
          <w:color w:val="000000" w:themeColor="text1"/>
        </w:rPr>
        <w:t xml:space="preserve">S Steel &amp; J Stapleton, ‘Causes and contributions’ (2016) 132 </w:t>
      </w:r>
      <w:r w:rsidRPr="001153C3">
        <w:rPr>
          <w:rStyle w:val="IntenseEmphasis"/>
          <w:rFonts w:ascii="Palatino Linotype" w:hAnsi="Palatino Linotype"/>
          <w:b w:val="0"/>
          <w:bCs/>
          <w:color w:val="000000" w:themeColor="text1"/>
        </w:rPr>
        <w:t>Law Quarterly Review</w:t>
      </w:r>
      <w:r w:rsidRPr="00C915F6">
        <w:rPr>
          <w:rStyle w:val="IntenseEmphasis"/>
          <w:rFonts w:ascii="Palatino Linotype" w:hAnsi="Palatino Linotype"/>
          <w:b w:val="0"/>
          <w:bCs/>
          <w:i w:val="0"/>
          <w:iCs w:val="0"/>
          <w:color w:val="000000" w:themeColor="text1"/>
        </w:rPr>
        <w:t xml:space="preserve"> 363–369</w:t>
      </w:r>
    </w:p>
    <w:p w14:paraId="7BC4273E" w14:textId="5089CD1C" w:rsidR="00D14EE3" w:rsidRDefault="00D14EE3" w:rsidP="00D14EE3">
      <w:pPr>
        <w:jc w:val="both"/>
        <w:rPr>
          <w:rStyle w:val="IntenseEmphasis"/>
          <w:rFonts w:ascii="Palatino Linotype" w:hAnsi="Palatino Linotype"/>
          <w:b w:val="0"/>
          <w:bCs/>
          <w:i w:val="0"/>
          <w:iCs w:val="0"/>
          <w:color w:val="000000" w:themeColor="text1"/>
        </w:rPr>
      </w:pPr>
      <w:r w:rsidRPr="00D14EE3">
        <w:rPr>
          <w:rStyle w:val="IntenseEmphasis"/>
          <w:rFonts w:ascii="Palatino Linotype" w:hAnsi="Palatino Linotype"/>
          <w:b w:val="0"/>
          <w:bCs/>
          <w:i w:val="0"/>
          <w:iCs w:val="0"/>
          <w:color w:val="000000" w:themeColor="text1"/>
        </w:rPr>
        <w:t xml:space="preserve">S Green, 'Between a rock of uncertainty and a hard case' (2016) 132 </w:t>
      </w:r>
      <w:r w:rsidRPr="00D14EE3">
        <w:rPr>
          <w:rStyle w:val="IntenseEmphasis"/>
          <w:rFonts w:ascii="Palatino Linotype" w:hAnsi="Palatino Linotype"/>
          <w:b w:val="0"/>
          <w:bCs/>
          <w:color w:val="000000" w:themeColor="text1"/>
        </w:rPr>
        <w:t>LQR</w:t>
      </w:r>
      <w:r w:rsidRPr="00D14EE3">
        <w:rPr>
          <w:rStyle w:val="IntenseEmphasis"/>
          <w:rFonts w:ascii="Palatino Linotype" w:hAnsi="Palatino Linotype"/>
          <w:b w:val="0"/>
          <w:bCs/>
          <w:i w:val="0"/>
          <w:iCs w:val="0"/>
          <w:color w:val="000000" w:themeColor="text1"/>
        </w:rPr>
        <w:t xml:space="preserve"> 25</w:t>
      </w:r>
    </w:p>
    <w:p w14:paraId="518E8071" w14:textId="148D5226" w:rsidR="00E46F33" w:rsidRPr="00D14EE3" w:rsidRDefault="00E46F33" w:rsidP="00D14EE3">
      <w:pPr>
        <w:jc w:val="both"/>
        <w:rPr>
          <w:rStyle w:val="IntenseEmphasis"/>
          <w:rFonts w:ascii="Palatino Linotype" w:hAnsi="Palatino Linotype"/>
          <w:b w:val="0"/>
          <w:bCs/>
          <w:i w:val="0"/>
          <w:iCs w:val="0"/>
          <w:color w:val="000000" w:themeColor="text1"/>
        </w:rPr>
      </w:pPr>
      <w:r w:rsidRPr="00E46F33">
        <w:rPr>
          <w:rStyle w:val="IntenseEmphasis"/>
          <w:rFonts w:ascii="Palatino Linotype" w:hAnsi="Palatino Linotype"/>
          <w:b w:val="0"/>
          <w:bCs/>
          <w:i w:val="0"/>
          <w:iCs w:val="0"/>
          <w:color w:val="000000" w:themeColor="text1"/>
        </w:rPr>
        <w:t xml:space="preserve">E Weinrib, ‘Causal Uncertainty’ (2016) 36 </w:t>
      </w:r>
      <w:r w:rsidRPr="00E46F33">
        <w:rPr>
          <w:rStyle w:val="IntenseEmphasis"/>
          <w:rFonts w:ascii="Palatino Linotype" w:hAnsi="Palatino Linotype"/>
          <w:b w:val="0"/>
          <w:bCs/>
          <w:color w:val="000000" w:themeColor="text1"/>
        </w:rPr>
        <w:t>OJLS</w:t>
      </w:r>
      <w:r w:rsidRPr="00E46F33">
        <w:rPr>
          <w:rStyle w:val="IntenseEmphasis"/>
          <w:rFonts w:ascii="Palatino Linotype" w:hAnsi="Palatino Linotype"/>
          <w:b w:val="0"/>
          <w:bCs/>
          <w:i w:val="0"/>
          <w:iCs w:val="0"/>
          <w:color w:val="000000" w:themeColor="text1"/>
        </w:rPr>
        <w:t xml:space="preserve"> 135</w:t>
      </w:r>
    </w:p>
    <w:p w14:paraId="25ADF127" w14:textId="2F2264A5" w:rsidR="00D14EE3" w:rsidRPr="00C915F6" w:rsidRDefault="00D14EE3" w:rsidP="00D14EE3">
      <w:pPr>
        <w:jc w:val="both"/>
        <w:rPr>
          <w:rStyle w:val="IntenseEmphasis"/>
          <w:rFonts w:ascii="Palatino Linotype" w:hAnsi="Palatino Linotype"/>
          <w:b w:val="0"/>
          <w:bCs/>
          <w:i w:val="0"/>
          <w:iCs w:val="0"/>
          <w:color w:val="000000" w:themeColor="text1"/>
        </w:rPr>
      </w:pPr>
      <w:r w:rsidRPr="00D14EE3">
        <w:rPr>
          <w:rStyle w:val="IntenseEmphasis"/>
          <w:rFonts w:ascii="Palatino Linotype" w:hAnsi="Palatino Linotype"/>
          <w:b w:val="0"/>
          <w:bCs/>
          <w:i w:val="0"/>
          <w:iCs w:val="0"/>
          <w:color w:val="000000" w:themeColor="text1"/>
        </w:rPr>
        <w:t xml:space="preserve">S Green, 'Fairchild and the single agent criterion' (2017) 133 </w:t>
      </w:r>
      <w:r w:rsidRPr="00D14EE3">
        <w:rPr>
          <w:rStyle w:val="IntenseEmphasis"/>
          <w:rFonts w:ascii="Palatino Linotype" w:hAnsi="Palatino Linotype"/>
          <w:b w:val="0"/>
          <w:bCs/>
          <w:color w:val="000000" w:themeColor="text1"/>
        </w:rPr>
        <w:t>LQR</w:t>
      </w:r>
      <w:r w:rsidRPr="00D14EE3">
        <w:rPr>
          <w:rStyle w:val="IntenseEmphasis"/>
          <w:rFonts w:ascii="Palatino Linotype" w:hAnsi="Palatino Linotype"/>
          <w:b w:val="0"/>
          <w:bCs/>
          <w:i w:val="0"/>
          <w:iCs w:val="0"/>
          <w:color w:val="000000" w:themeColor="text1"/>
        </w:rPr>
        <w:t xml:space="preserve"> 25</w:t>
      </w:r>
    </w:p>
    <w:p w14:paraId="022AB3E6" w14:textId="656264C2" w:rsidR="00211956" w:rsidRDefault="00211956" w:rsidP="00211956">
      <w:pPr>
        <w:rPr>
          <w:rFonts w:ascii="Palatino Linotype" w:hAnsi="Palatino Linotype" w:cs="Palatino Linotype"/>
          <w:b/>
          <w:bCs/>
          <w:u w:val="single"/>
        </w:rPr>
      </w:pPr>
    </w:p>
    <w:p w14:paraId="0AC05620" w14:textId="0FB4AF78" w:rsidR="00AA45BE" w:rsidRDefault="00AA45BE" w:rsidP="00211956">
      <w:pPr>
        <w:rPr>
          <w:rFonts w:ascii="Palatino Linotype" w:hAnsi="Palatino Linotype" w:cs="Palatino Linotype"/>
          <w:b/>
          <w:bCs/>
          <w:u w:val="single"/>
        </w:rPr>
      </w:pPr>
    </w:p>
    <w:p w14:paraId="21BC37A8" w14:textId="77777777" w:rsidR="00AA45BE" w:rsidRDefault="00AA45BE" w:rsidP="00211956">
      <w:pPr>
        <w:rPr>
          <w:rFonts w:ascii="Palatino Linotype" w:hAnsi="Palatino Linotype" w:cs="Palatino Linotype"/>
          <w:b/>
          <w:bCs/>
          <w:u w:val="single"/>
        </w:rPr>
      </w:pPr>
    </w:p>
    <w:p w14:paraId="3B443241"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r>
        <w:rPr>
          <w:rFonts w:ascii="Palatino Linotype" w:hAnsi="Palatino Linotype" w:cs="Palatino Linotype"/>
          <w:b/>
          <w:bCs/>
          <w:u w:val="single"/>
        </w:rPr>
        <w:t>Beyond tort</w:t>
      </w:r>
    </w:p>
    <w:p w14:paraId="4248CE31"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7E1B11D4" w14:textId="5C97F119" w:rsidR="00211956" w:rsidRPr="00AA45BE"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Read:</w:t>
      </w:r>
      <w:r w:rsidR="00AA45BE">
        <w:rPr>
          <w:rFonts w:ascii="Palatino Linotype" w:hAnsi="Palatino Linotype" w:cs="Palatino Linotype"/>
        </w:rPr>
        <w:t xml:space="preserve"> James Rebanks, </w:t>
      </w:r>
      <w:r w:rsidR="00AA45BE">
        <w:rPr>
          <w:rFonts w:ascii="Palatino Linotype" w:hAnsi="Palatino Linotype" w:cs="Palatino Linotype"/>
          <w:i/>
          <w:iCs/>
        </w:rPr>
        <w:t xml:space="preserve">The Shepherd’s Life: A Tale of the Lake District. </w:t>
      </w:r>
      <w:r w:rsidR="00AA45BE">
        <w:rPr>
          <w:rFonts w:ascii="Palatino Linotype" w:hAnsi="Palatino Linotype" w:cs="Palatino Linotype"/>
        </w:rPr>
        <w:t>On its surface this book is just a</w:t>
      </w:r>
      <w:r w:rsidR="00305B21">
        <w:rPr>
          <w:rFonts w:ascii="Palatino Linotype" w:hAnsi="Palatino Linotype" w:cs="Palatino Linotype"/>
        </w:rPr>
        <w:t xml:space="preserve"> beautifully written</w:t>
      </w:r>
      <w:r w:rsidR="00AA45BE">
        <w:rPr>
          <w:rFonts w:ascii="Palatino Linotype" w:hAnsi="Palatino Linotype" w:cs="Palatino Linotype"/>
        </w:rPr>
        <w:t xml:space="preserve"> memoir of a shepherd from the Lakes. In reality though, Rebanks’ book is much deeper: it tells of his vision of a model society based on trust, reciprocity, and equality. Worth reading especially given Lancaster’s proximity</w:t>
      </w:r>
      <w:r w:rsidR="003D57D1">
        <w:rPr>
          <w:rFonts w:ascii="Palatino Linotype" w:hAnsi="Palatino Linotype" w:cs="Palatino Linotype"/>
        </w:rPr>
        <w:t xml:space="preserve"> to</w:t>
      </w:r>
      <w:r w:rsidR="00AA45BE">
        <w:rPr>
          <w:rFonts w:ascii="Palatino Linotype" w:hAnsi="Palatino Linotype" w:cs="Palatino Linotype"/>
        </w:rPr>
        <w:t xml:space="preserve"> Lakeland. </w:t>
      </w:r>
    </w:p>
    <w:p w14:paraId="6F87DEA9"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b/>
          <w:bCs/>
          <w:u w:val="single"/>
        </w:rPr>
      </w:pPr>
    </w:p>
    <w:p w14:paraId="08C04DDD" w14:textId="1FBCDA65" w:rsidR="00AA45BE" w:rsidRPr="00AA45BE"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 xml:space="preserve">Watch: </w:t>
      </w:r>
      <w:r w:rsidR="00AA45BE">
        <w:rPr>
          <w:rFonts w:ascii="Palatino Linotype" w:hAnsi="Palatino Linotype" w:cs="Palatino Linotype"/>
          <w:i/>
          <w:iCs/>
        </w:rPr>
        <w:t xml:space="preserve">Force Majeure, </w:t>
      </w:r>
      <w:r w:rsidR="00AA45BE">
        <w:rPr>
          <w:rFonts w:ascii="Palatino Linotype" w:hAnsi="Palatino Linotype" w:cs="Palatino Linotype"/>
        </w:rPr>
        <w:t xml:space="preserve">directed by Ruben </w:t>
      </w:r>
      <w:proofErr w:type="spellStart"/>
      <w:r w:rsidR="00AA45BE">
        <w:rPr>
          <w:rFonts w:ascii="Palatino Linotype" w:hAnsi="Palatino Linotype" w:cs="Palatino Linotype"/>
        </w:rPr>
        <w:t>Östland</w:t>
      </w:r>
      <w:proofErr w:type="spellEnd"/>
      <w:r w:rsidR="00AA45BE">
        <w:rPr>
          <w:rFonts w:ascii="Palatino Linotype" w:hAnsi="Palatino Linotype" w:cs="Palatino Linotype"/>
        </w:rPr>
        <w:t xml:space="preserve">. </w:t>
      </w:r>
      <w:r w:rsidR="00D46A05">
        <w:rPr>
          <w:rFonts w:ascii="Palatino Linotype" w:hAnsi="Palatino Linotype" w:cs="Palatino Linotype"/>
        </w:rPr>
        <w:t>One of the</w:t>
      </w:r>
      <w:r w:rsidR="00AA45BE">
        <w:rPr>
          <w:rFonts w:ascii="Palatino Linotype" w:hAnsi="Palatino Linotype" w:cs="Palatino Linotype"/>
        </w:rPr>
        <w:t xml:space="preserve"> funniest film</w:t>
      </w:r>
      <w:r w:rsidR="00D46A05">
        <w:rPr>
          <w:rFonts w:ascii="Palatino Linotype" w:hAnsi="Palatino Linotype" w:cs="Palatino Linotype"/>
        </w:rPr>
        <w:t xml:space="preserve">s </w:t>
      </w:r>
      <w:r w:rsidR="00AA45BE">
        <w:rPr>
          <w:rFonts w:ascii="Palatino Linotype" w:hAnsi="Palatino Linotype" w:cs="Palatino Linotype"/>
        </w:rPr>
        <w:t xml:space="preserve">I know. A man and his family are on holiday in the Alps. They get in an avalanche, and the man’s wife believes he prioritised his own safety over that of the family. They spend the rest of the holiday dealing with the fallout. If you enjoy this, </w:t>
      </w:r>
      <w:r w:rsidR="00815D17">
        <w:rPr>
          <w:rFonts w:ascii="Palatino Linotype" w:hAnsi="Palatino Linotype" w:cs="Palatino Linotype"/>
        </w:rPr>
        <w:t xml:space="preserve">then </w:t>
      </w:r>
      <w:r w:rsidR="00AA45BE">
        <w:rPr>
          <w:rFonts w:ascii="Palatino Linotype" w:hAnsi="Palatino Linotype" w:cs="Palatino Linotype"/>
        </w:rPr>
        <w:t xml:space="preserve">try Östland’s other two films, </w:t>
      </w:r>
      <w:r w:rsidR="00AA45BE">
        <w:rPr>
          <w:rFonts w:ascii="Palatino Linotype" w:hAnsi="Palatino Linotype" w:cs="Palatino Linotype"/>
          <w:i/>
          <w:iCs/>
        </w:rPr>
        <w:t xml:space="preserve">The Square </w:t>
      </w:r>
      <w:r w:rsidR="00AA45BE">
        <w:rPr>
          <w:rFonts w:ascii="Palatino Linotype" w:hAnsi="Palatino Linotype" w:cs="Palatino Linotype"/>
        </w:rPr>
        <w:t xml:space="preserve">and </w:t>
      </w:r>
      <w:r w:rsidR="00AA45BE">
        <w:rPr>
          <w:rFonts w:ascii="Palatino Linotype" w:hAnsi="Palatino Linotype" w:cs="Palatino Linotype"/>
          <w:i/>
          <w:iCs/>
        </w:rPr>
        <w:t xml:space="preserve">Triangle of Sadness. </w:t>
      </w:r>
    </w:p>
    <w:p w14:paraId="2768DD33" w14:textId="77777777" w:rsidR="00211956"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p>
    <w:p w14:paraId="7CFAA56C" w14:textId="2AB52400" w:rsidR="00211956" w:rsidRPr="00B25301" w:rsidRDefault="00211956" w:rsidP="00211956">
      <w:pPr>
        <w:pBdr>
          <w:top w:val="single" w:sz="4" w:space="1" w:color="auto"/>
          <w:left w:val="single" w:sz="4" w:space="4" w:color="auto"/>
          <w:bottom w:val="single" w:sz="4" w:space="1" w:color="auto"/>
          <w:right w:val="single" w:sz="4" w:space="4" w:color="auto"/>
          <w:bar w:val="single" w:sz="4" w:color="auto"/>
        </w:pBdr>
        <w:rPr>
          <w:rFonts w:ascii="Palatino Linotype" w:hAnsi="Palatino Linotype" w:cs="Palatino Linotype"/>
        </w:rPr>
      </w:pPr>
      <w:r>
        <w:rPr>
          <w:rFonts w:ascii="Palatino Linotype" w:hAnsi="Palatino Linotype" w:cs="Palatino Linotype"/>
        </w:rPr>
        <w:t>Listen:</w:t>
      </w:r>
      <w:r w:rsidR="00B25301">
        <w:rPr>
          <w:rFonts w:ascii="Palatino Linotype" w:hAnsi="Palatino Linotype" w:cs="Palatino Linotype"/>
        </w:rPr>
        <w:t xml:space="preserve"> </w:t>
      </w:r>
      <w:proofErr w:type="spellStart"/>
      <w:r w:rsidR="00B25301">
        <w:rPr>
          <w:rFonts w:ascii="Palatino Linotype" w:hAnsi="Palatino Linotype" w:cs="Palatino Linotype"/>
        </w:rPr>
        <w:t>Onra</w:t>
      </w:r>
      <w:proofErr w:type="spellEnd"/>
      <w:r w:rsidR="00B25301">
        <w:rPr>
          <w:rFonts w:ascii="Palatino Linotype" w:hAnsi="Palatino Linotype" w:cs="Palatino Linotype"/>
        </w:rPr>
        <w:t xml:space="preserve">, </w:t>
      </w:r>
      <w:r w:rsidR="00B25301">
        <w:rPr>
          <w:rFonts w:ascii="Palatino Linotype" w:hAnsi="Palatino Linotype" w:cs="Palatino Linotype"/>
          <w:i/>
          <w:iCs/>
        </w:rPr>
        <w:t xml:space="preserve">Chinoiseries pts.1, 2 &amp; 3. </w:t>
      </w:r>
      <w:r w:rsidR="00B25301">
        <w:rPr>
          <w:rFonts w:ascii="Palatino Linotype" w:hAnsi="Palatino Linotype" w:cs="Palatino Linotype"/>
        </w:rPr>
        <w:t>My personal favourite hip-hop instrumental</w:t>
      </w:r>
      <w:r w:rsidR="00095D81">
        <w:rPr>
          <w:rFonts w:ascii="Palatino Linotype" w:hAnsi="Palatino Linotype" w:cs="Palatino Linotype"/>
        </w:rPr>
        <w:t xml:space="preserve"> album</w:t>
      </w:r>
      <w:r w:rsidR="00B25301">
        <w:rPr>
          <w:rFonts w:ascii="Palatino Linotype" w:hAnsi="Palatino Linotype" w:cs="Palatino Linotype"/>
        </w:rPr>
        <w:t xml:space="preserve">. If you enjoyed J Dilla, you’ll like this. </w:t>
      </w:r>
    </w:p>
    <w:p w14:paraId="28653652" w14:textId="77777777" w:rsidR="00507B1A" w:rsidRPr="0019314B" w:rsidRDefault="00507B1A" w:rsidP="49DE6236">
      <w:pPr>
        <w:pStyle w:val="Title"/>
        <w:jc w:val="both"/>
        <w:rPr>
          <w:rFonts w:ascii="Palatino Linotype" w:hAnsi="Palatino Linotype"/>
          <w:i/>
          <w:iCs/>
          <w:color w:val="000000" w:themeColor="text1"/>
        </w:rPr>
      </w:pPr>
    </w:p>
    <w:p w14:paraId="0ACE794F" w14:textId="31C4E49A" w:rsidR="0087097F" w:rsidRPr="0019314B" w:rsidRDefault="0087097F" w:rsidP="0087097F">
      <w:pPr>
        <w:rPr>
          <w:rStyle w:val="IntenseEmphasis"/>
          <w:rFonts w:ascii="Palatino Linotype" w:hAnsi="Palatino Linotype"/>
          <w:b w:val="0"/>
          <w:bCs/>
          <w:i w:val="0"/>
          <w:iCs w:val="0"/>
          <w:color w:val="000000" w:themeColor="text1"/>
        </w:rPr>
      </w:pPr>
    </w:p>
    <w:sectPr w:rsidR="0087097F" w:rsidRPr="0019314B" w:rsidSect="00187EE7">
      <w:footerReference w:type="even" r:id="rId11"/>
      <w:footerReference w:type="default" r:id="rId12"/>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E11EAA" w14:textId="77777777" w:rsidR="00F45AE1" w:rsidRDefault="00F45AE1" w:rsidP="00832E5F">
      <w:r>
        <w:separator/>
      </w:r>
    </w:p>
  </w:endnote>
  <w:endnote w:type="continuationSeparator" w:id="0">
    <w:p w14:paraId="03ACE44C" w14:textId="77777777" w:rsidR="00F45AE1" w:rsidRDefault="00F45AE1" w:rsidP="00832E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Kings Caslon Text">
    <w:altName w:val="Calibri"/>
    <w:panose1 w:val="020B0604020202020204"/>
    <w:charset w:val="00"/>
    <w:family w:val="auto"/>
    <w:pitch w:val="variable"/>
    <w:sig w:usb0="A00000AF" w:usb1="5000205B" w:usb2="00000000" w:usb3="00000000" w:csb0="0000009B"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95824" w14:textId="08E75313"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401967A1" w14:textId="77777777" w:rsidR="00832E5F" w:rsidRDefault="00832E5F" w:rsidP="00832E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474106893"/>
      <w:docPartObj>
        <w:docPartGallery w:val="Page Numbers (Bottom of Page)"/>
        <w:docPartUnique/>
      </w:docPartObj>
    </w:sdtPr>
    <w:sdtContent>
      <w:p w14:paraId="0E594693" w14:textId="598ACD9D" w:rsidR="00832E5F" w:rsidRDefault="00832E5F" w:rsidP="000322E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95438C">
          <w:rPr>
            <w:rStyle w:val="PageNumber"/>
            <w:noProof/>
          </w:rPr>
          <w:t>1</w:t>
        </w:r>
        <w:r>
          <w:rPr>
            <w:rStyle w:val="PageNumber"/>
          </w:rPr>
          <w:fldChar w:fldCharType="end"/>
        </w:r>
      </w:p>
    </w:sdtContent>
  </w:sdt>
  <w:p w14:paraId="5612126A" w14:textId="77777777" w:rsidR="00832E5F" w:rsidRDefault="00832E5F" w:rsidP="00832E5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1F41F" w14:textId="77777777" w:rsidR="00F45AE1" w:rsidRDefault="00F45AE1" w:rsidP="00832E5F">
      <w:r>
        <w:separator/>
      </w:r>
    </w:p>
  </w:footnote>
  <w:footnote w:type="continuationSeparator" w:id="0">
    <w:p w14:paraId="13F6BEE0" w14:textId="77777777" w:rsidR="00F45AE1" w:rsidRDefault="00F45AE1" w:rsidP="00832E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D1F1C67"/>
    <w:multiLevelType w:val="multilevel"/>
    <w:tmpl w:val="E278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C0C37BF"/>
    <w:multiLevelType w:val="hybridMultilevel"/>
    <w:tmpl w:val="792873A8"/>
    <w:lvl w:ilvl="0" w:tplc="9A24C636">
      <w:start w:val="500"/>
      <w:numFmt w:val="bullet"/>
      <w:lvlText w:val="-"/>
      <w:lvlJc w:val="left"/>
      <w:pPr>
        <w:ind w:left="720" w:hanging="360"/>
      </w:pPr>
      <w:rPr>
        <w:rFonts w:ascii="Kings Caslon Text" w:eastAsia="Times New Roman" w:hAnsi="Kings Caslon Tex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48C3BFF"/>
    <w:multiLevelType w:val="hybridMultilevel"/>
    <w:tmpl w:val="1BDE5E78"/>
    <w:lvl w:ilvl="0" w:tplc="8474D5C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37846366">
    <w:abstractNumId w:val="1"/>
  </w:num>
  <w:num w:numId="2" w16cid:durableId="497622135">
    <w:abstractNumId w:val="3"/>
  </w:num>
  <w:num w:numId="3" w16cid:durableId="1713189468">
    <w:abstractNumId w:val="2"/>
  </w:num>
  <w:num w:numId="4" w16cid:durableId="1945068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FB8"/>
    <w:rsid w:val="000019BA"/>
    <w:rsid w:val="00012B37"/>
    <w:rsid w:val="00023C84"/>
    <w:rsid w:val="000415AD"/>
    <w:rsid w:val="00044465"/>
    <w:rsid w:val="0004734B"/>
    <w:rsid w:val="00054818"/>
    <w:rsid w:val="0008617A"/>
    <w:rsid w:val="00090478"/>
    <w:rsid w:val="00095D81"/>
    <w:rsid w:val="00097D31"/>
    <w:rsid w:val="000C7A20"/>
    <w:rsid w:val="000D4D43"/>
    <w:rsid w:val="000D4E41"/>
    <w:rsid w:val="000F7AFF"/>
    <w:rsid w:val="00101628"/>
    <w:rsid w:val="001153C3"/>
    <w:rsid w:val="00134224"/>
    <w:rsid w:val="00160C28"/>
    <w:rsid w:val="00187EE7"/>
    <w:rsid w:val="0019314B"/>
    <w:rsid w:val="00193C52"/>
    <w:rsid w:val="001B0737"/>
    <w:rsid w:val="001B2CE3"/>
    <w:rsid w:val="001B7FB8"/>
    <w:rsid w:val="001C67E9"/>
    <w:rsid w:val="001D5B5F"/>
    <w:rsid w:val="001E0470"/>
    <w:rsid w:val="001F516D"/>
    <w:rsid w:val="002049B6"/>
    <w:rsid w:val="002106AF"/>
    <w:rsid w:val="00211956"/>
    <w:rsid w:val="00225493"/>
    <w:rsid w:val="00237AEF"/>
    <w:rsid w:val="00267A25"/>
    <w:rsid w:val="00280741"/>
    <w:rsid w:val="00286397"/>
    <w:rsid w:val="002A5468"/>
    <w:rsid w:val="002B5BD2"/>
    <w:rsid w:val="002C15F7"/>
    <w:rsid w:val="002E462A"/>
    <w:rsid w:val="002F42C5"/>
    <w:rsid w:val="002F57AE"/>
    <w:rsid w:val="00303052"/>
    <w:rsid w:val="00305B21"/>
    <w:rsid w:val="00314DB8"/>
    <w:rsid w:val="00333845"/>
    <w:rsid w:val="00344FF9"/>
    <w:rsid w:val="00353CEC"/>
    <w:rsid w:val="00384126"/>
    <w:rsid w:val="00391BA0"/>
    <w:rsid w:val="003A13A3"/>
    <w:rsid w:val="003C5EEE"/>
    <w:rsid w:val="003D57D1"/>
    <w:rsid w:val="003E5A0E"/>
    <w:rsid w:val="003E78D5"/>
    <w:rsid w:val="003F23A7"/>
    <w:rsid w:val="003F6CB7"/>
    <w:rsid w:val="00462CB5"/>
    <w:rsid w:val="004753E7"/>
    <w:rsid w:val="0048091F"/>
    <w:rsid w:val="00482BC4"/>
    <w:rsid w:val="00483C65"/>
    <w:rsid w:val="004B1942"/>
    <w:rsid w:val="004B54B6"/>
    <w:rsid w:val="004D0218"/>
    <w:rsid w:val="004D2670"/>
    <w:rsid w:val="004E3E26"/>
    <w:rsid w:val="004E424E"/>
    <w:rsid w:val="004F61AF"/>
    <w:rsid w:val="004F7835"/>
    <w:rsid w:val="00507B1A"/>
    <w:rsid w:val="00511B74"/>
    <w:rsid w:val="00511B94"/>
    <w:rsid w:val="00525525"/>
    <w:rsid w:val="00527E0E"/>
    <w:rsid w:val="00533E3A"/>
    <w:rsid w:val="00551F33"/>
    <w:rsid w:val="00554A90"/>
    <w:rsid w:val="005617C8"/>
    <w:rsid w:val="00563FF2"/>
    <w:rsid w:val="00567847"/>
    <w:rsid w:val="00587769"/>
    <w:rsid w:val="005D0230"/>
    <w:rsid w:val="005E3AA4"/>
    <w:rsid w:val="005E718B"/>
    <w:rsid w:val="00601A37"/>
    <w:rsid w:val="00613077"/>
    <w:rsid w:val="006206F6"/>
    <w:rsid w:val="00647FCE"/>
    <w:rsid w:val="00665F13"/>
    <w:rsid w:val="00670EE1"/>
    <w:rsid w:val="00672BC1"/>
    <w:rsid w:val="0069298B"/>
    <w:rsid w:val="0069375F"/>
    <w:rsid w:val="006A2937"/>
    <w:rsid w:val="006A46D7"/>
    <w:rsid w:val="006B2A33"/>
    <w:rsid w:val="006C5EC0"/>
    <w:rsid w:val="006E14F7"/>
    <w:rsid w:val="006F548F"/>
    <w:rsid w:val="00727BFA"/>
    <w:rsid w:val="00732614"/>
    <w:rsid w:val="00736711"/>
    <w:rsid w:val="00752E7B"/>
    <w:rsid w:val="00773D04"/>
    <w:rsid w:val="007818B7"/>
    <w:rsid w:val="0078520F"/>
    <w:rsid w:val="00790C5E"/>
    <w:rsid w:val="007E7128"/>
    <w:rsid w:val="007F4107"/>
    <w:rsid w:val="007F476B"/>
    <w:rsid w:val="00811537"/>
    <w:rsid w:val="00815D17"/>
    <w:rsid w:val="00823095"/>
    <w:rsid w:val="00832E5F"/>
    <w:rsid w:val="0084775B"/>
    <w:rsid w:val="0087097F"/>
    <w:rsid w:val="008740AD"/>
    <w:rsid w:val="00875216"/>
    <w:rsid w:val="00896050"/>
    <w:rsid w:val="008D79F2"/>
    <w:rsid w:val="008F4B7B"/>
    <w:rsid w:val="008F5165"/>
    <w:rsid w:val="00901233"/>
    <w:rsid w:val="009300B8"/>
    <w:rsid w:val="00952E8A"/>
    <w:rsid w:val="0095438C"/>
    <w:rsid w:val="00957676"/>
    <w:rsid w:val="009637DC"/>
    <w:rsid w:val="009B0BB6"/>
    <w:rsid w:val="009B7CBE"/>
    <w:rsid w:val="009D6DE2"/>
    <w:rsid w:val="009E0A2B"/>
    <w:rsid w:val="009F5B14"/>
    <w:rsid w:val="00A00151"/>
    <w:rsid w:val="00A020E1"/>
    <w:rsid w:val="00A4076E"/>
    <w:rsid w:val="00A6203C"/>
    <w:rsid w:val="00A6341D"/>
    <w:rsid w:val="00A858C3"/>
    <w:rsid w:val="00AA45BE"/>
    <w:rsid w:val="00AB104A"/>
    <w:rsid w:val="00AC096C"/>
    <w:rsid w:val="00AC0E15"/>
    <w:rsid w:val="00AC2062"/>
    <w:rsid w:val="00AC3968"/>
    <w:rsid w:val="00AD7188"/>
    <w:rsid w:val="00AD795A"/>
    <w:rsid w:val="00AF5811"/>
    <w:rsid w:val="00B25301"/>
    <w:rsid w:val="00B30429"/>
    <w:rsid w:val="00B41453"/>
    <w:rsid w:val="00B43DD9"/>
    <w:rsid w:val="00B53FCD"/>
    <w:rsid w:val="00B57B69"/>
    <w:rsid w:val="00B949C8"/>
    <w:rsid w:val="00BD4F85"/>
    <w:rsid w:val="00BF1778"/>
    <w:rsid w:val="00C07B34"/>
    <w:rsid w:val="00C2139B"/>
    <w:rsid w:val="00C4028C"/>
    <w:rsid w:val="00C41966"/>
    <w:rsid w:val="00C525AB"/>
    <w:rsid w:val="00C54B7E"/>
    <w:rsid w:val="00C66B73"/>
    <w:rsid w:val="00C723FD"/>
    <w:rsid w:val="00C85B08"/>
    <w:rsid w:val="00C915F6"/>
    <w:rsid w:val="00C92A4B"/>
    <w:rsid w:val="00C92B81"/>
    <w:rsid w:val="00CD0101"/>
    <w:rsid w:val="00CD1603"/>
    <w:rsid w:val="00CD5371"/>
    <w:rsid w:val="00CF6BE5"/>
    <w:rsid w:val="00D0580E"/>
    <w:rsid w:val="00D10F23"/>
    <w:rsid w:val="00D10FED"/>
    <w:rsid w:val="00D11035"/>
    <w:rsid w:val="00D14EE3"/>
    <w:rsid w:val="00D164B6"/>
    <w:rsid w:val="00D176C0"/>
    <w:rsid w:val="00D20C46"/>
    <w:rsid w:val="00D309A1"/>
    <w:rsid w:val="00D3271D"/>
    <w:rsid w:val="00D34EC4"/>
    <w:rsid w:val="00D46A05"/>
    <w:rsid w:val="00D57D68"/>
    <w:rsid w:val="00D73E3D"/>
    <w:rsid w:val="00D93B6A"/>
    <w:rsid w:val="00D97F77"/>
    <w:rsid w:val="00DB2CFB"/>
    <w:rsid w:val="00DB312D"/>
    <w:rsid w:val="00DB6AA9"/>
    <w:rsid w:val="00DF3D82"/>
    <w:rsid w:val="00DF3E62"/>
    <w:rsid w:val="00E14764"/>
    <w:rsid w:val="00E302DB"/>
    <w:rsid w:val="00E46F33"/>
    <w:rsid w:val="00E47634"/>
    <w:rsid w:val="00E54DB6"/>
    <w:rsid w:val="00E61304"/>
    <w:rsid w:val="00E6141A"/>
    <w:rsid w:val="00E936C9"/>
    <w:rsid w:val="00EB135D"/>
    <w:rsid w:val="00EB2AA8"/>
    <w:rsid w:val="00EB4773"/>
    <w:rsid w:val="00F10E72"/>
    <w:rsid w:val="00F1362E"/>
    <w:rsid w:val="00F140CB"/>
    <w:rsid w:val="00F14403"/>
    <w:rsid w:val="00F27F64"/>
    <w:rsid w:val="00F30325"/>
    <w:rsid w:val="00F45AE1"/>
    <w:rsid w:val="00F45EB6"/>
    <w:rsid w:val="00F47AE2"/>
    <w:rsid w:val="00F56245"/>
    <w:rsid w:val="00F833A5"/>
    <w:rsid w:val="00FF047D"/>
    <w:rsid w:val="01596ED8"/>
    <w:rsid w:val="031B4C4F"/>
    <w:rsid w:val="13E5FD99"/>
    <w:rsid w:val="1425330C"/>
    <w:rsid w:val="175CA5E4"/>
    <w:rsid w:val="1D6C166A"/>
    <w:rsid w:val="22952F77"/>
    <w:rsid w:val="36AE170D"/>
    <w:rsid w:val="3A436724"/>
    <w:rsid w:val="49DE6236"/>
    <w:rsid w:val="7D97E03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53F18"/>
  <w15:chartTrackingRefBased/>
  <w15:docId w15:val="{6DB32C9A-E144-C043-B922-E5478C3EE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FB8"/>
    <w:rPr>
      <w:rFonts w:ascii="Times New Roman" w:eastAsia="Times New Roman" w:hAnsi="Times New Roman"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resultsublistitem1">
    <w:name w:val="resultsublistitem1"/>
    <w:basedOn w:val="DefaultParagraphFont"/>
    <w:rsid w:val="001B7FB8"/>
    <w:rPr>
      <w:rFonts w:ascii="Arial" w:hAnsi="Arial" w:cs="Arial"/>
      <w:sz w:val="16"/>
      <w:szCs w:val="16"/>
    </w:rPr>
  </w:style>
  <w:style w:type="paragraph" w:styleId="Title">
    <w:name w:val="Title"/>
    <w:basedOn w:val="Normal"/>
    <w:link w:val="TitleChar"/>
    <w:qFormat/>
    <w:rsid w:val="001B7FB8"/>
    <w:pPr>
      <w:autoSpaceDE w:val="0"/>
      <w:autoSpaceDN w:val="0"/>
      <w:jc w:val="center"/>
    </w:pPr>
    <w:rPr>
      <w:b/>
      <w:bCs/>
    </w:rPr>
  </w:style>
  <w:style w:type="character" w:customStyle="1" w:styleId="TitleChar">
    <w:name w:val="Title Char"/>
    <w:basedOn w:val="DefaultParagraphFont"/>
    <w:link w:val="Title"/>
    <w:rsid w:val="001B7FB8"/>
    <w:rPr>
      <w:rFonts w:ascii="Times New Roman" w:eastAsia="Times New Roman" w:hAnsi="Times New Roman" w:cs="Times New Roman"/>
      <w:b/>
      <w:bCs/>
      <w:lang w:eastAsia="en-GB"/>
    </w:rPr>
  </w:style>
  <w:style w:type="paragraph" w:styleId="ListParagraph">
    <w:name w:val="List Paragraph"/>
    <w:basedOn w:val="Normal"/>
    <w:uiPriority w:val="34"/>
    <w:qFormat/>
    <w:rsid w:val="001B7FB8"/>
    <w:pPr>
      <w:ind w:left="720"/>
      <w:contextualSpacing/>
    </w:pPr>
  </w:style>
  <w:style w:type="paragraph" w:styleId="Footer">
    <w:name w:val="footer"/>
    <w:basedOn w:val="Normal"/>
    <w:link w:val="FooterChar"/>
    <w:uiPriority w:val="99"/>
    <w:unhideWhenUsed/>
    <w:rsid w:val="00832E5F"/>
    <w:pPr>
      <w:tabs>
        <w:tab w:val="center" w:pos="4680"/>
        <w:tab w:val="right" w:pos="9360"/>
      </w:tabs>
    </w:pPr>
  </w:style>
  <w:style w:type="character" w:customStyle="1" w:styleId="FooterChar">
    <w:name w:val="Footer Char"/>
    <w:basedOn w:val="DefaultParagraphFont"/>
    <w:link w:val="Footer"/>
    <w:uiPriority w:val="99"/>
    <w:rsid w:val="00832E5F"/>
    <w:rPr>
      <w:rFonts w:ascii="Times New Roman" w:eastAsia="Times New Roman" w:hAnsi="Times New Roman" w:cs="Times New Roman"/>
      <w:lang w:eastAsia="en-GB"/>
    </w:rPr>
  </w:style>
  <w:style w:type="character" w:styleId="PageNumber">
    <w:name w:val="page number"/>
    <w:basedOn w:val="DefaultParagraphFont"/>
    <w:uiPriority w:val="99"/>
    <w:semiHidden/>
    <w:unhideWhenUsed/>
    <w:rsid w:val="00832E5F"/>
  </w:style>
  <w:style w:type="paragraph" w:styleId="BalloonText">
    <w:name w:val="Balloon Text"/>
    <w:basedOn w:val="Normal"/>
    <w:link w:val="BalloonTextChar"/>
    <w:uiPriority w:val="99"/>
    <w:semiHidden/>
    <w:unhideWhenUsed/>
    <w:rsid w:val="00952E8A"/>
    <w:rPr>
      <w:sz w:val="18"/>
      <w:szCs w:val="18"/>
    </w:rPr>
  </w:style>
  <w:style w:type="character" w:customStyle="1" w:styleId="BalloonTextChar">
    <w:name w:val="Balloon Text Char"/>
    <w:basedOn w:val="DefaultParagraphFont"/>
    <w:link w:val="BalloonText"/>
    <w:uiPriority w:val="99"/>
    <w:semiHidden/>
    <w:rsid w:val="00952E8A"/>
    <w:rPr>
      <w:rFonts w:ascii="Times New Roman" w:eastAsia="Times New Roman" w:hAnsi="Times New Roman" w:cs="Times New Roman"/>
      <w:sz w:val="18"/>
      <w:szCs w:val="18"/>
      <w:lang w:eastAsia="en-GB"/>
    </w:rPr>
  </w:style>
  <w:style w:type="character" w:styleId="CommentReference">
    <w:name w:val="annotation reference"/>
    <w:basedOn w:val="DefaultParagraphFont"/>
    <w:uiPriority w:val="99"/>
    <w:semiHidden/>
    <w:unhideWhenUsed/>
    <w:rsid w:val="00B30429"/>
    <w:rPr>
      <w:sz w:val="16"/>
      <w:szCs w:val="16"/>
    </w:rPr>
  </w:style>
  <w:style w:type="paragraph" w:styleId="CommentText">
    <w:name w:val="annotation text"/>
    <w:basedOn w:val="Normal"/>
    <w:link w:val="CommentTextChar"/>
    <w:uiPriority w:val="99"/>
    <w:semiHidden/>
    <w:unhideWhenUsed/>
    <w:rsid w:val="00B30429"/>
    <w:rPr>
      <w:sz w:val="20"/>
      <w:szCs w:val="20"/>
    </w:rPr>
  </w:style>
  <w:style w:type="character" w:customStyle="1" w:styleId="CommentTextChar">
    <w:name w:val="Comment Text Char"/>
    <w:basedOn w:val="DefaultParagraphFont"/>
    <w:link w:val="CommentText"/>
    <w:uiPriority w:val="99"/>
    <w:semiHidden/>
    <w:rsid w:val="00B30429"/>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B30429"/>
    <w:rPr>
      <w:b/>
      <w:bCs/>
    </w:rPr>
  </w:style>
  <w:style w:type="character" w:customStyle="1" w:styleId="CommentSubjectChar">
    <w:name w:val="Comment Subject Char"/>
    <w:basedOn w:val="CommentTextChar"/>
    <w:link w:val="CommentSubject"/>
    <w:uiPriority w:val="99"/>
    <w:semiHidden/>
    <w:rsid w:val="00B30429"/>
    <w:rPr>
      <w:rFonts w:ascii="Times New Roman" w:eastAsia="Times New Roman" w:hAnsi="Times New Roman" w:cs="Times New Roman"/>
      <w:b/>
      <w:bCs/>
      <w:sz w:val="20"/>
      <w:szCs w:val="20"/>
      <w:lang w:eastAsia="en-GB"/>
    </w:rPr>
  </w:style>
  <w:style w:type="character" w:styleId="IntenseEmphasis">
    <w:name w:val="Intense Emphasis"/>
    <w:uiPriority w:val="21"/>
    <w:qFormat/>
    <w:rsid w:val="0069375F"/>
    <w:rPr>
      <w:rFonts w:ascii="Kings Caslon Text" w:hAnsi="Kings Caslon Text"/>
      <w:b/>
      <w:i/>
      <w:iCs/>
      <w:color w:val="0070C0"/>
    </w:rPr>
  </w:style>
  <w:style w:type="character" w:styleId="Hyperlink">
    <w:name w:val="Hyperlink"/>
    <w:basedOn w:val="DefaultParagraphFont"/>
    <w:uiPriority w:val="99"/>
    <w:unhideWhenUsed/>
    <w:rsid w:val="00823095"/>
    <w:rPr>
      <w:color w:val="0563C1" w:themeColor="hyperlink"/>
      <w:u w:val="single"/>
    </w:rPr>
  </w:style>
  <w:style w:type="character" w:styleId="UnresolvedMention">
    <w:name w:val="Unresolved Mention"/>
    <w:basedOn w:val="DefaultParagraphFont"/>
    <w:uiPriority w:val="99"/>
    <w:semiHidden/>
    <w:unhideWhenUsed/>
    <w:rsid w:val="00823095"/>
    <w:rPr>
      <w:color w:val="605E5C"/>
      <w:shd w:val="clear" w:color="auto" w:fill="E1DFDD"/>
    </w:rPr>
  </w:style>
  <w:style w:type="character" w:styleId="FollowedHyperlink">
    <w:name w:val="FollowedHyperlink"/>
    <w:basedOn w:val="DefaultParagraphFont"/>
    <w:uiPriority w:val="99"/>
    <w:semiHidden/>
    <w:unhideWhenUsed/>
    <w:rsid w:val="00823095"/>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9813971">
      <w:bodyDiv w:val="1"/>
      <w:marLeft w:val="0"/>
      <w:marRight w:val="0"/>
      <w:marTop w:val="0"/>
      <w:marBottom w:val="0"/>
      <w:divBdr>
        <w:top w:val="none" w:sz="0" w:space="0" w:color="auto"/>
        <w:left w:val="none" w:sz="0" w:space="0" w:color="auto"/>
        <w:bottom w:val="none" w:sz="0" w:space="0" w:color="auto"/>
        <w:right w:val="none" w:sz="0" w:space="0" w:color="auto"/>
      </w:divBdr>
    </w:div>
    <w:div w:id="430663664">
      <w:bodyDiv w:val="1"/>
      <w:marLeft w:val="0"/>
      <w:marRight w:val="0"/>
      <w:marTop w:val="0"/>
      <w:marBottom w:val="0"/>
      <w:divBdr>
        <w:top w:val="none" w:sz="0" w:space="0" w:color="auto"/>
        <w:left w:val="none" w:sz="0" w:space="0" w:color="auto"/>
        <w:bottom w:val="none" w:sz="0" w:space="0" w:color="auto"/>
        <w:right w:val="none" w:sz="0" w:space="0" w:color="auto"/>
      </w:divBdr>
    </w:div>
    <w:div w:id="908341398">
      <w:bodyDiv w:val="1"/>
      <w:marLeft w:val="0"/>
      <w:marRight w:val="0"/>
      <w:marTop w:val="0"/>
      <w:marBottom w:val="0"/>
      <w:divBdr>
        <w:top w:val="none" w:sz="0" w:space="0" w:color="auto"/>
        <w:left w:val="none" w:sz="0" w:space="0" w:color="auto"/>
        <w:bottom w:val="none" w:sz="0" w:space="0" w:color="auto"/>
        <w:right w:val="none" w:sz="0" w:space="0" w:color="auto"/>
      </w:divBdr>
    </w:div>
    <w:div w:id="936787188">
      <w:bodyDiv w:val="1"/>
      <w:marLeft w:val="0"/>
      <w:marRight w:val="0"/>
      <w:marTop w:val="0"/>
      <w:marBottom w:val="0"/>
      <w:divBdr>
        <w:top w:val="none" w:sz="0" w:space="0" w:color="auto"/>
        <w:left w:val="none" w:sz="0" w:space="0" w:color="auto"/>
        <w:bottom w:val="none" w:sz="0" w:space="0" w:color="auto"/>
        <w:right w:val="none" w:sz="0" w:space="0" w:color="auto"/>
      </w:divBdr>
    </w:div>
    <w:div w:id="1115247646">
      <w:bodyDiv w:val="1"/>
      <w:marLeft w:val="0"/>
      <w:marRight w:val="0"/>
      <w:marTop w:val="0"/>
      <w:marBottom w:val="0"/>
      <w:divBdr>
        <w:top w:val="none" w:sz="0" w:space="0" w:color="auto"/>
        <w:left w:val="none" w:sz="0" w:space="0" w:color="auto"/>
        <w:bottom w:val="none" w:sz="0" w:space="0" w:color="auto"/>
        <w:right w:val="none" w:sz="0" w:space="0" w:color="auto"/>
      </w:divBdr>
    </w:div>
    <w:div w:id="1131091047">
      <w:bodyDiv w:val="1"/>
      <w:marLeft w:val="0"/>
      <w:marRight w:val="0"/>
      <w:marTop w:val="0"/>
      <w:marBottom w:val="0"/>
      <w:divBdr>
        <w:top w:val="none" w:sz="0" w:space="0" w:color="auto"/>
        <w:left w:val="none" w:sz="0" w:space="0" w:color="auto"/>
        <w:bottom w:val="none" w:sz="0" w:space="0" w:color="auto"/>
        <w:right w:val="none" w:sz="0" w:space="0" w:color="auto"/>
      </w:divBdr>
    </w:div>
    <w:div w:id="1476220277">
      <w:bodyDiv w:val="1"/>
      <w:marLeft w:val="0"/>
      <w:marRight w:val="0"/>
      <w:marTop w:val="0"/>
      <w:marBottom w:val="0"/>
      <w:divBdr>
        <w:top w:val="none" w:sz="0" w:space="0" w:color="auto"/>
        <w:left w:val="none" w:sz="0" w:space="0" w:color="auto"/>
        <w:bottom w:val="none" w:sz="0" w:space="0" w:color="auto"/>
        <w:right w:val="none" w:sz="0" w:space="0" w:color="auto"/>
      </w:divBdr>
    </w:div>
    <w:div w:id="1500537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F8D05B25DBD65479F341CDCBA0DE3E0" ma:contentTypeVersion="7" ma:contentTypeDescription="Create a new document." ma:contentTypeScope="" ma:versionID="b771b457e615fe5d2a2055591f9d34e5">
  <xsd:schema xmlns:xsd="http://www.w3.org/2001/XMLSchema" xmlns:xs="http://www.w3.org/2001/XMLSchema" xmlns:p="http://schemas.microsoft.com/office/2006/metadata/properties" xmlns:ns2="c85093d1-3ffd-4cb5-81a7-333380151176" xmlns:ns3="dab24798-d3b6-4f34-9d9a-4183cf31177d" targetNamespace="http://schemas.microsoft.com/office/2006/metadata/properties" ma:root="true" ma:fieldsID="a50be4b93f2bef9a96fda66cbb4806b8" ns2:_="" ns3:_="">
    <xsd:import namespace="c85093d1-3ffd-4cb5-81a7-333380151176"/>
    <xsd:import namespace="dab24798-d3b6-4f34-9d9a-4183cf31177d"/>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5093d1-3ffd-4cb5-81a7-33338015117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ab24798-d3b6-4f34-9d9a-4183cf31177d"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D8EE5F-DA8D-4B4A-8BBE-F2372F0A3F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5093d1-3ffd-4cb5-81a7-333380151176"/>
    <ds:schemaRef ds:uri="dab24798-d3b6-4f34-9d9a-4183cf3117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9433423-E81C-4776-B99E-F4C0FC417D44}">
  <ds:schemaRefs>
    <ds:schemaRef ds:uri="http://schemas.microsoft.com/sharepoint/v3/contenttype/forms"/>
  </ds:schemaRefs>
</ds:datastoreItem>
</file>

<file path=customXml/itemProps3.xml><?xml version="1.0" encoding="utf-8"?>
<ds:datastoreItem xmlns:ds="http://schemas.openxmlformats.org/officeDocument/2006/customXml" ds:itemID="{DE5B8F9A-E16E-4B3C-BEC1-30ECEE15CF7C}">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261563D-0931-40CE-A622-C6174560C1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2</Pages>
  <Words>490</Words>
  <Characters>2796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C.P. Mc Grath</dc:creator>
  <cp:keywords/>
  <dc:description/>
  <cp:lastModifiedBy>Letwin, Jeremy</cp:lastModifiedBy>
  <cp:revision>154</cp:revision>
  <dcterms:created xsi:type="dcterms:W3CDTF">2021-03-01T11:34:00Z</dcterms:created>
  <dcterms:modified xsi:type="dcterms:W3CDTF">2025-10-21T09:38:00Z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0x0101000F8D05B25DBD65479F341CDCBA0DE3E0</vt:lpwstr>
  </property>
</Properties>
</file>