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1F28" w14:textId="6998A163" w:rsidR="001B7FB8" w:rsidRPr="00524400" w:rsidRDefault="00524400" w:rsidP="001B7FB8">
      <w:pPr>
        <w:jc w:val="center"/>
        <w:rPr>
          <w:rFonts w:ascii="Palatino Linotype" w:hAnsi="Palatino Linotype"/>
          <w:b/>
          <w:u w:val="single"/>
        </w:rPr>
      </w:pPr>
      <w:r>
        <w:rPr>
          <w:rFonts w:ascii="Palatino Linotype" w:hAnsi="Palatino Linotype"/>
          <w:b/>
          <w:u w:val="single"/>
        </w:rPr>
        <w:t>WEEK 5</w:t>
      </w:r>
    </w:p>
    <w:p w14:paraId="3E0E395A" w14:textId="42BAFD86" w:rsidR="00732614" w:rsidRDefault="00732614" w:rsidP="001B7FB8">
      <w:pPr>
        <w:jc w:val="center"/>
        <w:rPr>
          <w:rFonts w:ascii="Palatino Linotype" w:hAnsi="Palatino Linotype"/>
          <w:b/>
        </w:rPr>
      </w:pPr>
    </w:p>
    <w:p w14:paraId="1A9CD0A1" w14:textId="6CE95EFF" w:rsidR="00732614" w:rsidRPr="0019314B" w:rsidRDefault="00524400" w:rsidP="001B7FB8">
      <w:pPr>
        <w:jc w:val="center"/>
        <w:rPr>
          <w:rFonts w:ascii="Palatino Linotype" w:hAnsi="Palatino Linotype"/>
          <w:b/>
        </w:rPr>
      </w:pPr>
      <w:r>
        <w:rPr>
          <w:rFonts w:ascii="Palatino Linotype" w:hAnsi="Palatino Linotype"/>
          <w:b/>
        </w:rPr>
        <w:t>LEGAL CAUSATION (AND SUPERVENING EVENTS)</w:t>
      </w:r>
    </w:p>
    <w:p w14:paraId="4A1A6446" w14:textId="77777777" w:rsidR="001B7FB8" w:rsidRPr="0019314B" w:rsidRDefault="001B7FB8" w:rsidP="001B7FB8">
      <w:pPr>
        <w:rPr>
          <w:rFonts w:ascii="Palatino Linotype" w:hAnsi="Palatino Linotype" w:cs="Palatino Linotype"/>
          <w:b/>
          <w:smallCaps/>
          <w:color w:val="FF0000"/>
          <w:sz w:val="28"/>
          <w:u w:val="single"/>
        </w:rPr>
      </w:pPr>
    </w:p>
    <w:p w14:paraId="3933AF58" w14:textId="6CCE1053" w:rsidR="00D33CF8" w:rsidRDefault="001824E6"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If D’s negligence was the ‘factual cause’ of C’s loss, that is not the end of the matter. D may still escape liability by showing that their negligence was not the legally relevant cause</w:t>
      </w:r>
      <w:r w:rsidR="001A1A89">
        <w:rPr>
          <w:rFonts w:ascii="Palatino Linotype" w:hAnsi="Palatino Linotype" w:cs="Palatino Linotype"/>
          <w:color w:val="000000" w:themeColor="text1"/>
        </w:rPr>
        <w:t xml:space="preserve"> of C’s loss. </w:t>
      </w:r>
      <w:r w:rsidR="00C63148">
        <w:rPr>
          <w:rFonts w:ascii="Palatino Linotype" w:hAnsi="Palatino Linotype" w:cs="Palatino Linotype"/>
          <w:color w:val="000000" w:themeColor="text1"/>
        </w:rPr>
        <w:t xml:space="preserve">That basic concept </w:t>
      </w:r>
      <w:r w:rsidR="001F2C09">
        <w:rPr>
          <w:rFonts w:ascii="Palatino Linotype" w:hAnsi="Palatino Linotype" w:cs="Palatino Linotype"/>
          <w:color w:val="000000" w:themeColor="text1"/>
        </w:rPr>
        <w:t>is</w:t>
      </w:r>
      <w:r w:rsidR="00C63148">
        <w:rPr>
          <w:rFonts w:ascii="Palatino Linotype" w:hAnsi="Palatino Linotype" w:cs="Palatino Linotype"/>
          <w:color w:val="000000" w:themeColor="text1"/>
        </w:rPr>
        <w:t xml:space="preserve"> covered this week, and is broken </w:t>
      </w:r>
      <w:r w:rsidR="001F2C09">
        <w:rPr>
          <w:rFonts w:ascii="Palatino Linotype" w:hAnsi="Palatino Linotype" w:cs="Palatino Linotype"/>
          <w:color w:val="000000" w:themeColor="text1"/>
        </w:rPr>
        <w:t>up into</w:t>
      </w:r>
      <w:r w:rsidR="00431C78">
        <w:rPr>
          <w:rFonts w:ascii="Palatino Linotype" w:hAnsi="Palatino Linotype" w:cs="Palatino Linotype"/>
          <w:color w:val="000000" w:themeColor="text1"/>
        </w:rPr>
        <w:t xml:space="preserve"> </w:t>
      </w:r>
      <w:r w:rsidR="00A6559A">
        <w:rPr>
          <w:rFonts w:ascii="Palatino Linotype" w:hAnsi="Palatino Linotype" w:cs="Palatino Linotype"/>
          <w:color w:val="000000" w:themeColor="text1"/>
        </w:rPr>
        <w:t>five</w:t>
      </w:r>
      <w:r w:rsidR="00431C78">
        <w:rPr>
          <w:rFonts w:ascii="Palatino Linotype" w:hAnsi="Palatino Linotype" w:cs="Palatino Linotype"/>
          <w:color w:val="000000" w:themeColor="text1"/>
        </w:rPr>
        <w:t xml:space="preserve"> </w:t>
      </w:r>
      <w:r w:rsidR="00A6559A">
        <w:rPr>
          <w:rFonts w:ascii="Palatino Linotype" w:hAnsi="Palatino Linotype" w:cs="Palatino Linotype"/>
          <w:color w:val="000000" w:themeColor="text1"/>
        </w:rPr>
        <w:t>distinct,</w:t>
      </w:r>
      <w:r w:rsidR="00431C78">
        <w:rPr>
          <w:rFonts w:ascii="Palatino Linotype" w:hAnsi="Palatino Linotype" w:cs="Palatino Linotype"/>
          <w:color w:val="000000" w:themeColor="text1"/>
        </w:rPr>
        <w:t xml:space="preserve"> but </w:t>
      </w:r>
      <w:r w:rsidR="00A6559A">
        <w:rPr>
          <w:rFonts w:ascii="Palatino Linotype" w:hAnsi="Palatino Linotype" w:cs="Palatino Linotype"/>
          <w:color w:val="000000" w:themeColor="text1"/>
        </w:rPr>
        <w:t xml:space="preserve">closely </w:t>
      </w:r>
      <w:r w:rsidR="00431C78">
        <w:rPr>
          <w:rFonts w:ascii="Palatino Linotype" w:hAnsi="Palatino Linotype" w:cs="Palatino Linotype"/>
          <w:color w:val="000000" w:themeColor="text1"/>
        </w:rPr>
        <w:t xml:space="preserve">linked topics: (i) remoteness of damage; (ii) new intervening acts which break the chain of causation; </w:t>
      </w:r>
      <w:r w:rsidR="00592E49">
        <w:rPr>
          <w:rFonts w:ascii="Palatino Linotype" w:hAnsi="Palatino Linotype" w:cs="Palatino Linotype"/>
          <w:color w:val="000000" w:themeColor="text1"/>
        </w:rPr>
        <w:t xml:space="preserve">(iii) supervening events; </w:t>
      </w:r>
      <w:r w:rsidR="00431C78">
        <w:rPr>
          <w:rFonts w:ascii="Palatino Linotype" w:hAnsi="Palatino Linotype" w:cs="Palatino Linotype"/>
          <w:color w:val="000000" w:themeColor="text1"/>
        </w:rPr>
        <w:t xml:space="preserve">(iv) the ‘scope of duty’ principle; </w:t>
      </w:r>
      <w:proofErr w:type="gramStart"/>
      <w:r w:rsidR="00431C78">
        <w:rPr>
          <w:rFonts w:ascii="Palatino Linotype" w:hAnsi="Palatino Linotype" w:cs="Palatino Linotype"/>
          <w:color w:val="000000" w:themeColor="text1"/>
        </w:rPr>
        <w:t>and,</w:t>
      </w:r>
      <w:proofErr w:type="gramEnd"/>
      <w:r w:rsidR="00431C78">
        <w:rPr>
          <w:rFonts w:ascii="Palatino Linotype" w:hAnsi="Palatino Linotype" w:cs="Palatino Linotype"/>
          <w:color w:val="000000" w:themeColor="text1"/>
        </w:rPr>
        <w:t xml:space="preserve"> (v) coincidental harms.</w:t>
      </w:r>
    </w:p>
    <w:p w14:paraId="28AD6661" w14:textId="77777777" w:rsidR="001F2C09" w:rsidRDefault="001F2C09" w:rsidP="00A020E1">
      <w:pPr>
        <w:widowControl w:val="0"/>
        <w:autoSpaceDE w:val="0"/>
        <w:autoSpaceDN w:val="0"/>
        <w:adjustRightInd w:val="0"/>
        <w:jc w:val="both"/>
        <w:rPr>
          <w:rFonts w:ascii="Palatino Linotype" w:hAnsi="Palatino Linotype" w:cs="Palatino Linotype"/>
          <w:color w:val="000000" w:themeColor="text1"/>
        </w:rPr>
      </w:pPr>
    </w:p>
    <w:p w14:paraId="65083D7F" w14:textId="1EAB3CF1" w:rsidR="00A020E1" w:rsidRDefault="003D0C25"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 xml:space="preserve">The first three of these </w:t>
      </w:r>
      <w:r w:rsidR="002C5D04">
        <w:rPr>
          <w:rFonts w:ascii="Palatino Linotype" w:hAnsi="Palatino Linotype" w:cs="Palatino Linotype"/>
          <w:color w:val="000000" w:themeColor="text1"/>
        </w:rPr>
        <w:t>topics</w:t>
      </w:r>
      <w:r>
        <w:rPr>
          <w:rFonts w:ascii="Palatino Linotype" w:hAnsi="Palatino Linotype" w:cs="Palatino Linotype"/>
          <w:color w:val="000000" w:themeColor="text1"/>
        </w:rPr>
        <w:t xml:space="preserve"> are relatively straightforward. </w:t>
      </w:r>
      <w:r>
        <w:rPr>
          <w:rFonts w:ascii="Palatino Linotype" w:hAnsi="Palatino Linotype" w:cs="Palatino Linotype"/>
          <w:i/>
          <w:iCs/>
          <w:color w:val="000000" w:themeColor="text1"/>
        </w:rPr>
        <w:t xml:space="preserve">Wagon Mound </w:t>
      </w:r>
      <w:r>
        <w:rPr>
          <w:rFonts w:ascii="Palatino Linotype" w:hAnsi="Palatino Linotype" w:cs="Palatino Linotype"/>
          <w:color w:val="000000" w:themeColor="text1"/>
        </w:rPr>
        <w:t xml:space="preserve">and </w:t>
      </w:r>
      <w:r>
        <w:rPr>
          <w:rFonts w:ascii="Palatino Linotype" w:hAnsi="Palatino Linotype" w:cs="Palatino Linotype"/>
          <w:i/>
          <w:iCs/>
          <w:color w:val="000000" w:themeColor="text1"/>
        </w:rPr>
        <w:t xml:space="preserve">Hughes </w:t>
      </w:r>
      <w:r>
        <w:rPr>
          <w:rFonts w:ascii="Palatino Linotype" w:hAnsi="Palatino Linotype" w:cs="Palatino Linotype"/>
          <w:color w:val="000000" w:themeColor="text1"/>
        </w:rPr>
        <w:t>will give you a good understanding of remoteness.</w:t>
      </w:r>
      <w:r w:rsidR="00431C78">
        <w:rPr>
          <w:rFonts w:ascii="Palatino Linotype" w:hAnsi="Palatino Linotype" w:cs="Palatino Linotype"/>
          <w:color w:val="000000" w:themeColor="text1"/>
        </w:rPr>
        <w:t xml:space="preserve"> </w:t>
      </w:r>
      <w:r>
        <w:rPr>
          <w:rFonts w:ascii="Palatino Linotype" w:hAnsi="Palatino Linotype" w:cs="Palatino Linotype"/>
          <w:i/>
          <w:iCs/>
          <w:color w:val="000000" w:themeColor="text1"/>
        </w:rPr>
        <w:t xml:space="preserve">Lamb </w:t>
      </w:r>
      <w:r>
        <w:rPr>
          <w:rFonts w:ascii="Palatino Linotype" w:hAnsi="Palatino Linotype" w:cs="Palatino Linotype"/>
          <w:color w:val="000000" w:themeColor="text1"/>
        </w:rPr>
        <w:t xml:space="preserve">and </w:t>
      </w:r>
      <w:r>
        <w:rPr>
          <w:rFonts w:ascii="Palatino Linotype" w:hAnsi="Palatino Linotype" w:cs="Palatino Linotype"/>
          <w:i/>
          <w:iCs/>
          <w:color w:val="000000" w:themeColor="text1"/>
        </w:rPr>
        <w:t xml:space="preserve">Corr </w:t>
      </w:r>
      <w:r>
        <w:rPr>
          <w:rFonts w:ascii="Palatino Linotype" w:hAnsi="Palatino Linotype" w:cs="Palatino Linotype"/>
          <w:color w:val="000000" w:themeColor="text1"/>
        </w:rPr>
        <w:t xml:space="preserve">will help you to see how the doctrine of </w:t>
      </w:r>
      <w:r>
        <w:rPr>
          <w:rFonts w:ascii="Palatino Linotype" w:hAnsi="Palatino Linotype" w:cs="Palatino Linotype"/>
          <w:i/>
          <w:iCs/>
          <w:color w:val="000000" w:themeColor="text1"/>
        </w:rPr>
        <w:t xml:space="preserve">novus actus interveniens </w:t>
      </w:r>
      <w:r>
        <w:rPr>
          <w:rFonts w:ascii="Palatino Linotype" w:hAnsi="Palatino Linotype" w:cs="Palatino Linotype"/>
          <w:color w:val="000000" w:themeColor="text1"/>
        </w:rPr>
        <w:t xml:space="preserve">works in practice. </w:t>
      </w:r>
      <w:r w:rsidR="00D7349C">
        <w:rPr>
          <w:rFonts w:ascii="Palatino Linotype" w:hAnsi="Palatino Linotype" w:cs="Palatino Linotype"/>
          <w:color w:val="000000" w:themeColor="text1"/>
        </w:rPr>
        <w:t xml:space="preserve">And supervening events are simple enough </w:t>
      </w:r>
      <w:r w:rsidR="00A03818">
        <w:rPr>
          <w:rFonts w:ascii="Palatino Linotype" w:hAnsi="Palatino Linotype" w:cs="Palatino Linotype"/>
          <w:color w:val="000000" w:themeColor="text1"/>
        </w:rPr>
        <w:t xml:space="preserve">to be understood just from the textbook and lectures. </w:t>
      </w:r>
    </w:p>
    <w:p w14:paraId="1A4DC50C" w14:textId="77777777" w:rsidR="00A03818" w:rsidRDefault="00A03818" w:rsidP="00A020E1">
      <w:pPr>
        <w:widowControl w:val="0"/>
        <w:autoSpaceDE w:val="0"/>
        <w:autoSpaceDN w:val="0"/>
        <w:adjustRightInd w:val="0"/>
        <w:jc w:val="both"/>
        <w:rPr>
          <w:rFonts w:ascii="Palatino Linotype" w:hAnsi="Palatino Linotype" w:cs="Palatino Linotype"/>
          <w:color w:val="000000" w:themeColor="text1"/>
        </w:rPr>
      </w:pPr>
    </w:p>
    <w:p w14:paraId="26386BF9" w14:textId="7706F064" w:rsidR="00A03818" w:rsidRPr="00126CA9" w:rsidRDefault="00CE6E2E"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The last two topics are more complicated.</w:t>
      </w:r>
      <w:r w:rsidR="00184569">
        <w:rPr>
          <w:rFonts w:ascii="Palatino Linotype" w:hAnsi="Palatino Linotype" w:cs="Palatino Linotype"/>
          <w:color w:val="000000" w:themeColor="text1"/>
        </w:rPr>
        <w:t xml:space="preserve"> Understanding them will be good for your general understanding of tort as a whole, but they </w:t>
      </w:r>
      <w:r w:rsidR="00184569" w:rsidRPr="00184569">
        <w:rPr>
          <w:rFonts w:ascii="Palatino Linotype" w:hAnsi="Palatino Linotype" w:cs="Palatino Linotype"/>
          <w:b/>
          <w:bCs/>
          <w:color w:val="000000" w:themeColor="text1"/>
          <w:u w:val="single"/>
        </w:rPr>
        <w:t>will not be examined</w:t>
      </w:r>
      <w:r w:rsidR="00184569">
        <w:rPr>
          <w:rFonts w:ascii="Palatino Linotype" w:hAnsi="Palatino Linotype" w:cs="Palatino Linotype"/>
          <w:color w:val="000000" w:themeColor="text1"/>
        </w:rPr>
        <w:t xml:space="preserve"> and so are on the optional reading for this year. </w:t>
      </w:r>
      <w:r>
        <w:rPr>
          <w:rFonts w:ascii="Palatino Linotype" w:hAnsi="Palatino Linotype" w:cs="Palatino Linotype"/>
          <w:color w:val="000000" w:themeColor="text1"/>
        </w:rPr>
        <w:t xml:space="preserve"> </w:t>
      </w:r>
      <w:r w:rsidR="0004360F">
        <w:rPr>
          <w:rFonts w:ascii="Palatino Linotype" w:hAnsi="Palatino Linotype" w:cs="Palatino Linotype"/>
          <w:i/>
          <w:iCs/>
          <w:color w:val="000000" w:themeColor="text1"/>
        </w:rPr>
        <w:t>Khan</w:t>
      </w:r>
      <w:r w:rsidR="00C52813">
        <w:rPr>
          <w:rFonts w:ascii="Palatino Linotype" w:hAnsi="Palatino Linotype" w:cs="Palatino Linotype"/>
          <w:i/>
          <w:iCs/>
          <w:color w:val="000000" w:themeColor="text1"/>
        </w:rPr>
        <w:t xml:space="preserve"> </w:t>
      </w:r>
      <w:r w:rsidR="00C52813">
        <w:rPr>
          <w:rFonts w:ascii="Palatino Linotype" w:hAnsi="Palatino Linotype" w:cs="Palatino Linotype"/>
          <w:color w:val="000000" w:themeColor="text1"/>
        </w:rPr>
        <w:t xml:space="preserve">is a very interesting case, both on the ‘scope of duty’ principle, and for its comments about </w:t>
      </w:r>
      <w:r w:rsidR="00FD14F5">
        <w:rPr>
          <w:rFonts w:ascii="Palatino Linotype" w:hAnsi="Palatino Linotype" w:cs="Palatino Linotype"/>
          <w:color w:val="000000" w:themeColor="text1"/>
        </w:rPr>
        <w:t xml:space="preserve">the structure of </w:t>
      </w:r>
      <w:r w:rsidR="00C52813">
        <w:rPr>
          <w:rFonts w:ascii="Palatino Linotype" w:hAnsi="Palatino Linotype" w:cs="Palatino Linotype"/>
          <w:color w:val="000000" w:themeColor="text1"/>
        </w:rPr>
        <w:t xml:space="preserve">negligence as a whole. </w:t>
      </w:r>
      <w:r w:rsidR="004459D8">
        <w:rPr>
          <w:rFonts w:ascii="Palatino Linotype" w:hAnsi="Palatino Linotype" w:cs="Palatino Linotype"/>
          <w:color w:val="000000" w:themeColor="text1"/>
        </w:rPr>
        <w:t xml:space="preserve">The articles by Nolan and by McGrath may help to demystify what is going on in </w:t>
      </w:r>
      <w:r w:rsidR="004459D8">
        <w:rPr>
          <w:rFonts w:ascii="Palatino Linotype" w:hAnsi="Palatino Linotype" w:cs="Palatino Linotype"/>
          <w:i/>
          <w:iCs/>
          <w:color w:val="000000" w:themeColor="text1"/>
        </w:rPr>
        <w:t>Khan</w:t>
      </w:r>
      <w:r w:rsidR="004459D8">
        <w:rPr>
          <w:rFonts w:ascii="Palatino Linotype" w:hAnsi="Palatino Linotype" w:cs="Palatino Linotype"/>
          <w:color w:val="000000" w:themeColor="text1"/>
        </w:rPr>
        <w:t>, the history of the so-called ‘</w:t>
      </w:r>
      <w:r w:rsidR="004459D8">
        <w:rPr>
          <w:rFonts w:ascii="Palatino Linotype" w:hAnsi="Palatino Linotype" w:cs="Palatino Linotype"/>
          <w:i/>
          <w:iCs/>
          <w:color w:val="000000" w:themeColor="text1"/>
        </w:rPr>
        <w:t xml:space="preserve">SAAMCO </w:t>
      </w:r>
      <w:r w:rsidR="004459D8">
        <w:rPr>
          <w:rFonts w:ascii="Palatino Linotype" w:hAnsi="Palatino Linotype" w:cs="Palatino Linotype"/>
          <w:color w:val="000000" w:themeColor="text1"/>
        </w:rPr>
        <w:t>rule’</w:t>
      </w:r>
      <w:r w:rsidR="00935337">
        <w:rPr>
          <w:rFonts w:ascii="Palatino Linotype" w:hAnsi="Palatino Linotype" w:cs="Palatino Linotype"/>
          <w:color w:val="000000" w:themeColor="text1"/>
        </w:rPr>
        <w:t xml:space="preserve">, and the relation between the ‘scope of duty’ principle and standard remoteness rules. </w:t>
      </w:r>
      <w:r w:rsidR="003D07AC">
        <w:rPr>
          <w:rFonts w:ascii="Palatino Linotype" w:hAnsi="Palatino Linotype" w:cs="Palatino Linotype"/>
          <w:color w:val="000000" w:themeColor="text1"/>
        </w:rPr>
        <w:t>Y</w:t>
      </w:r>
      <w:r w:rsidR="00780A99">
        <w:rPr>
          <w:rFonts w:ascii="Palatino Linotype" w:hAnsi="Palatino Linotype" w:cs="Palatino Linotype"/>
          <w:color w:val="000000" w:themeColor="text1"/>
        </w:rPr>
        <w:t xml:space="preserve">ou may need a few </w:t>
      </w:r>
      <w:r w:rsidR="003D07AC">
        <w:rPr>
          <w:rFonts w:ascii="Palatino Linotype" w:hAnsi="Palatino Linotype" w:cs="Palatino Linotype"/>
          <w:color w:val="000000" w:themeColor="text1"/>
        </w:rPr>
        <w:t>aspirin</w:t>
      </w:r>
      <w:r w:rsidR="00780A99">
        <w:rPr>
          <w:rFonts w:ascii="Palatino Linotype" w:hAnsi="Palatino Linotype" w:cs="Palatino Linotype"/>
          <w:color w:val="000000" w:themeColor="text1"/>
        </w:rPr>
        <w:t xml:space="preserve"> and a cold towel around your head while reading </w:t>
      </w:r>
      <w:r w:rsidR="00780A99">
        <w:rPr>
          <w:rFonts w:ascii="Palatino Linotype" w:hAnsi="Palatino Linotype" w:cs="Palatino Linotype"/>
          <w:i/>
          <w:iCs/>
          <w:color w:val="000000" w:themeColor="text1"/>
        </w:rPr>
        <w:t>Chester</w:t>
      </w:r>
      <w:r w:rsidR="003D07AC">
        <w:rPr>
          <w:rFonts w:ascii="Palatino Linotype" w:hAnsi="Palatino Linotype" w:cs="Palatino Linotype"/>
          <w:color w:val="000000" w:themeColor="text1"/>
        </w:rPr>
        <w:t>. It is not an easy judgment to understand</w:t>
      </w:r>
      <w:r w:rsidR="003D07AC" w:rsidRPr="00126CA9">
        <w:rPr>
          <w:rFonts w:ascii="Palatino Linotype" w:hAnsi="Palatino Linotype" w:cs="Palatino Linotype"/>
          <w:color w:val="000000" w:themeColor="text1"/>
        </w:rPr>
        <w:t xml:space="preserve">. </w:t>
      </w:r>
      <w:r w:rsidR="00126CA9" w:rsidRPr="00126CA9">
        <w:rPr>
          <w:rFonts w:ascii="Palatino Linotype" w:hAnsi="Palatino Linotype" w:cs="Palatino Linotype"/>
          <w:color w:val="000000" w:themeColor="text1"/>
        </w:rPr>
        <w:t>In truth, it</w:t>
      </w:r>
      <w:r w:rsidR="00126CA9">
        <w:rPr>
          <w:rFonts w:ascii="Palatino Linotype" w:hAnsi="Palatino Linotype" w:cs="Palatino Linotype"/>
          <w:i/>
          <w:iCs/>
          <w:color w:val="000000" w:themeColor="text1"/>
        </w:rPr>
        <w:t xml:space="preserve"> </w:t>
      </w:r>
      <w:r w:rsidR="00126CA9">
        <w:rPr>
          <w:rFonts w:ascii="Palatino Linotype" w:hAnsi="Palatino Linotype" w:cs="Palatino Linotype"/>
          <w:color w:val="000000" w:themeColor="text1"/>
        </w:rPr>
        <w:t xml:space="preserve">is a mess, and each of the judges </w:t>
      </w:r>
      <w:r w:rsidR="00E06903">
        <w:rPr>
          <w:rFonts w:ascii="Palatino Linotype" w:hAnsi="Palatino Linotype" w:cs="Palatino Linotype"/>
          <w:color w:val="000000" w:themeColor="text1"/>
        </w:rPr>
        <w:t>is confused and wrong about different things</w:t>
      </w:r>
      <w:r w:rsidR="00126CA9">
        <w:rPr>
          <w:rFonts w:ascii="Palatino Linotype" w:hAnsi="Palatino Linotype" w:cs="Palatino Linotype"/>
          <w:color w:val="000000" w:themeColor="text1"/>
        </w:rPr>
        <w:t xml:space="preserve">. Paying close attention during the lecture and reading the optional paper by Clark and Nolan will help. </w:t>
      </w:r>
    </w:p>
    <w:p w14:paraId="643CF21A" w14:textId="77777777" w:rsidR="00D10FED" w:rsidRPr="0019314B" w:rsidRDefault="00D10FED" w:rsidP="0069375F">
      <w:pPr>
        <w:jc w:val="both"/>
        <w:rPr>
          <w:rFonts w:ascii="Palatino Linotype" w:hAnsi="Palatino Linotype" w:cs="Palatino Linotype"/>
          <w:color w:val="FF0000"/>
        </w:rPr>
      </w:pPr>
    </w:p>
    <w:p w14:paraId="597CD0AE" w14:textId="6324B6ED" w:rsidR="00A00151" w:rsidRPr="0019314B" w:rsidRDefault="00A00151" w:rsidP="0069375F">
      <w:pPr>
        <w:jc w:val="both"/>
        <w:rPr>
          <w:rFonts w:ascii="Palatino Linotype" w:hAnsi="Palatino Linotype" w:cs="Palatino Linotype"/>
          <w:b/>
          <w:bCs/>
          <w:color w:val="000000" w:themeColor="text1"/>
        </w:rPr>
      </w:pPr>
      <w:r w:rsidRPr="0019314B">
        <w:rPr>
          <w:rFonts w:ascii="Palatino Linotype" w:hAnsi="Palatino Linotype" w:cs="Palatino Linotype"/>
          <w:b/>
          <w:bCs/>
          <w:color w:val="000000" w:themeColor="text1"/>
        </w:rPr>
        <w:t>Textbook</w:t>
      </w:r>
      <w:r w:rsidR="0004734B" w:rsidRPr="0019314B">
        <w:rPr>
          <w:rFonts w:ascii="Palatino Linotype" w:hAnsi="Palatino Linotype" w:cs="Palatino Linotype"/>
          <w:b/>
          <w:bCs/>
          <w:color w:val="000000" w:themeColor="text1"/>
        </w:rPr>
        <w:t>s</w:t>
      </w:r>
    </w:p>
    <w:p w14:paraId="58B5BDB2" w14:textId="1056E1D9" w:rsidR="00431C78" w:rsidRDefault="00A00151" w:rsidP="00431C78">
      <w:pPr>
        <w:jc w:val="both"/>
        <w:rPr>
          <w:rFonts w:ascii="Palatino Linotype" w:hAnsi="Palatino Linotype" w:cs="Palatino Linotype"/>
          <w:b/>
          <w:bCs/>
          <w:color w:val="0070C0"/>
        </w:rPr>
      </w:pPr>
      <w:r w:rsidRPr="0019314B">
        <w:rPr>
          <w:rFonts w:ascii="Palatino Linotype" w:hAnsi="Palatino Linotype" w:cs="Palatino Linotype"/>
          <w:b/>
          <w:bCs/>
          <w:color w:val="0070C0"/>
        </w:rPr>
        <w:t>*H&amp;R, Ch.</w:t>
      </w:r>
      <w:r w:rsidR="00431C78">
        <w:rPr>
          <w:rFonts w:ascii="Palatino Linotype" w:hAnsi="Palatino Linotype" w:cs="Palatino Linotype"/>
          <w:b/>
          <w:bCs/>
          <w:color w:val="0070C0"/>
        </w:rPr>
        <w:t xml:space="preserve">9.2.2.3 + </w:t>
      </w:r>
      <w:r w:rsidR="00524400">
        <w:rPr>
          <w:rFonts w:ascii="Palatino Linotype" w:hAnsi="Palatino Linotype" w:cs="Palatino Linotype"/>
          <w:b/>
          <w:bCs/>
          <w:color w:val="0070C0"/>
        </w:rPr>
        <w:t>9.23-9.4</w:t>
      </w:r>
      <w:r w:rsidRPr="0019314B">
        <w:rPr>
          <w:rFonts w:ascii="Palatino Linotype" w:hAnsi="Palatino Linotype" w:cs="Palatino Linotype"/>
          <w:b/>
          <w:bCs/>
          <w:color w:val="0070C0"/>
        </w:rPr>
        <w:t xml:space="preserve"> – </w:t>
      </w:r>
      <w:r w:rsidR="00524400">
        <w:rPr>
          <w:rFonts w:ascii="Palatino Linotype" w:hAnsi="Palatino Linotype" w:cs="Palatino Linotype"/>
          <w:b/>
          <w:bCs/>
          <w:color w:val="0070C0"/>
        </w:rPr>
        <w:t>‘Causation and remoteness of damage’</w:t>
      </w:r>
      <w:r w:rsidR="00431C78">
        <w:rPr>
          <w:rFonts w:ascii="Palatino Linotype" w:hAnsi="Palatino Linotype" w:cs="Palatino Linotype"/>
          <w:b/>
          <w:bCs/>
          <w:color w:val="0070C0"/>
        </w:rPr>
        <w:t xml:space="preserve">. </w:t>
      </w:r>
      <w:r w:rsidR="00B75E15">
        <w:rPr>
          <w:rFonts w:ascii="Palatino Linotype" w:hAnsi="Palatino Linotype" w:cs="Palatino Linotype"/>
          <w:b/>
          <w:bCs/>
          <w:color w:val="0070C0"/>
        </w:rPr>
        <w:t>For clarity, that is:</w:t>
      </w:r>
    </w:p>
    <w:p w14:paraId="1D545077" w14:textId="338AD8CC" w:rsidR="00D843CB" w:rsidRPr="00D843CB" w:rsidRDefault="00B75E15" w:rsidP="00D843CB">
      <w:pPr>
        <w:pStyle w:val="ListParagraph"/>
        <w:numPr>
          <w:ilvl w:val="0"/>
          <w:numId w:val="7"/>
        </w:numPr>
        <w:jc w:val="both"/>
        <w:rPr>
          <w:rFonts w:ascii="Palatino Linotype" w:hAnsi="Palatino Linotype" w:cs="Palatino Linotype"/>
          <w:b/>
          <w:bCs/>
          <w:color w:val="0070C0"/>
        </w:rPr>
      </w:pPr>
      <w:r>
        <w:rPr>
          <w:rFonts w:ascii="Palatino Linotype" w:hAnsi="Palatino Linotype" w:cs="Palatino Linotype"/>
          <w:b/>
          <w:bCs/>
          <w:color w:val="0070C0"/>
        </w:rPr>
        <w:t xml:space="preserve">Section 9.2.2.3 </w:t>
      </w:r>
      <w:r w:rsidR="00431C78" w:rsidRPr="00431C78">
        <w:rPr>
          <w:rFonts w:ascii="Palatino Linotype" w:hAnsi="Palatino Linotype" w:cs="Palatino Linotype"/>
          <w:b/>
          <w:bCs/>
          <w:color w:val="0070C0"/>
        </w:rPr>
        <w:t xml:space="preserve">‘Unjust results 2: failure to inform’ </w:t>
      </w:r>
    </w:p>
    <w:p w14:paraId="46D05259" w14:textId="0A2177D0" w:rsidR="00A00151" w:rsidRPr="00431C78" w:rsidRDefault="00B75E15" w:rsidP="00431C78">
      <w:pPr>
        <w:pStyle w:val="ListParagraph"/>
        <w:numPr>
          <w:ilvl w:val="0"/>
          <w:numId w:val="7"/>
        </w:numPr>
        <w:jc w:val="both"/>
        <w:rPr>
          <w:rFonts w:ascii="Palatino Linotype" w:hAnsi="Palatino Linotype" w:cs="Palatino Linotype"/>
          <w:b/>
          <w:bCs/>
          <w:color w:val="0070C0"/>
        </w:rPr>
      </w:pPr>
      <w:r>
        <w:rPr>
          <w:rFonts w:ascii="Palatino Linotype" w:hAnsi="Palatino Linotype" w:cs="Palatino Linotype"/>
          <w:b/>
          <w:bCs/>
          <w:color w:val="0070C0"/>
        </w:rPr>
        <w:t>Section 9.2.3 up until the end of chapter 9</w:t>
      </w:r>
    </w:p>
    <w:p w14:paraId="308BFED8" w14:textId="77777777" w:rsidR="00D10FED" w:rsidRPr="0019314B" w:rsidRDefault="00D10FED" w:rsidP="001B7FB8">
      <w:pPr>
        <w:jc w:val="both"/>
        <w:rPr>
          <w:rFonts w:ascii="Palatino Linotype" w:hAnsi="Palatino Linotype"/>
          <w:b/>
          <w:color w:val="000000" w:themeColor="text1"/>
        </w:rPr>
      </w:pPr>
    </w:p>
    <w:p w14:paraId="3935A06C" w14:textId="1120C0AA" w:rsidR="00462CB5" w:rsidRPr="0019314B" w:rsidRDefault="00462CB5" w:rsidP="001B7FB8">
      <w:pPr>
        <w:jc w:val="both"/>
        <w:rPr>
          <w:rFonts w:ascii="Palatino Linotype" w:hAnsi="Palatino Linotype"/>
          <w:b/>
          <w:color w:val="000000" w:themeColor="text1"/>
        </w:rPr>
      </w:pPr>
      <w:r w:rsidRPr="0019314B">
        <w:rPr>
          <w:rFonts w:ascii="Palatino Linotype" w:hAnsi="Palatino Linotype"/>
          <w:b/>
          <w:color w:val="000000" w:themeColor="text1"/>
        </w:rPr>
        <w:t>Core cases</w:t>
      </w:r>
    </w:p>
    <w:p w14:paraId="517B6DA8" w14:textId="7634DF8F" w:rsidR="00F1362E" w:rsidRPr="000C5288" w:rsidRDefault="00013575" w:rsidP="49DE6236">
      <w:pPr>
        <w:ind w:right="26"/>
        <w:jc w:val="both"/>
        <w:rPr>
          <w:rFonts w:ascii="Palatino Linotype" w:hAnsi="Palatino Linotype"/>
          <w:bCs/>
          <w:iCs/>
          <w:color w:val="000000" w:themeColor="text1"/>
        </w:rPr>
      </w:pPr>
      <w:r w:rsidRPr="000C5288">
        <w:rPr>
          <w:rFonts w:ascii="Palatino Linotype" w:hAnsi="Palatino Linotype"/>
          <w:bCs/>
          <w:i/>
          <w:color w:val="000000" w:themeColor="text1"/>
        </w:rPr>
        <w:t>Wagon Mound (No 1)</w:t>
      </w:r>
      <w:r w:rsidRPr="000C5288">
        <w:rPr>
          <w:rFonts w:ascii="Palatino Linotype" w:hAnsi="Palatino Linotype"/>
          <w:bCs/>
          <w:iCs/>
          <w:color w:val="000000" w:themeColor="text1"/>
        </w:rPr>
        <w:t xml:space="preserve"> [1961] AC 388</w:t>
      </w:r>
    </w:p>
    <w:p w14:paraId="2A81138C" w14:textId="65717964" w:rsidR="00343A17" w:rsidRPr="000C5288" w:rsidRDefault="00525B4E" w:rsidP="49DE6236">
      <w:pPr>
        <w:ind w:right="26"/>
        <w:jc w:val="both"/>
        <w:rPr>
          <w:rFonts w:ascii="Palatino Linotype" w:hAnsi="Palatino Linotype"/>
          <w:bCs/>
          <w:iCs/>
          <w:color w:val="000000" w:themeColor="text1"/>
        </w:rPr>
      </w:pPr>
      <w:r w:rsidRPr="000C5288">
        <w:rPr>
          <w:rFonts w:ascii="Palatino Linotype" w:hAnsi="Palatino Linotype"/>
          <w:bCs/>
          <w:i/>
          <w:color w:val="000000" w:themeColor="text1"/>
        </w:rPr>
        <w:t>Hughes v Lord Advocate</w:t>
      </w:r>
      <w:r w:rsidRPr="000C5288">
        <w:rPr>
          <w:rFonts w:ascii="Palatino Linotype" w:hAnsi="Palatino Linotype"/>
          <w:bCs/>
          <w:iCs/>
          <w:color w:val="000000" w:themeColor="text1"/>
        </w:rPr>
        <w:t xml:space="preserve"> [1963] AC 837</w:t>
      </w:r>
    </w:p>
    <w:p w14:paraId="5D9A81FD" w14:textId="4D4AE8B0" w:rsidR="00A47C19" w:rsidRPr="000C5288" w:rsidRDefault="00A47C19" w:rsidP="49DE6236">
      <w:pPr>
        <w:ind w:right="26"/>
        <w:jc w:val="both"/>
        <w:rPr>
          <w:rFonts w:ascii="Palatino Linotype" w:hAnsi="Palatino Linotype"/>
          <w:bCs/>
          <w:iCs/>
          <w:color w:val="000000" w:themeColor="text1"/>
        </w:rPr>
      </w:pPr>
      <w:r w:rsidRPr="000C5288">
        <w:rPr>
          <w:rFonts w:ascii="Palatino Linotype" w:hAnsi="Palatino Linotype"/>
          <w:bCs/>
          <w:i/>
          <w:color w:val="000000" w:themeColor="text1"/>
        </w:rPr>
        <w:t>Lamb v Camden LBC</w:t>
      </w:r>
      <w:r w:rsidRPr="000C5288">
        <w:rPr>
          <w:rFonts w:ascii="Palatino Linotype" w:hAnsi="Palatino Linotype"/>
          <w:bCs/>
          <w:iCs/>
          <w:color w:val="000000" w:themeColor="text1"/>
        </w:rPr>
        <w:t xml:space="preserve"> [1981] QB 625</w:t>
      </w:r>
    </w:p>
    <w:p w14:paraId="79DA7376" w14:textId="4DCD8F57" w:rsidR="00DD342A" w:rsidRPr="000C5288" w:rsidRDefault="00DD342A" w:rsidP="49DE6236">
      <w:pPr>
        <w:ind w:right="26"/>
        <w:jc w:val="both"/>
        <w:rPr>
          <w:rFonts w:ascii="Palatino Linotype" w:hAnsi="Palatino Linotype"/>
          <w:bCs/>
          <w:iCs/>
          <w:color w:val="000000" w:themeColor="text1"/>
        </w:rPr>
      </w:pPr>
      <w:r w:rsidRPr="000C5288">
        <w:rPr>
          <w:rFonts w:ascii="Palatino Linotype" w:hAnsi="Palatino Linotype"/>
          <w:bCs/>
          <w:i/>
          <w:color w:val="000000" w:themeColor="text1"/>
        </w:rPr>
        <w:t>Corr v IBC Vehicles</w:t>
      </w:r>
      <w:r w:rsidRPr="000C5288">
        <w:rPr>
          <w:rFonts w:ascii="Palatino Linotype" w:hAnsi="Palatino Linotype"/>
          <w:bCs/>
          <w:iCs/>
          <w:color w:val="000000" w:themeColor="text1"/>
        </w:rPr>
        <w:t xml:space="preserve"> [2008] 1 AC 884</w:t>
      </w:r>
    </w:p>
    <w:p w14:paraId="1B04155A" w14:textId="77777777" w:rsidR="00A229BA" w:rsidRPr="0019314B" w:rsidRDefault="00A229BA" w:rsidP="49DE6236">
      <w:pPr>
        <w:ind w:right="26"/>
        <w:jc w:val="both"/>
        <w:rPr>
          <w:rFonts w:ascii="Palatino Linotype" w:hAnsi="Palatino Linotype"/>
          <w:i/>
          <w:iCs/>
        </w:rPr>
      </w:pPr>
    </w:p>
    <w:p w14:paraId="2EC55F1B" w14:textId="05EBE8DC" w:rsidR="001B2CE3" w:rsidRPr="0019314B" w:rsidRDefault="001B2CE3" w:rsidP="001B2CE3">
      <w:pPr>
        <w:jc w:val="both"/>
        <w:rPr>
          <w:rFonts w:ascii="Palatino Linotype" w:hAnsi="Palatino Linotype"/>
          <w:b/>
        </w:rPr>
      </w:pPr>
      <w:r w:rsidRPr="0019314B">
        <w:rPr>
          <w:rFonts w:ascii="Palatino Linotype" w:hAnsi="Palatino Linotype"/>
          <w:b/>
        </w:rPr>
        <w:t>Additional cases</w:t>
      </w:r>
    </w:p>
    <w:p w14:paraId="5B24E6A4" w14:textId="77777777" w:rsidR="002273E9" w:rsidRPr="002273E9" w:rsidRDefault="002273E9" w:rsidP="002273E9">
      <w:pPr>
        <w:jc w:val="both"/>
        <w:rPr>
          <w:rFonts w:ascii="Palatino Linotype" w:hAnsi="Palatino Linotype"/>
          <w:bCs/>
          <w:i/>
        </w:rPr>
      </w:pPr>
      <w:r w:rsidRPr="002273E9">
        <w:rPr>
          <w:rFonts w:ascii="Palatino Linotype" w:hAnsi="Palatino Linotype"/>
          <w:bCs/>
          <w:i/>
        </w:rPr>
        <w:t xml:space="preserve">Baker v Willoughby </w:t>
      </w:r>
      <w:r w:rsidRPr="002273E9">
        <w:rPr>
          <w:rFonts w:ascii="Palatino Linotype" w:hAnsi="Palatino Linotype"/>
          <w:bCs/>
          <w:iCs/>
        </w:rPr>
        <w:t>[1970] AC 467</w:t>
      </w:r>
      <w:r w:rsidRPr="002273E9">
        <w:rPr>
          <w:rFonts w:ascii="Palatino Linotype" w:hAnsi="Palatino Linotype"/>
          <w:bCs/>
          <w:i/>
        </w:rPr>
        <w:t xml:space="preserve"> </w:t>
      </w:r>
    </w:p>
    <w:p w14:paraId="2E917A4F" w14:textId="186F003B" w:rsidR="001D5B5F" w:rsidRDefault="002273E9" w:rsidP="002273E9">
      <w:pPr>
        <w:jc w:val="both"/>
        <w:rPr>
          <w:rFonts w:ascii="Palatino Linotype" w:hAnsi="Palatino Linotype"/>
          <w:bCs/>
          <w:iCs/>
        </w:rPr>
      </w:pPr>
      <w:r w:rsidRPr="002273E9">
        <w:rPr>
          <w:rFonts w:ascii="Palatino Linotype" w:hAnsi="Palatino Linotype"/>
          <w:bCs/>
          <w:i/>
        </w:rPr>
        <w:lastRenderedPageBreak/>
        <w:t xml:space="preserve">Jobling v Associated Dairies Ltd </w:t>
      </w:r>
      <w:r w:rsidRPr="002273E9">
        <w:rPr>
          <w:rFonts w:ascii="Palatino Linotype" w:hAnsi="Palatino Linotype"/>
          <w:bCs/>
          <w:iCs/>
        </w:rPr>
        <w:t>[1982] AC 794</w:t>
      </w:r>
    </w:p>
    <w:p w14:paraId="7557C72D" w14:textId="46EE0844" w:rsidR="00082FBC" w:rsidRPr="00082FBC" w:rsidRDefault="00082FBC" w:rsidP="00082FBC">
      <w:pPr>
        <w:ind w:right="26"/>
        <w:jc w:val="both"/>
        <w:rPr>
          <w:rFonts w:ascii="Palatino Linotype" w:hAnsi="Palatino Linotype"/>
          <w:bCs/>
          <w:iCs/>
          <w:color w:val="000000" w:themeColor="text1"/>
        </w:rPr>
      </w:pPr>
      <w:r w:rsidRPr="00082FBC">
        <w:rPr>
          <w:rFonts w:ascii="Palatino Linotype" w:hAnsi="Palatino Linotype"/>
          <w:bCs/>
          <w:i/>
          <w:color w:val="000000" w:themeColor="text1"/>
        </w:rPr>
        <w:t xml:space="preserve">Chester v Afshar </w:t>
      </w:r>
      <w:r w:rsidRPr="00082FBC">
        <w:rPr>
          <w:rFonts w:ascii="Palatino Linotype" w:hAnsi="Palatino Linotype"/>
          <w:bCs/>
          <w:iCs/>
          <w:color w:val="000000" w:themeColor="text1"/>
        </w:rPr>
        <w:t>[2004] UKHL 41</w:t>
      </w:r>
    </w:p>
    <w:p w14:paraId="0D76F095" w14:textId="15749340" w:rsidR="00433F17" w:rsidRDefault="00433F17" w:rsidP="002273E9">
      <w:pPr>
        <w:jc w:val="both"/>
        <w:rPr>
          <w:rFonts w:ascii="Palatino Linotype" w:hAnsi="Palatino Linotype"/>
          <w:bCs/>
          <w:iCs/>
        </w:rPr>
      </w:pPr>
      <w:r w:rsidRPr="00433F17">
        <w:rPr>
          <w:rFonts w:ascii="Palatino Linotype" w:hAnsi="Palatino Linotype"/>
          <w:bCs/>
          <w:i/>
        </w:rPr>
        <w:t xml:space="preserve">Manchester Building Society v Grant Thornton UK LLP </w:t>
      </w:r>
      <w:r w:rsidRPr="00433F17">
        <w:rPr>
          <w:rFonts w:ascii="Palatino Linotype" w:hAnsi="Palatino Linotype"/>
          <w:bCs/>
          <w:iCs/>
        </w:rPr>
        <w:t>[2021] UKSC 20</w:t>
      </w:r>
    </w:p>
    <w:p w14:paraId="199FFA69" w14:textId="34BFE73B" w:rsidR="00082FBC" w:rsidRPr="00082FBC" w:rsidRDefault="00082FBC" w:rsidP="00082FBC">
      <w:pPr>
        <w:ind w:right="26"/>
        <w:jc w:val="both"/>
        <w:rPr>
          <w:rFonts w:ascii="Palatino Linotype" w:hAnsi="Palatino Linotype"/>
          <w:bCs/>
          <w:iCs/>
          <w:color w:val="000000" w:themeColor="text1"/>
        </w:rPr>
      </w:pPr>
      <w:r w:rsidRPr="00082FBC">
        <w:rPr>
          <w:rFonts w:ascii="Palatino Linotype" w:hAnsi="Palatino Linotype"/>
          <w:bCs/>
          <w:i/>
          <w:color w:val="000000" w:themeColor="text1"/>
        </w:rPr>
        <w:t>Khan</w:t>
      </w:r>
      <w:r w:rsidRPr="00082FBC">
        <w:rPr>
          <w:rFonts w:ascii="Palatino Linotype" w:hAnsi="Palatino Linotype"/>
          <w:bCs/>
          <w:iCs/>
          <w:color w:val="000000" w:themeColor="text1"/>
        </w:rPr>
        <w:t xml:space="preserve"> </w:t>
      </w:r>
      <w:r w:rsidRPr="00082FBC">
        <w:rPr>
          <w:rFonts w:ascii="Palatino Linotype" w:hAnsi="Palatino Linotype"/>
          <w:bCs/>
          <w:i/>
          <w:color w:val="000000" w:themeColor="text1"/>
        </w:rPr>
        <w:t xml:space="preserve">v Meadows </w:t>
      </w:r>
      <w:r w:rsidRPr="00082FBC">
        <w:rPr>
          <w:rFonts w:ascii="Palatino Linotype" w:hAnsi="Palatino Linotype"/>
          <w:bCs/>
          <w:iCs/>
          <w:color w:val="000000" w:themeColor="text1"/>
        </w:rPr>
        <w:t>[2021] UKSC 21</w:t>
      </w:r>
    </w:p>
    <w:p w14:paraId="578FD5DA" w14:textId="77777777" w:rsidR="002273E9" w:rsidRPr="0019314B" w:rsidRDefault="002273E9" w:rsidP="002273E9">
      <w:pPr>
        <w:jc w:val="both"/>
        <w:rPr>
          <w:rFonts w:ascii="Palatino Linotype" w:hAnsi="Palatino Linotype"/>
        </w:rPr>
      </w:pPr>
    </w:p>
    <w:p w14:paraId="3BC1A75E" w14:textId="23F2EF6B" w:rsidR="00AB104A" w:rsidRPr="0019314B" w:rsidRDefault="00AB104A" w:rsidP="001B7FB8">
      <w:pPr>
        <w:jc w:val="both"/>
        <w:rPr>
          <w:rFonts w:ascii="Palatino Linotype" w:hAnsi="Palatino Linotype"/>
          <w:b/>
          <w:bCs/>
        </w:rPr>
      </w:pPr>
      <w:r w:rsidRPr="0019314B">
        <w:rPr>
          <w:rFonts w:ascii="Palatino Linotype" w:hAnsi="Palatino Linotype"/>
          <w:b/>
          <w:bCs/>
        </w:rPr>
        <w:t>Articles</w:t>
      </w:r>
    </w:p>
    <w:p w14:paraId="305D6431" w14:textId="2A6BEF8B" w:rsidR="004A7CB3" w:rsidRPr="004A7CB3" w:rsidRDefault="004A7CB3" w:rsidP="0069375F">
      <w:pPr>
        <w:jc w:val="both"/>
        <w:rPr>
          <w:rStyle w:val="IntenseEmphasis"/>
          <w:rFonts w:ascii="Palatino Linotype" w:hAnsi="Palatino Linotype"/>
          <w:b w:val="0"/>
          <w:bCs/>
          <w:i w:val="0"/>
          <w:iCs w:val="0"/>
          <w:color w:val="000000" w:themeColor="text1"/>
        </w:rPr>
      </w:pPr>
      <w:r>
        <w:rPr>
          <w:rStyle w:val="IntenseEmphasis"/>
          <w:rFonts w:ascii="Palatino Linotype" w:hAnsi="Palatino Linotype"/>
          <w:b w:val="0"/>
          <w:bCs/>
          <w:i w:val="0"/>
          <w:iCs w:val="0"/>
          <w:color w:val="000000" w:themeColor="text1"/>
        </w:rPr>
        <w:t xml:space="preserve">S Steel, </w:t>
      </w:r>
      <w:r>
        <w:rPr>
          <w:rStyle w:val="IntenseEmphasis"/>
          <w:rFonts w:ascii="Palatino Linotype" w:hAnsi="Palatino Linotype"/>
          <w:b w:val="0"/>
          <w:bCs/>
          <w:color w:val="000000" w:themeColor="text1"/>
        </w:rPr>
        <w:t xml:space="preserve">Proof of Causation in Tort Law </w:t>
      </w:r>
      <w:r>
        <w:rPr>
          <w:rStyle w:val="IntenseEmphasis"/>
          <w:rFonts w:ascii="Palatino Linotype" w:hAnsi="Palatino Linotype"/>
          <w:b w:val="0"/>
          <w:bCs/>
          <w:i w:val="0"/>
          <w:iCs w:val="0"/>
          <w:color w:val="000000" w:themeColor="text1"/>
        </w:rPr>
        <w:t>(Cambridge University Press, 2015)</w:t>
      </w:r>
    </w:p>
    <w:p w14:paraId="6BDF8F5F" w14:textId="40484A76" w:rsidR="00815DD1" w:rsidRPr="00082FBC" w:rsidRDefault="00815DD1" w:rsidP="0069375F">
      <w:pPr>
        <w:jc w:val="both"/>
        <w:rPr>
          <w:rStyle w:val="IntenseEmphasis"/>
          <w:rFonts w:ascii="Palatino Linotype" w:hAnsi="Palatino Linotype"/>
          <w:b w:val="0"/>
          <w:bCs/>
          <w:i w:val="0"/>
          <w:iCs w:val="0"/>
          <w:color w:val="000000" w:themeColor="text1"/>
        </w:rPr>
      </w:pPr>
      <w:r w:rsidRPr="00082FBC">
        <w:rPr>
          <w:rStyle w:val="IntenseEmphasis"/>
          <w:rFonts w:ascii="Palatino Linotype" w:hAnsi="Palatino Linotype"/>
          <w:b w:val="0"/>
          <w:bCs/>
          <w:i w:val="0"/>
          <w:iCs w:val="0"/>
          <w:color w:val="000000" w:themeColor="text1"/>
        </w:rPr>
        <w:t xml:space="preserve">Donal Nolan and James Plunkett, ‘Keeping Negligence Simple’ (2022) 138 </w:t>
      </w:r>
      <w:r w:rsidRPr="00082FBC">
        <w:rPr>
          <w:rStyle w:val="IntenseEmphasis"/>
          <w:rFonts w:ascii="Palatino Linotype" w:hAnsi="Palatino Linotype"/>
          <w:b w:val="0"/>
          <w:bCs/>
          <w:color w:val="000000" w:themeColor="text1"/>
        </w:rPr>
        <w:t>Law Quarterly Review</w:t>
      </w:r>
      <w:r w:rsidRPr="00082FBC">
        <w:rPr>
          <w:rStyle w:val="IntenseEmphasis"/>
          <w:rFonts w:ascii="Palatino Linotype" w:hAnsi="Palatino Linotype"/>
          <w:b w:val="0"/>
          <w:bCs/>
          <w:i w:val="0"/>
          <w:iCs w:val="0"/>
          <w:color w:val="000000" w:themeColor="text1"/>
        </w:rPr>
        <w:t xml:space="preserve"> 175–181</w:t>
      </w:r>
    </w:p>
    <w:p w14:paraId="5989F8ED" w14:textId="3F323D88" w:rsidR="0005670F" w:rsidRPr="00082FBC" w:rsidRDefault="0005670F" w:rsidP="0069375F">
      <w:pPr>
        <w:jc w:val="both"/>
        <w:rPr>
          <w:rStyle w:val="IntenseEmphasis"/>
          <w:rFonts w:ascii="Palatino Linotype" w:hAnsi="Palatino Linotype"/>
          <w:b w:val="0"/>
          <w:bCs/>
          <w:i w:val="0"/>
          <w:iCs w:val="0"/>
          <w:color w:val="000000" w:themeColor="text1"/>
        </w:rPr>
      </w:pPr>
      <w:r w:rsidRPr="00082FBC">
        <w:rPr>
          <w:rStyle w:val="IntenseEmphasis"/>
          <w:rFonts w:ascii="Palatino Linotype" w:hAnsi="Palatino Linotype"/>
          <w:b w:val="0"/>
          <w:bCs/>
          <w:i w:val="0"/>
          <w:iCs w:val="0"/>
          <w:color w:val="000000" w:themeColor="text1"/>
        </w:rPr>
        <w:t xml:space="preserve">CP McGrath ‘A Khan of Worms: The scope of medical advice’ (2021) </w:t>
      </w:r>
      <w:r w:rsidRPr="00082FBC">
        <w:rPr>
          <w:rStyle w:val="IntenseEmphasis"/>
          <w:rFonts w:ascii="Palatino Linotype" w:hAnsi="Palatino Linotype"/>
          <w:b w:val="0"/>
          <w:bCs/>
          <w:color w:val="000000" w:themeColor="text1"/>
        </w:rPr>
        <w:t>CLJ</w:t>
      </w:r>
      <w:r w:rsidRPr="00082FBC">
        <w:rPr>
          <w:rStyle w:val="IntenseEmphasis"/>
          <w:rFonts w:ascii="Palatino Linotype" w:hAnsi="Palatino Linotype"/>
          <w:b w:val="0"/>
          <w:bCs/>
          <w:i w:val="0"/>
          <w:iCs w:val="0"/>
          <w:color w:val="000000" w:themeColor="text1"/>
        </w:rPr>
        <w:t xml:space="preserve"> 44</w:t>
      </w:r>
    </w:p>
    <w:p w14:paraId="1A6E83A6" w14:textId="13A10EC1" w:rsidR="00886C4E" w:rsidRPr="00AD008C" w:rsidRDefault="00886C4E" w:rsidP="0069375F">
      <w:pPr>
        <w:jc w:val="both"/>
        <w:rPr>
          <w:rStyle w:val="IntenseEmphasis"/>
          <w:rFonts w:ascii="Palatino Linotype" w:hAnsi="Palatino Linotype"/>
          <w:b w:val="0"/>
          <w:bCs/>
          <w:i w:val="0"/>
          <w:iCs w:val="0"/>
          <w:color w:val="000000" w:themeColor="text1"/>
        </w:rPr>
      </w:pPr>
      <w:r w:rsidRPr="00AD008C">
        <w:rPr>
          <w:rStyle w:val="IntenseEmphasis"/>
          <w:rFonts w:ascii="Palatino Linotype" w:hAnsi="Palatino Linotype"/>
          <w:b w:val="0"/>
          <w:bCs/>
          <w:i w:val="0"/>
          <w:iCs w:val="0"/>
          <w:color w:val="000000" w:themeColor="text1"/>
        </w:rPr>
        <w:t xml:space="preserve">T Clark &amp; D Nolan, 'A Critique of </w:t>
      </w:r>
      <w:r w:rsidRPr="007876E1">
        <w:rPr>
          <w:rStyle w:val="IntenseEmphasis"/>
          <w:rFonts w:ascii="Palatino Linotype" w:hAnsi="Palatino Linotype"/>
          <w:b w:val="0"/>
          <w:bCs/>
          <w:color w:val="000000" w:themeColor="text1"/>
        </w:rPr>
        <w:t>Chester v Afshar</w:t>
      </w:r>
      <w:r w:rsidRPr="00AD008C">
        <w:rPr>
          <w:rStyle w:val="IntenseEmphasis"/>
          <w:rFonts w:ascii="Palatino Linotype" w:hAnsi="Palatino Linotype"/>
          <w:b w:val="0"/>
          <w:bCs/>
          <w:i w:val="0"/>
          <w:iCs w:val="0"/>
          <w:color w:val="000000" w:themeColor="text1"/>
        </w:rPr>
        <w:t xml:space="preserve">' (2014) 34 </w:t>
      </w:r>
      <w:r w:rsidRPr="00AD008C">
        <w:rPr>
          <w:rStyle w:val="IntenseEmphasis"/>
          <w:rFonts w:ascii="Palatino Linotype" w:hAnsi="Palatino Linotype"/>
          <w:b w:val="0"/>
          <w:bCs/>
          <w:color w:val="000000" w:themeColor="text1"/>
        </w:rPr>
        <w:t>Oxford Journal of Legal Studies</w:t>
      </w:r>
      <w:r w:rsidRPr="00AD008C">
        <w:rPr>
          <w:rStyle w:val="IntenseEmphasis"/>
          <w:rFonts w:ascii="Palatino Linotype" w:hAnsi="Palatino Linotype"/>
          <w:b w:val="0"/>
          <w:bCs/>
          <w:i w:val="0"/>
          <w:iCs w:val="0"/>
          <w:color w:val="000000" w:themeColor="text1"/>
        </w:rPr>
        <w:t xml:space="preserve"> 659 </w:t>
      </w:r>
    </w:p>
    <w:p w14:paraId="022AB3E6" w14:textId="77777777" w:rsidR="00211956" w:rsidRDefault="00211956" w:rsidP="00211956">
      <w:pPr>
        <w:rPr>
          <w:rFonts w:ascii="Palatino Linotype" w:hAnsi="Palatino Linotype" w:cs="Palatino Linotype"/>
          <w:b/>
          <w:bCs/>
          <w:u w:val="single"/>
        </w:rPr>
      </w:pPr>
    </w:p>
    <w:p w14:paraId="4B609FC8" w14:textId="77777777" w:rsidR="005020C0" w:rsidRDefault="005020C0" w:rsidP="00211956">
      <w:pPr>
        <w:rPr>
          <w:rFonts w:ascii="Palatino Linotype" w:hAnsi="Palatino Linotype" w:cs="Palatino Linotype"/>
          <w:b/>
          <w:bCs/>
          <w:u w:val="single"/>
        </w:rPr>
      </w:pPr>
    </w:p>
    <w:p w14:paraId="3B443241"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r>
        <w:rPr>
          <w:rFonts w:ascii="Palatino Linotype" w:hAnsi="Palatino Linotype" w:cs="Palatino Linotype"/>
          <w:b/>
          <w:bCs/>
          <w:u w:val="single"/>
        </w:rPr>
        <w:t>Beyond tort</w:t>
      </w:r>
    </w:p>
    <w:p w14:paraId="4248CE31" w14:textId="77777777" w:rsidR="00211956" w:rsidRPr="007A0D1C"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7E1B11D4" w14:textId="15767236" w:rsidR="00211956" w:rsidRPr="007A0D1C"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sidRPr="007A0D1C">
        <w:rPr>
          <w:rFonts w:ascii="Palatino Linotype" w:hAnsi="Palatino Linotype" w:cs="Palatino Linotype"/>
        </w:rPr>
        <w:t>Read:</w:t>
      </w:r>
      <w:r w:rsidR="00684E6D" w:rsidRPr="007A0D1C">
        <w:rPr>
          <w:rFonts w:ascii="Palatino Linotype" w:hAnsi="Palatino Linotype" w:cs="Palatino Linotype"/>
        </w:rPr>
        <w:t xml:space="preserve"> Albert Camus, </w:t>
      </w:r>
      <w:r w:rsidR="00684E6D" w:rsidRPr="007A0D1C">
        <w:rPr>
          <w:rFonts w:ascii="Palatino Linotype" w:hAnsi="Palatino Linotype" w:cs="Palatino Linotype"/>
          <w:i/>
          <w:iCs/>
        </w:rPr>
        <w:t>The Stranger</w:t>
      </w:r>
      <w:r w:rsidR="00684E6D" w:rsidRPr="007A0D1C">
        <w:rPr>
          <w:rFonts w:ascii="Palatino Linotype" w:hAnsi="Palatino Linotype" w:cs="Palatino Linotype"/>
        </w:rPr>
        <w:t xml:space="preserve"> (aka </w:t>
      </w:r>
      <w:r w:rsidR="005020C0">
        <w:rPr>
          <w:rFonts w:ascii="Palatino Linotype" w:hAnsi="Palatino Linotype" w:cs="Palatino Linotype"/>
          <w:i/>
          <w:iCs/>
        </w:rPr>
        <w:t>T</w:t>
      </w:r>
      <w:r w:rsidR="00684E6D" w:rsidRPr="005020C0">
        <w:rPr>
          <w:rFonts w:ascii="Palatino Linotype" w:hAnsi="Palatino Linotype" w:cs="Palatino Linotype"/>
          <w:i/>
          <w:iCs/>
        </w:rPr>
        <w:t>he Outsider</w:t>
      </w:r>
      <w:r w:rsidR="00684E6D" w:rsidRPr="007A0D1C">
        <w:rPr>
          <w:rFonts w:ascii="Palatino Linotype" w:hAnsi="Palatino Linotype" w:cs="Palatino Linotype"/>
        </w:rPr>
        <w:t xml:space="preserve">). </w:t>
      </w:r>
      <w:r w:rsidR="00A35C07">
        <w:rPr>
          <w:rFonts w:ascii="Palatino Linotype" w:hAnsi="Palatino Linotype" w:cs="Palatino Linotype"/>
        </w:rPr>
        <w:t xml:space="preserve">Few novels have had such a profound impact as this. The stranger drifts through life allowing himself to be carried like a leaf in the wind, without ever making any true intentional choices. Do not be the stranger. Make choices. Decide what you want from life and grasp it, rather than letting yourself simply be carried along by circumstance. </w:t>
      </w:r>
    </w:p>
    <w:p w14:paraId="6F87DEA9"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4A75E1EB" w14:textId="34CE19D6"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 xml:space="preserve">Watch: </w:t>
      </w:r>
      <w:r w:rsidR="00F072C6" w:rsidRPr="00A74518">
        <w:rPr>
          <w:rFonts w:ascii="Palatino Linotype" w:hAnsi="Palatino Linotype" w:cs="Palatino Linotype"/>
          <w:i/>
          <w:iCs/>
        </w:rPr>
        <w:t>How it’s Made</w:t>
      </w:r>
      <w:r w:rsidR="00F072C6" w:rsidRPr="00F072C6">
        <w:rPr>
          <w:rFonts w:ascii="Palatino Linotype" w:hAnsi="Palatino Linotype" w:cs="Palatino Linotype"/>
        </w:rPr>
        <w:t xml:space="preserve"> (YouTube). A channel comprising individual clips from the iconic Discovery Channel TV show, this offers an engrossing insight into how the world around us is created, or gentle, enveloping background listening if you need something to de-tune your ears so you can focus on your reading.</w:t>
      </w:r>
    </w:p>
    <w:p w14:paraId="2768DD33" w14:textId="77777777" w:rsidR="00211956" w:rsidRPr="00FB45D2"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p>
    <w:p w14:paraId="0267294C" w14:textId="6A33E6B9" w:rsidR="00FB45D2" w:rsidRPr="00FB45D2" w:rsidRDefault="00211956" w:rsidP="00FB45D2">
      <w:pPr>
        <w:pBdr>
          <w:top w:val="single" w:sz="4" w:space="1" w:color="auto"/>
          <w:left w:val="single" w:sz="4" w:space="4" w:color="auto"/>
          <w:bottom w:val="single" w:sz="4" w:space="1" w:color="auto"/>
          <w:right w:val="single" w:sz="4" w:space="4" w:color="auto"/>
        </w:pBdr>
        <w:jc w:val="both"/>
        <w:rPr>
          <w:rFonts w:ascii="Palatino Linotype" w:hAnsi="Palatino Linotype" w:cs="Palatino Linotype"/>
        </w:rPr>
      </w:pPr>
      <w:r w:rsidRPr="00FB45D2">
        <w:rPr>
          <w:rFonts w:ascii="Palatino Linotype" w:hAnsi="Palatino Linotype" w:cs="Palatino Linotype"/>
        </w:rPr>
        <w:t>Listen:</w:t>
      </w:r>
      <w:r w:rsidR="00FB45D2" w:rsidRPr="00FB45D2">
        <w:rPr>
          <w:rFonts w:ascii="Palatino Linotype" w:hAnsi="Palatino Linotype" w:cs="Palatino Linotype"/>
        </w:rPr>
        <w:t xml:space="preserve"> Miles Davis</w:t>
      </w:r>
      <w:r w:rsidR="00FB45D2">
        <w:rPr>
          <w:rFonts w:ascii="Palatino Linotype" w:hAnsi="Palatino Linotype" w:cs="Palatino Linotype"/>
        </w:rPr>
        <w:t xml:space="preserve">, </w:t>
      </w:r>
      <w:r w:rsidR="00FB45D2" w:rsidRPr="00FB45D2">
        <w:rPr>
          <w:rFonts w:ascii="Palatino Linotype" w:hAnsi="Palatino Linotype" w:cs="Palatino Linotype"/>
          <w:i/>
          <w:iCs/>
        </w:rPr>
        <w:t>Kind of Blue</w:t>
      </w:r>
      <w:r w:rsidR="00FB45D2" w:rsidRPr="00FB45D2">
        <w:rPr>
          <w:rFonts w:ascii="Palatino Linotype" w:hAnsi="Palatino Linotype" w:cs="Palatino Linotype"/>
        </w:rPr>
        <w:t>. A pinnacle of jazz and the finest offering from a gifted musician. Quite literally a game changer given the large-scale shift away from bebop and hard bop that it heralded. Beautiful, uplifting and hugely important to generations of musicians who followed, whether in jazz or far beyond.</w:t>
      </w:r>
    </w:p>
    <w:p w14:paraId="7CFAA56C" w14:textId="4AA7FAE3" w:rsidR="00211956" w:rsidRPr="00AA2EA1"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p>
    <w:p w14:paraId="0ACE794F" w14:textId="31C4E49A" w:rsidR="0087097F" w:rsidRPr="0019314B" w:rsidRDefault="0087097F" w:rsidP="0087097F">
      <w:pPr>
        <w:rPr>
          <w:rStyle w:val="IntenseEmphasis"/>
          <w:rFonts w:ascii="Palatino Linotype" w:hAnsi="Palatino Linotype"/>
          <w:b w:val="0"/>
          <w:bCs/>
          <w:i w:val="0"/>
          <w:iCs w:val="0"/>
          <w:color w:val="000000" w:themeColor="text1"/>
        </w:rPr>
      </w:pPr>
    </w:p>
    <w:sectPr w:rsidR="0087097F" w:rsidRPr="0019314B" w:rsidSect="00187EE7">
      <w:footerReference w:type="even" r:id="rId11"/>
      <w:footerReference w:type="defaul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EFA12" w14:textId="77777777" w:rsidR="008B2870" w:rsidRDefault="008B2870" w:rsidP="00832E5F">
      <w:r>
        <w:separator/>
      </w:r>
    </w:p>
  </w:endnote>
  <w:endnote w:type="continuationSeparator" w:id="0">
    <w:p w14:paraId="35B641A1" w14:textId="77777777" w:rsidR="008B2870" w:rsidRDefault="008B2870" w:rsidP="0083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Kings Caslon Text">
    <w:altName w:val="Calibri"/>
    <w:panose1 w:val="020B0604020202020204"/>
    <w:charset w:val="00"/>
    <w:family w:val="auto"/>
    <w:pitch w:val="variable"/>
    <w:sig w:usb0="A00000AF" w:usb1="5000205B" w:usb2="00000000" w:usb3="00000000" w:csb0="0000009B"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5824" w14:textId="08E75313"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01967A1" w14:textId="77777777" w:rsidR="00832E5F" w:rsidRDefault="00832E5F" w:rsidP="00832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4106893"/>
      <w:docPartObj>
        <w:docPartGallery w:val="Page Numbers (Bottom of Page)"/>
        <w:docPartUnique/>
      </w:docPartObj>
    </w:sdtPr>
    <w:sdtContent>
      <w:p w14:paraId="0E594693" w14:textId="598ACD9D"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5438C">
          <w:rPr>
            <w:rStyle w:val="PageNumber"/>
            <w:noProof/>
          </w:rPr>
          <w:t>1</w:t>
        </w:r>
        <w:r>
          <w:rPr>
            <w:rStyle w:val="PageNumber"/>
          </w:rPr>
          <w:fldChar w:fldCharType="end"/>
        </w:r>
      </w:p>
    </w:sdtContent>
  </w:sdt>
  <w:p w14:paraId="5612126A" w14:textId="77777777" w:rsidR="00832E5F" w:rsidRDefault="00832E5F" w:rsidP="00832E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E6B67" w14:textId="77777777" w:rsidR="008B2870" w:rsidRDefault="008B2870" w:rsidP="00832E5F">
      <w:r>
        <w:separator/>
      </w:r>
    </w:p>
  </w:footnote>
  <w:footnote w:type="continuationSeparator" w:id="0">
    <w:p w14:paraId="4BEF8D5F" w14:textId="77777777" w:rsidR="008B2870" w:rsidRDefault="008B2870" w:rsidP="00832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F66EB2"/>
    <w:multiLevelType w:val="hybridMultilevel"/>
    <w:tmpl w:val="CA1AC41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1F1C67"/>
    <w:multiLevelType w:val="multilevel"/>
    <w:tmpl w:val="E278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56540"/>
    <w:multiLevelType w:val="hybridMultilevel"/>
    <w:tmpl w:val="E85CD2E4"/>
    <w:lvl w:ilvl="0" w:tplc="5DB2D8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D47556"/>
    <w:multiLevelType w:val="hybridMultilevel"/>
    <w:tmpl w:val="DBEED870"/>
    <w:lvl w:ilvl="0" w:tplc="27EE5A12">
      <w:numFmt w:val="bullet"/>
      <w:lvlText w:val="-"/>
      <w:lvlJc w:val="left"/>
      <w:pPr>
        <w:ind w:left="720" w:hanging="360"/>
      </w:pPr>
      <w:rPr>
        <w:rFonts w:ascii="Palatino Linotype" w:eastAsia="Times New Roman" w:hAnsi="Palatino Linotype" w:cs="Palatino Linotyp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A43E9"/>
    <w:multiLevelType w:val="hybridMultilevel"/>
    <w:tmpl w:val="E33E611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0C37BF"/>
    <w:multiLevelType w:val="hybridMultilevel"/>
    <w:tmpl w:val="792873A8"/>
    <w:lvl w:ilvl="0" w:tplc="9A24C636">
      <w:start w:val="500"/>
      <w:numFmt w:val="bullet"/>
      <w:lvlText w:val="-"/>
      <w:lvlJc w:val="left"/>
      <w:pPr>
        <w:ind w:left="720" w:hanging="360"/>
      </w:pPr>
      <w:rPr>
        <w:rFonts w:ascii="Kings Caslon Text" w:eastAsia="Times New Roman" w:hAnsi="Kings Caslon T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8C3BFF"/>
    <w:multiLevelType w:val="hybridMultilevel"/>
    <w:tmpl w:val="1BDE5E78"/>
    <w:lvl w:ilvl="0" w:tplc="8474D5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7846366">
    <w:abstractNumId w:val="2"/>
  </w:num>
  <w:num w:numId="2" w16cid:durableId="497622135">
    <w:abstractNumId w:val="7"/>
  </w:num>
  <w:num w:numId="3" w16cid:durableId="1713189468">
    <w:abstractNumId w:val="6"/>
  </w:num>
  <w:num w:numId="4" w16cid:durableId="1945068170">
    <w:abstractNumId w:val="0"/>
  </w:num>
  <w:num w:numId="5" w16cid:durableId="1175224182">
    <w:abstractNumId w:val="5"/>
  </w:num>
  <w:num w:numId="6" w16cid:durableId="348603349">
    <w:abstractNumId w:val="4"/>
  </w:num>
  <w:num w:numId="7" w16cid:durableId="788863928">
    <w:abstractNumId w:val="1"/>
  </w:num>
  <w:num w:numId="8" w16cid:durableId="425542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B8"/>
    <w:rsid w:val="000019BA"/>
    <w:rsid w:val="00012B37"/>
    <w:rsid w:val="00013575"/>
    <w:rsid w:val="00023C84"/>
    <w:rsid w:val="0003320D"/>
    <w:rsid w:val="000415AD"/>
    <w:rsid w:val="0004360F"/>
    <w:rsid w:val="0004734B"/>
    <w:rsid w:val="0005670F"/>
    <w:rsid w:val="00082FBC"/>
    <w:rsid w:val="0008617A"/>
    <w:rsid w:val="00090478"/>
    <w:rsid w:val="00097D31"/>
    <w:rsid w:val="000C1404"/>
    <w:rsid w:val="000C5288"/>
    <w:rsid w:val="000D4D43"/>
    <w:rsid w:val="000D4E41"/>
    <w:rsid w:val="000E683F"/>
    <w:rsid w:val="000F7AFF"/>
    <w:rsid w:val="00101628"/>
    <w:rsid w:val="00126CA9"/>
    <w:rsid w:val="00134224"/>
    <w:rsid w:val="00160C28"/>
    <w:rsid w:val="00175156"/>
    <w:rsid w:val="001824E6"/>
    <w:rsid w:val="00184569"/>
    <w:rsid w:val="00187EE7"/>
    <w:rsid w:val="0019314B"/>
    <w:rsid w:val="00193C52"/>
    <w:rsid w:val="001A1A89"/>
    <w:rsid w:val="001B0737"/>
    <w:rsid w:val="001B2CE3"/>
    <w:rsid w:val="001B4D2F"/>
    <w:rsid w:val="001B7FB8"/>
    <w:rsid w:val="001D5B5F"/>
    <w:rsid w:val="001E0470"/>
    <w:rsid w:val="001F2C09"/>
    <w:rsid w:val="001F516D"/>
    <w:rsid w:val="002049B6"/>
    <w:rsid w:val="002106AF"/>
    <w:rsid w:val="00211956"/>
    <w:rsid w:val="00225493"/>
    <w:rsid w:val="002273E9"/>
    <w:rsid w:val="00267A25"/>
    <w:rsid w:val="00280741"/>
    <w:rsid w:val="00286397"/>
    <w:rsid w:val="002A5468"/>
    <w:rsid w:val="002C5D04"/>
    <w:rsid w:val="002F57AE"/>
    <w:rsid w:val="00314DB8"/>
    <w:rsid w:val="00333845"/>
    <w:rsid w:val="00343A17"/>
    <w:rsid w:val="00344FF9"/>
    <w:rsid w:val="00353CEC"/>
    <w:rsid w:val="00391BA0"/>
    <w:rsid w:val="003A13A3"/>
    <w:rsid w:val="003A2F14"/>
    <w:rsid w:val="003C5EEE"/>
    <w:rsid w:val="003D07AC"/>
    <w:rsid w:val="003D0C25"/>
    <w:rsid w:val="003E78D5"/>
    <w:rsid w:val="003F23A7"/>
    <w:rsid w:val="00431C78"/>
    <w:rsid w:val="00433F17"/>
    <w:rsid w:val="004459D8"/>
    <w:rsid w:val="004533C0"/>
    <w:rsid w:val="00462CB5"/>
    <w:rsid w:val="004640D9"/>
    <w:rsid w:val="004753E7"/>
    <w:rsid w:val="0048091F"/>
    <w:rsid w:val="00483C65"/>
    <w:rsid w:val="004A7CB3"/>
    <w:rsid w:val="004B54B6"/>
    <w:rsid w:val="004C5AE6"/>
    <w:rsid w:val="004D0218"/>
    <w:rsid w:val="004D1CCD"/>
    <w:rsid w:val="004D2670"/>
    <w:rsid w:val="004E3E26"/>
    <w:rsid w:val="004F61AF"/>
    <w:rsid w:val="004F7835"/>
    <w:rsid w:val="005020C0"/>
    <w:rsid w:val="00507B1A"/>
    <w:rsid w:val="00511B74"/>
    <w:rsid w:val="00511B94"/>
    <w:rsid w:val="00524400"/>
    <w:rsid w:val="00525525"/>
    <w:rsid w:val="00525B4E"/>
    <w:rsid w:val="00541DCC"/>
    <w:rsid w:val="00551F33"/>
    <w:rsid w:val="00554A90"/>
    <w:rsid w:val="005617C8"/>
    <w:rsid w:val="00563FF2"/>
    <w:rsid w:val="00567847"/>
    <w:rsid w:val="0058102D"/>
    <w:rsid w:val="00587769"/>
    <w:rsid w:val="00592E49"/>
    <w:rsid w:val="005D0230"/>
    <w:rsid w:val="005E3AA4"/>
    <w:rsid w:val="005E718B"/>
    <w:rsid w:val="005E7531"/>
    <w:rsid w:val="00601A37"/>
    <w:rsid w:val="00613077"/>
    <w:rsid w:val="006206F6"/>
    <w:rsid w:val="00647FCE"/>
    <w:rsid w:val="00651FC1"/>
    <w:rsid w:val="00665F13"/>
    <w:rsid w:val="00670EE1"/>
    <w:rsid w:val="00672BC1"/>
    <w:rsid w:val="00684E6D"/>
    <w:rsid w:val="0069176E"/>
    <w:rsid w:val="0069298B"/>
    <w:rsid w:val="0069375F"/>
    <w:rsid w:val="006A46D7"/>
    <w:rsid w:val="006B2A33"/>
    <w:rsid w:val="006C5EC0"/>
    <w:rsid w:val="006E14F7"/>
    <w:rsid w:val="006F548F"/>
    <w:rsid w:val="00727BFA"/>
    <w:rsid w:val="00732614"/>
    <w:rsid w:val="00736711"/>
    <w:rsid w:val="00743D26"/>
    <w:rsid w:val="00780A99"/>
    <w:rsid w:val="007818B7"/>
    <w:rsid w:val="0078520F"/>
    <w:rsid w:val="007876E1"/>
    <w:rsid w:val="00790C5E"/>
    <w:rsid w:val="007A0D1C"/>
    <w:rsid w:val="007B32B1"/>
    <w:rsid w:val="007E7128"/>
    <w:rsid w:val="007F4107"/>
    <w:rsid w:val="007F476B"/>
    <w:rsid w:val="00811537"/>
    <w:rsid w:val="00815DD1"/>
    <w:rsid w:val="00823095"/>
    <w:rsid w:val="00832E5F"/>
    <w:rsid w:val="0084775B"/>
    <w:rsid w:val="0086493F"/>
    <w:rsid w:val="0087097F"/>
    <w:rsid w:val="00875216"/>
    <w:rsid w:val="00886C4E"/>
    <w:rsid w:val="00896050"/>
    <w:rsid w:val="008B2870"/>
    <w:rsid w:val="008D79F2"/>
    <w:rsid w:val="008F4B7B"/>
    <w:rsid w:val="008F5165"/>
    <w:rsid w:val="009300B8"/>
    <w:rsid w:val="00935337"/>
    <w:rsid w:val="00952E8A"/>
    <w:rsid w:val="0095438C"/>
    <w:rsid w:val="00957676"/>
    <w:rsid w:val="009637DC"/>
    <w:rsid w:val="009B091C"/>
    <w:rsid w:val="009B7CBE"/>
    <w:rsid w:val="009E0A2B"/>
    <w:rsid w:val="009F7B8F"/>
    <w:rsid w:val="00A00151"/>
    <w:rsid w:val="00A020E1"/>
    <w:rsid w:val="00A03818"/>
    <w:rsid w:val="00A1782A"/>
    <w:rsid w:val="00A229BA"/>
    <w:rsid w:val="00A35C07"/>
    <w:rsid w:val="00A4076E"/>
    <w:rsid w:val="00A47C19"/>
    <w:rsid w:val="00A6203C"/>
    <w:rsid w:val="00A6341D"/>
    <w:rsid w:val="00A6559A"/>
    <w:rsid w:val="00A74518"/>
    <w:rsid w:val="00A858C3"/>
    <w:rsid w:val="00A97B23"/>
    <w:rsid w:val="00AB104A"/>
    <w:rsid w:val="00AC096C"/>
    <w:rsid w:val="00AC0B2B"/>
    <w:rsid w:val="00AC0E15"/>
    <w:rsid w:val="00AC2062"/>
    <w:rsid w:val="00AD008C"/>
    <w:rsid w:val="00AD7188"/>
    <w:rsid w:val="00AD795A"/>
    <w:rsid w:val="00AF1623"/>
    <w:rsid w:val="00AF5811"/>
    <w:rsid w:val="00B30429"/>
    <w:rsid w:val="00B41453"/>
    <w:rsid w:val="00B43DD9"/>
    <w:rsid w:val="00B53FCD"/>
    <w:rsid w:val="00B57B69"/>
    <w:rsid w:val="00B75E15"/>
    <w:rsid w:val="00B949C8"/>
    <w:rsid w:val="00BD4F85"/>
    <w:rsid w:val="00C2139B"/>
    <w:rsid w:val="00C4028C"/>
    <w:rsid w:val="00C41966"/>
    <w:rsid w:val="00C525AB"/>
    <w:rsid w:val="00C52813"/>
    <w:rsid w:val="00C54B7E"/>
    <w:rsid w:val="00C63148"/>
    <w:rsid w:val="00C723FD"/>
    <w:rsid w:val="00C85B08"/>
    <w:rsid w:val="00C92A4B"/>
    <w:rsid w:val="00C92B81"/>
    <w:rsid w:val="00CA6F6A"/>
    <w:rsid w:val="00CD0101"/>
    <w:rsid w:val="00CD5371"/>
    <w:rsid w:val="00CE6E2E"/>
    <w:rsid w:val="00CF4C77"/>
    <w:rsid w:val="00CF6BE5"/>
    <w:rsid w:val="00D0580E"/>
    <w:rsid w:val="00D10F23"/>
    <w:rsid w:val="00D10FED"/>
    <w:rsid w:val="00D11035"/>
    <w:rsid w:val="00D176C0"/>
    <w:rsid w:val="00D309A1"/>
    <w:rsid w:val="00D3271D"/>
    <w:rsid w:val="00D33CF8"/>
    <w:rsid w:val="00D366A6"/>
    <w:rsid w:val="00D614E6"/>
    <w:rsid w:val="00D7349C"/>
    <w:rsid w:val="00D73E3D"/>
    <w:rsid w:val="00D74EB1"/>
    <w:rsid w:val="00D843CB"/>
    <w:rsid w:val="00D93B6A"/>
    <w:rsid w:val="00D97F77"/>
    <w:rsid w:val="00DA2131"/>
    <w:rsid w:val="00DB2CFB"/>
    <w:rsid w:val="00DB6AA9"/>
    <w:rsid w:val="00DD342A"/>
    <w:rsid w:val="00DD6D3A"/>
    <w:rsid w:val="00DF3E62"/>
    <w:rsid w:val="00E06903"/>
    <w:rsid w:val="00E14764"/>
    <w:rsid w:val="00E47634"/>
    <w:rsid w:val="00E61304"/>
    <w:rsid w:val="00E936C9"/>
    <w:rsid w:val="00EB335F"/>
    <w:rsid w:val="00EB4773"/>
    <w:rsid w:val="00EE5C0D"/>
    <w:rsid w:val="00EF23D2"/>
    <w:rsid w:val="00F072C6"/>
    <w:rsid w:val="00F10E72"/>
    <w:rsid w:val="00F1362E"/>
    <w:rsid w:val="00F14403"/>
    <w:rsid w:val="00F27F64"/>
    <w:rsid w:val="00F30325"/>
    <w:rsid w:val="00F45EB6"/>
    <w:rsid w:val="00F833A5"/>
    <w:rsid w:val="00FB45D2"/>
    <w:rsid w:val="00FD14F5"/>
    <w:rsid w:val="00FF047D"/>
    <w:rsid w:val="01596ED8"/>
    <w:rsid w:val="031B4C4F"/>
    <w:rsid w:val="13E5FD99"/>
    <w:rsid w:val="1425330C"/>
    <w:rsid w:val="175CA5E4"/>
    <w:rsid w:val="1D6C166A"/>
    <w:rsid w:val="22952F77"/>
    <w:rsid w:val="36AE170D"/>
    <w:rsid w:val="3A436724"/>
    <w:rsid w:val="49DE6236"/>
    <w:rsid w:val="7D97E0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3F18"/>
  <w15:chartTrackingRefBased/>
  <w15:docId w15:val="{6DB32C9A-E144-C043-B922-E5478C3E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FB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sultsublistitem1">
    <w:name w:val="resultsublistitem1"/>
    <w:basedOn w:val="DefaultParagraphFont"/>
    <w:rsid w:val="001B7FB8"/>
    <w:rPr>
      <w:rFonts w:ascii="Arial" w:hAnsi="Arial" w:cs="Arial"/>
      <w:sz w:val="16"/>
      <w:szCs w:val="16"/>
    </w:rPr>
  </w:style>
  <w:style w:type="paragraph" w:styleId="Title">
    <w:name w:val="Title"/>
    <w:basedOn w:val="Normal"/>
    <w:link w:val="TitleChar"/>
    <w:qFormat/>
    <w:rsid w:val="001B7FB8"/>
    <w:pPr>
      <w:autoSpaceDE w:val="0"/>
      <w:autoSpaceDN w:val="0"/>
      <w:jc w:val="center"/>
    </w:pPr>
    <w:rPr>
      <w:b/>
      <w:bCs/>
    </w:rPr>
  </w:style>
  <w:style w:type="character" w:customStyle="1" w:styleId="TitleChar">
    <w:name w:val="Title Char"/>
    <w:basedOn w:val="DefaultParagraphFont"/>
    <w:link w:val="Title"/>
    <w:rsid w:val="001B7FB8"/>
    <w:rPr>
      <w:rFonts w:ascii="Times New Roman" w:eastAsia="Times New Roman" w:hAnsi="Times New Roman" w:cs="Times New Roman"/>
      <w:b/>
      <w:bCs/>
      <w:lang w:eastAsia="en-GB"/>
    </w:rPr>
  </w:style>
  <w:style w:type="paragraph" w:styleId="ListParagraph">
    <w:name w:val="List Paragraph"/>
    <w:basedOn w:val="Normal"/>
    <w:uiPriority w:val="34"/>
    <w:qFormat/>
    <w:rsid w:val="001B7FB8"/>
    <w:pPr>
      <w:ind w:left="720"/>
      <w:contextualSpacing/>
    </w:pPr>
  </w:style>
  <w:style w:type="paragraph" w:styleId="Footer">
    <w:name w:val="footer"/>
    <w:basedOn w:val="Normal"/>
    <w:link w:val="FooterChar"/>
    <w:uiPriority w:val="99"/>
    <w:unhideWhenUsed/>
    <w:rsid w:val="00832E5F"/>
    <w:pPr>
      <w:tabs>
        <w:tab w:val="center" w:pos="4680"/>
        <w:tab w:val="right" w:pos="9360"/>
      </w:tabs>
    </w:pPr>
  </w:style>
  <w:style w:type="character" w:customStyle="1" w:styleId="FooterChar">
    <w:name w:val="Footer Char"/>
    <w:basedOn w:val="DefaultParagraphFont"/>
    <w:link w:val="Footer"/>
    <w:uiPriority w:val="99"/>
    <w:rsid w:val="00832E5F"/>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832E5F"/>
  </w:style>
  <w:style w:type="paragraph" w:styleId="BalloonText">
    <w:name w:val="Balloon Text"/>
    <w:basedOn w:val="Normal"/>
    <w:link w:val="BalloonTextChar"/>
    <w:uiPriority w:val="99"/>
    <w:semiHidden/>
    <w:unhideWhenUsed/>
    <w:rsid w:val="00952E8A"/>
    <w:rPr>
      <w:sz w:val="18"/>
      <w:szCs w:val="18"/>
    </w:rPr>
  </w:style>
  <w:style w:type="character" w:customStyle="1" w:styleId="BalloonTextChar">
    <w:name w:val="Balloon Text Char"/>
    <w:basedOn w:val="DefaultParagraphFont"/>
    <w:link w:val="BalloonText"/>
    <w:uiPriority w:val="99"/>
    <w:semiHidden/>
    <w:rsid w:val="00952E8A"/>
    <w:rPr>
      <w:rFonts w:ascii="Times New Roman" w:eastAsia="Times New Roman" w:hAnsi="Times New Roman" w:cs="Times New Roman"/>
      <w:sz w:val="18"/>
      <w:szCs w:val="18"/>
      <w:lang w:eastAsia="en-GB"/>
    </w:rPr>
  </w:style>
  <w:style w:type="character" w:styleId="CommentReference">
    <w:name w:val="annotation reference"/>
    <w:basedOn w:val="DefaultParagraphFont"/>
    <w:uiPriority w:val="99"/>
    <w:semiHidden/>
    <w:unhideWhenUsed/>
    <w:rsid w:val="00B30429"/>
    <w:rPr>
      <w:sz w:val="16"/>
      <w:szCs w:val="16"/>
    </w:rPr>
  </w:style>
  <w:style w:type="paragraph" w:styleId="CommentText">
    <w:name w:val="annotation text"/>
    <w:basedOn w:val="Normal"/>
    <w:link w:val="CommentTextChar"/>
    <w:uiPriority w:val="99"/>
    <w:semiHidden/>
    <w:unhideWhenUsed/>
    <w:rsid w:val="00B30429"/>
    <w:rPr>
      <w:sz w:val="20"/>
      <w:szCs w:val="20"/>
    </w:rPr>
  </w:style>
  <w:style w:type="character" w:customStyle="1" w:styleId="CommentTextChar">
    <w:name w:val="Comment Text Char"/>
    <w:basedOn w:val="DefaultParagraphFont"/>
    <w:link w:val="CommentText"/>
    <w:uiPriority w:val="99"/>
    <w:semiHidden/>
    <w:rsid w:val="00B3042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B30429"/>
    <w:rPr>
      <w:b/>
      <w:bCs/>
    </w:rPr>
  </w:style>
  <w:style w:type="character" w:customStyle="1" w:styleId="CommentSubjectChar">
    <w:name w:val="Comment Subject Char"/>
    <w:basedOn w:val="CommentTextChar"/>
    <w:link w:val="CommentSubject"/>
    <w:uiPriority w:val="99"/>
    <w:semiHidden/>
    <w:rsid w:val="00B30429"/>
    <w:rPr>
      <w:rFonts w:ascii="Times New Roman" w:eastAsia="Times New Roman" w:hAnsi="Times New Roman" w:cs="Times New Roman"/>
      <w:b/>
      <w:bCs/>
      <w:sz w:val="20"/>
      <w:szCs w:val="20"/>
      <w:lang w:eastAsia="en-GB"/>
    </w:rPr>
  </w:style>
  <w:style w:type="character" w:styleId="IntenseEmphasis">
    <w:name w:val="Intense Emphasis"/>
    <w:uiPriority w:val="21"/>
    <w:qFormat/>
    <w:rsid w:val="0069375F"/>
    <w:rPr>
      <w:rFonts w:ascii="Kings Caslon Text" w:hAnsi="Kings Caslon Text"/>
      <w:b/>
      <w:i/>
      <w:iCs/>
      <w:color w:val="0070C0"/>
    </w:rPr>
  </w:style>
  <w:style w:type="character" w:styleId="Hyperlink">
    <w:name w:val="Hyperlink"/>
    <w:basedOn w:val="DefaultParagraphFont"/>
    <w:uiPriority w:val="99"/>
    <w:unhideWhenUsed/>
    <w:rsid w:val="00823095"/>
    <w:rPr>
      <w:color w:val="0563C1" w:themeColor="hyperlink"/>
      <w:u w:val="single"/>
    </w:rPr>
  </w:style>
  <w:style w:type="character" w:styleId="UnresolvedMention">
    <w:name w:val="Unresolved Mention"/>
    <w:basedOn w:val="DefaultParagraphFont"/>
    <w:uiPriority w:val="99"/>
    <w:semiHidden/>
    <w:unhideWhenUsed/>
    <w:rsid w:val="00823095"/>
    <w:rPr>
      <w:color w:val="605E5C"/>
      <w:shd w:val="clear" w:color="auto" w:fill="E1DFDD"/>
    </w:rPr>
  </w:style>
  <w:style w:type="character" w:styleId="FollowedHyperlink">
    <w:name w:val="FollowedHyperlink"/>
    <w:basedOn w:val="DefaultParagraphFont"/>
    <w:uiPriority w:val="99"/>
    <w:semiHidden/>
    <w:unhideWhenUsed/>
    <w:rsid w:val="008230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13971">
      <w:bodyDiv w:val="1"/>
      <w:marLeft w:val="0"/>
      <w:marRight w:val="0"/>
      <w:marTop w:val="0"/>
      <w:marBottom w:val="0"/>
      <w:divBdr>
        <w:top w:val="none" w:sz="0" w:space="0" w:color="auto"/>
        <w:left w:val="none" w:sz="0" w:space="0" w:color="auto"/>
        <w:bottom w:val="none" w:sz="0" w:space="0" w:color="auto"/>
        <w:right w:val="none" w:sz="0" w:space="0" w:color="auto"/>
      </w:divBdr>
    </w:div>
    <w:div w:id="430663664">
      <w:bodyDiv w:val="1"/>
      <w:marLeft w:val="0"/>
      <w:marRight w:val="0"/>
      <w:marTop w:val="0"/>
      <w:marBottom w:val="0"/>
      <w:divBdr>
        <w:top w:val="none" w:sz="0" w:space="0" w:color="auto"/>
        <w:left w:val="none" w:sz="0" w:space="0" w:color="auto"/>
        <w:bottom w:val="none" w:sz="0" w:space="0" w:color="auto"/>
        <w:right w:val="none" w:sz="0" w:space="0" w:color="auto"/>
      </w:divBdr>
    </w:div>
    <w:div w:id="908341398">
      <w:bodyDiv w:val="1"/>
      <w:marLeft w:val="0"/>
      <w:marRight w:val="0"/>
      <w:marTop w:val="0"/>
      <w:marBottom w:val="0"/>
      <w:divBdr>
        <w:top w:val="none" w:sz="0" w:space="0" w:color="auto"/>
        <w:left w:val="none" w:sz="0" w:space="0" w:color="auto"/>
        <w:bottom w:val="none" w:sz="0" w:space="0" w:color="auto"/>
        <w:right w:val="none" w:sz="0" w:space="0" w:color="auto"/>
      </w:divBdr>
    </w:div>
    <w:div w:id="936787188">
      <w:bodyDiv w:val="1"/>
      <w:marLeft w:val="0"/>
      <w:marRight w:val="0"/>
      <w:marTop w:val="0"/>
      <w:marBottom w:val="0"/>
      <w:divBdr>
        <w:top w:val="none" w:sz="0" w:space="0" w:color="auto"/>
        <w:left w:val="none" w:sz="0" w:space="0" w:color="auto"/>
        <w:bottom w:val="none" w:sz="0" w:space="0" w:color="auto"/>
        <w:right w:val="none" w:sz="0" w:space="0" w:color="auto"/>
      </w:divBdr>
    </w:div>
    <w:div w:id="1115247646">
      <w:bodyDiv w:val="1"/>
      <w:marLeft w:val="0"/>
      <w:marRight w:val="0"/>
      <w:marTop w:val="0"/>
      <w:marBottom w:val="0"/>
      <w:divBdr>
        <w:top w:val="none" w:sz="0" w:space="0" w:color="auto"/>
        <w:left w:val="none" w:sz="0" w:space="0" w:color="auto"/>
        <w:bottom w:val="none" w:sz="0" w:space="0" w:color="auto"/>
        <w:right w:val="none" w:sz="0" w:space="0" w:color="auto"/>
      </w:divBdr>
    </w:div>
    <w:div w:id="1131091047">
      <w:bodyDiv w:val="1"/>
      <w:marLeft w:val="0"/>
      <w:marRight w:val="0"/>
      <w:marTop w:val="0"/>
      <w:marBottom w:val="0"/>
      <w:divBdr>
        <w:top w:val="none" w:sz="0" w:space="0" w:color="auto"/>
        <w:left w:val="none" w:sz="0" w:space="0" w:color="auto"/>
        <w:bottom w:val="none" w:sz="0" w:space="0" w:color="auto"/>
        <w:right w:val="none" w:sz="0" w:space="0" w:color="auto"/>
      </w:divBdr>
    </w:div>
    <w:div w:id="1476220277">
      <w:bodyDiv w:val="1"/>
      <w:marLeft w:val="0"/>
      <w:marRight w:val="0"/>
      <w:marTop w:val="0"/>
      <w:marBottom w:val="0"/>
      <w:divBdr>
        <w:top w:val="none" w:sz="0" w:space="0" w:color="auto"/>
        <w:left w:val="none" w:sz="0" w:space="0" w:color="auto"/>
        <w:bottom w:val="none" w:sz="0" w:space="0" w:color="auto"/>
        <w:right w:val="none" w:sz="0" w:space="0" w:color="auto"/>
      </w:divBdr>
    </w:div>
    <w:div w:id="150053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F8D05B25DBD65479F341CDCBA0DE3E0" ma:contentTypeVersion="7" ma:contentTypeDescription="Create a new document." ma:contentTypeScope="" ma:versionID="b771b457e615fe5d2a2055591f9d34e5">
  <xsd:schema xmlns:xsd="http://www.w3.org/2001/XMLSchema" xmlns:xs="http://www.w3.org/2001/XMLSchema" xmlns:p="http://schemas.microsoft.com/office/2006/metadata/properties" xmlns:ns2="c85093d1-3ffd-4cb5-81a7-333380151176" xmlns:ns3="dab24798-d3b6-4f34-9d9a-4183cf31177d" targetNamespace="http://schemas.microsoft.com/office/2006/metadata/properties" ma:root="true" ma:fieldsID="a50be4b93f2bef9a96fda66cbb4806b8" ns2:_="" ns3:_="">
    <xsd:import namespace="c85093d1-3ffd-4cb5-81a7-333380151176"/>
    <xsd:import namespace="dab24798-d3b6-4f34-9d9a-4183cf3117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093d1-3ffd-4cb5-81a7-333380151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24798-d3b6-4f34-9d9a-4183cf3117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433423-E81C-4776-B99E-F4C0FC417D44}">
  <ds:schemaRefs>
    <ds:schemaRef ds:uri="http://schemas.microsoft.com/sharepoint/v3/contenttype/forms"/>
  </ds:schemaRefs>
</ds:datastoreItem>
</file>

<file path=customXml/itemProps2.xml><?xml version="1.0" encoding="utf-8"?>
<ds:datastoreItem xmlns:ds="http://schemas.openxmlformats.org/officeDocument/2006/customXml" ds:itemID="{FAD8EE5F-DA8D-4B4A-8BBE-F2372F0A3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093d1-3ffd-4cb5-81a7-333380151176"/>
    <ds:schemaRef ds:uri="dab24798-d3b6-4f34-9d9a-4183cf3117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61563D-0931-40CE-A622-C6174560C1BA}">
  <ds:schemaRefs>
    <ds:schemaRef ds:uri="http://schemas.openxmlformats.org/officeDocument/2006/bibliography"/>
  </ds:schemaRefs>
</ds:datastoreItem>
</file>

<file path=customXml/itemProps4.xml><?xml version="1.0" encoding="utf-8"?>
<ds:datastoreItem xmlns:ds="http://schemas.openxmlformats.org/officeDocument/2006/customXml" ds:itemID="{DE5B8F9A-E16E-4B3C-BEC1-30ECEE15CF7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 Mc Grath</dc:creator>
  <cp:keywords/>
  <dc:description/>
  <cp:lastModifiedBy>Letwin, Jeremy</cp:lastModifiedBy>
  <cp:revision>180</cp:revision>
  <dcterms:created xsi:type="dcterms:W3CDTF">2021-03-01T11:34:00Z</dcterms:created>
  <dcterms:modified xsi:type="dcterms:W3CDTF">2025-10-21T09:39:00Z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0x0101000F8D05B25DBD65479F341CDCBA0DE3E0</vt:lpwstr>
  </property>
</Properties>
</file>