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C1F28" w14:textId="128329D6" w:rsidR="001B7FB8" w:rsidRDefault="00732614" w:rsidP="001B7FB8">
      <w:pPr>
        <w:jc w:val="center"/>
        <w:rPr>
          <w:rFonts w:ascii="Palatino Linotype" w:hAnsi="Palatino Linotype"/>
          <w:b/>
        </w:rPr>
      </w:pPr>
      <w:r w:rsidRPr="00732614">
        <w:rPr>
          <w:rFonts w:ascii="Palatino Linotype" w:hAnsi="Palatino Linotype"/>
          <w:b/>
          <w:u w:val="single"/>
        </w:rPr>
        <w:t xml:space="preserve">WEEK </w:t>
      </w:r>
      <w:r w:rsidR="00E304AA">
        <w:rPr>
          <w:rFonts w:ascii="Palatino Linotype" w:hAnsi="Palatino Linotype"/>
          <w:b/>
          <w:u w:val="single"/>
        </w:rPr>
        <w:t>6</w:t>
      </w:r>
    </w:p>
    <w:p w14:paraId="3E0E395A" w14:textId="42BAFD86" w:rsidR="00732614" w:rsidRDefault="00732614" w:rsidP="001B7FB8">
      <w:pPr>
        <w:jc w:val="center"/>
        <w:rPr>
          <w:rFonts w:ascii="Palatino Linotype" w:hAnsi="Palatino Linotype"/>
          <w:b/>
        </w:rPr>
      </w:pPr>
    </w:p>
    <w:p w14:paraId="1A9CD0A1" w14:textId="1217C50D" w:rsidR="00732614" w:rsidRPr="0019314B" w:rsidRDefault="00E304AA" w:rsidP="001B7FB8">
      <w:pPr>
        <w:jc w:val="center"/>
        <w:rPr>
          <w:rFonts w:ascii="Palatino Linotype" w:hAnsi="Palatino Linotype"/>
          <w:b/>
        </w:rPr>
      </w:pPr>
      <w:r>
        <w:rPr>
          <w:rFonts w:ascii="Palatino Linotype" w:hAnsi="Palatino Linotype"/>
          <w:b/>
        </w:rPr>
        <w:t>SPECIAL DUTY PROBLEMS: PURE ECONOMIC LOSS</w:t>
      </w:r>
    </w:p>
    <w:p w14:paraId="4A1A6446" w14:textId="77777777" w:rsidR="001B7FB8" w:rsidRPr="0019314B" w:rsidRDefault="001B7FB8" w:rsidP="001B7FB8">
      <w:pPr>
        <w:rPr>
          <w:rFonts w:ascii="Palatino Linotype" w:hAnsi="Palatino Linotype" w:cs="Palatino Linotype"/>
          <w:b/>
          <w:smallCaps/>
          <w:color w:val="FF0000"/>
          <w:sz w:val="28"/>
          <w:u w:val="single"/>
        </w:rPr>
      </w:pPr>
    </w:p>
    <w:p w14:paraId="65083D7F" w14:textId="1ECC5411" w:rsidR="00A020E1" w:rsidRDefault="00C4065E" w:rsidP="00A020E1">
      <w:pPr>
        <w:widowControl w:val="0"/>
        <w:autoSpaceDE w:val="0"/>
        <w:autoSpaceDN w:val="0"/>
        <w:adjustRightInd w:val="0"/>
        <w:jc w:val="both"/>
        <w:rPr>
          <w:rFonts w:ascii="Palatino Linotype" w:hAnsi="Palatino Linotype" w:cs="Palatino Linotype"/>
          <w:color w:val="000000" w:themeColor="text1"/>
        </w:rPr>
      </w:pPr>
      <w:r>
        <w:rPr>
          <w:rFonts w:ascii="Palatino Linotype" w:hAnsi="Palatino Linotype" w:cs="Palatino Linotype"/>
          <w:color w:val="000000" w:themeColor="text1"/>
        </w:rPr>
        <w:t xml:space="preserve">This week we return to the first stage of negligence: the ‘duty of care’. In week 2, we looked at the </w:t>
      </w:r>
      <w:r w:rsidR="00472988">
        <w:rPr>
          <w:rFonts w:ascii="Palatino Linotype" w:hAnsi="Palatino Linotype" w:cs="Palatino Linotype"/>
          <w:color w:val="000000" w:themeColor="text1"/>
        </w:rPr>
        <w:t xml:space="preserve">basic </w:t>
      </w:r>
      <w:r>
        <w:rPr>
          <w:rFonts w:ascii="Palatino Linotype" w:hAnsi="Palatino Linotype" w:cs="Palatino Linotype"/>
          <w:color w:val="000000" w:themeColor="text1"/>
        </w:rPr>
        <w:t xml:space="preserve">‘established categories’ approach to duty of care set out in the </w:t>
      </w:r>
      <w:r>
        <w:rPr>
          <w:rFonts w:ascii="Palatino Linotype" w:hAnsi="Palatino Linotype" w:cs="Palatino Linotype"/>
          <w:i/>
          <w:iCs/>
          <w:color w:val="000000" w:themeColor="text1"/>
        </w:rPr>
        <w:t xml:space="preserve">Robinson </w:t>
      </w:r>
      <w:r>
        <w:rPr>
          <w:rFonts w:ascii="Palatino Linotype" w:hAnsi="Palatino Linotype" w:cs="Palatino Linotype"/>
          <w:color w:val="000000" w:themeColor="text1"/>
        </w:rPr>
        <w:t>case</w:t>
      </w:r>
      <w:r w:rsidR="00472988">
        <w:rPr>
          <w:rFonts w:ascii="Palatino Linotype" w:hAnsi="Palatino Linotype" w:cs="Palatino Linotype"/>
          <w:color w:val="000000" w:themeColor="text1"/>
        </w:rPr>
        <w:t xml:space="preserve"> </w:t>
      </w:r>
      <w:r>
        <w:rPr>
          <w:rFonts w:ascii="Palatino Linotype" w:hAnsi="Palatino Linotype" w:cs="Palatino Linotype"/>
          <w:color w:val="000000" w:themeColor="text1"/>
        </w:rPr>
        <w:t xml:space="preserve">and explained in </w:t>
      </w:r>
      <w:r>
        <w:rPr>
          <w:rFonts w:ascii="Palatino Linotype" w:hAnsi="Palatino Linotype" w:cs="Palatino Linotype"/>
          <w:i/>
          <w:iCs/>
          <w:color w:val="000000" w:themeColor="text1"/>
        </w:rPr>
        <w:t>Darnley</w:t>
      </w:r>
      <w:r w:rsidR="00472988">
        <w:rPr>
          <w:rFonts w:ascii="Palatino Linotype" w:hAnsi="Palatino Linotype" w:cs="Palatino Linotype"/>
          <w:color w:val="000000" w:themeColor="text1"/>
        </w:rPr>
        <w:t>. We saw that establishing a duty of care is</w:t>
      </w:r>
      <w:r w:rsidR="000C5F16">
        <w:rPr>
          <w:rFonts w:ascii="Palatino Linotype" w:hAnsi="Palatino Linotype" w:cs="Palatino Linotype"/>
          <w:color w:val="000000" w:themeColor="text1"/>
        </w:rPr>
        <w:t xml:space="preserve"> simple</w:t>
      </w:r>
      <w:r w:rsidR="00472988">
        <w:rPr>
          <w:rFonts w:ascii="Palatino Linotype" w:hAnsi="Palatino Linotype" w:cs="Palatino Linotype"/>
          <w:color w:val="000000" w:themeColor="text1"/>
        </w:rPr>
        <w:t xml:space="preserve"> where D does an act which reasonably foreseeably causes C physical injury or property damage. However, establishing a duty of care is not always so simple.</w:t>
      </w:r>
    </w:p>
    <w:p w14:paraId="10884BDC" w14:textId="77777777" w:rsidR="00472988" w:rsidRDefault="00472988" w:rsidP="00A020E1">
      <w:pPr>
        <w:widowControl w:val="0"/>
        <w:autoSpaceDE w:val="0"/>
        <w:autoSpaceDN w:val="0"/>
        <w:adjustRightInd w:val="0"/>
        <w:jc w:val="both"/>
        <w:rPr>
          <w:rFonts w:ascii="Palatino Linotype" w:hAnsi="Palatino Linotype" w:cs="Palatino Linotype"/>
          <w:color w:val="000000" w:themeColor="text1"/>
        </w:rPr>
      </w:pPr>
    </w:p>
    <w:p w14:paraId="54B0179C" w14:textId="0B82A550" w:rsidR="00472988" w:rsidRDefault="00AF527A" w:rsidP="00A020E1">
      <w:pPr>
        <w:widowControl w:val="0"/>
        <w:autoSpaceDE w:val="0"/>
        <w:autoSpaceDN w:val="0"/>
        <w:adjustRightInd w:val="0"/>
        <w:jc w:val="both"/>
        <w:rPr>
          <w:rFonts w:ascii="Palatino Linotype" w:hAnsi="Palatino Linotype" w:cs="Palatino Linotype"/>
          <w:color w:val="000000" w:themeColor="text1"/>
        </w:rPr>
      </w:pPr>
      <w:r>
        <w:rPr>
          <w:rFonts w:ascii="Palatino Linotype" w:hAnsi="Palatino Linotype" w:cs="Palatino Linotype"/>
          <w:color w:val="000000" w:themeColor="text1"/>
        </w:rPr>
        <w:t>Here,</w:t>
      </w:r>
      <w:r w:rsidR="00472988">
        <w:rPr>
          <w:rFonts w:ascii="Palatino Linotype" w:hAnsi="Palatino Linotype" w:cs="Palatino Linotype"/>
          <w:color w:val="000000" w:themeColor="text1"/>
        </w:rPr>
        <w:t xml:space="preserve"> we cover the first of the situations in which establishing a duty of care is not so simple: cases of </w:t>
      </w:r>
      <w:r w:rsidR="007D2F02">
        <w:rPr>
          <w:rFonts w:ascii="Palatino Linotype" w:hAnsi="Palatino Linotype" w:cs="Palatino Linotype"/>
          <w:color w:val="000000" w:themeColor="text1"/>
        </w:rPr>
        <w:t>‘</w:t>
      </w:r>
      <w:r w:rsidR="00472988">
        <w:rPr>
          <w:rFonts w:ascii="Palatino Linotype" w:hAnsi="Palatino Linotype" w:cs="Palatino Linotype"/>
          <w:color w:val="000000" w:themeColor="text1"/>
        </w:rPr>
        <w:t>pure</w:t>
      </w:r>
      <w:r w:rsidR="007D2F02">
        <w:rPr>
          <w:rFonts w:ascii="Palatino Linotype" w:hAnsi="Palatino Linotype" w:cs="Palatino Linotype"/>
          <w:color w:val="000000" w:themeColor="text1"/>
        </w:rPr>
        <w:t>’</w:t>
      </w:r>
      <w:r w:rsidR="00472988">
        <w:rPr>
          <w:rFonts w:ascii="Palatino Linotype" w:hAnsi="Palatino Linotype" w:cs="Palatino Linotype"/>
          <w:color w:val="000000" w:themeColor="text1"/>
        </w:rPr>
        <w:t xml:space="preserve"> economic loss. </w:t>
      </w:r>
      <w:r w:rsidR="00AD00B0">
        <w:rPr>
          <w:rFonts w:ascii="Palatino Linotype" w:hAnsi="Palatino Linotype" w:cs="Palatino Linotype"/>
          <w:color w:val="000000" w:themeColor="text1"/>
        </w:rPr>
        <w:t xml:space="preserve">The economic loss is said to be ‘pure’ because it is not connected to personal injury or property damage. Where economic loss is consequent on these types of damages it will be easily recoverable – for example, a person who suffers physical injury may easily claim for the money they lost </w:t>
      </w:r>
      <w:r w:rsidR="007D2F02">
        <w:rPr>
          <w:rFonts w:ascii="Palatino Linotype" w:hAnsi="Palatino Linotype" w:cs="Palatino Linotype"/>
          <w:color w:val="000000" w:themeColor="text1"/>
        </w:rPr>
        <w:t>because of</w:t>
      </w:r>
      <w:r w:rsidR="00AD00B0">
        <w:rPr>
          <w:rFonts w:ascii="Palatino Linotype" w:hAnsi="Palatino Linotype" w:cs="Palatino Linotype"/>
          <w:color w:val="000000" w:themeColor="text1"/>
        </w:rPr>
        <w:t xml:space="preserve"> not being able to work. The difficulties arise </w:t>
      </w:r>
      <w:r w:rsidR="007D2F02">
        <w:rPr>
          <w:rFonts w:ascii="Palatino Linotype" w:hAnsi="Palatino Linotype" w:cs="Palatino Linotype"/>
          <w:color w:val="000000" w:themeColor="text1"/>
        </w:rPr>
        <w:t xml:space="preserve">only </w:t>
      </w:r>
      <w:r w:rsidR="00AD00B0">
        <w:rPr>
          <w:rFonts w:ascii="Palatino Linotype" w:hAnsi="Palatino Linotype" w:cs="Palatino Linotype"/>
          <w:color w:val="000000" w:themeColor="text1"/>
        </w:rPr>
        <w:t>when someone has suffered ‘pure’ economic loss.</w:t>
      </w:r>
    </w:p>
    <w:p w14:paraId="212F585F" w14:textId="77777777" w:rsidR="007D2F02" w:rsidRDefault="007D2F02" w:rsidP="00A020E1">
      <w:pPr>
        <w:widowControl w:val="0"/>
        <w:autoSpaceDE w:val="0"/>
        <w:autoSpaceDN w:val="0"/>
        <w:adjustRightInd w:val="0"/>
        <w:jc w:val="both"/>
        <w:rPr>
          <w:rFonts w:ascii="Palatino Linotype" w:hAnsi="Palatino Linotype" w:cs="Palatino Linotype"/>
          <w:color w:val="000000" w:themeColor="text1"/>
        </w:rPr>
      </w:pPr>
    </w:p>
    <w:p w14:paraId="643CF21A" w14:textId="3C09E765" w:rsidR="00D10FED" w:rsidRDefault="009D2B51" w:rsidP="0069375F">
      <w:pPr>
        <w:jc w:val="both"/>
        <w:rPr>
          <w:rFonts w:ascii="Palatino Linotype" w:hAnsi="Palatino Linotype" w:cs="Palatino Linotype"/>
          <w:color w:val="000000" w:themeColor="text1"/>
        </w:rPr>
      </w:pPr>
      <w:r w:rsidRPr="009D2B51">
        <w:rPr>
          <w:rFonts w:ascii="Palatino Linotype" w:hAnsi="Palatino Linotype" w:cs="Palatino Linotype"/>
          <w:color w:val="000000" w:themeColor="text1"/>
        </w:rPr>
        <w:t xml:space="preserve">A key policy limitation in the ‘pure’ economic loss cases is the so-called fear of opening the ‘floodgates’. As Cardozo CJ put it, in one of the great dicta of the common law, a broad duty to compensate for pure economic loss would risk: ‘Liability in an indeterminate amount for an indeterminate time to an indeterminate class’, </w:t>
      </w:r>
      <w:proofErr w:type="spellStart"/>
      <w:r w:rsidRPr="009D2B51">
        <w:rPr>
          <w:rFonts w:ascii="Palatino Linotype" w:hAnsi="Palatino Linotype" w:cs="Palatino Linotype"/>
          <w:i/>
          <w:iCs/>
          <w:color w:val="000000" w:themeColor="text1"/>
        </w:rPr>
        <w:t>Ultramares</w:t>
      </w:r>
      <w:proofErr w:type="spellEnd"/>
      <w:r w:rsidRPr="009D2B51">
        <w:rPr>
          <w:rFonts w:ascii="Palatino Linotype" w:hAnsi="Palatino Linotype" w:cs="Palatino Linotype"/>
          <w:i/>
          <w:iCs/>
          <w:color w:val="000000" w:themeColor="text1"/>
        </w:rPr>
        <w:t xml:space="preserve"> Corp. v Touche</w:t>
      </w:r>
      <w:r w:rsidRPr="009D2B51">
        <w:rPr>
          <w:rFonts w:ascii="Palatino Linotype" w:hAnsi="Palatino Linotype" w:cs="Palatino Linotype"/>
          <w:color w:val="000000" w:themeColor="text1"/>
        </w:rPr>
        <w:t xml:space="preserve"> (1931) 255 NY 170, 179. A key question to keep in your mind this week, is whether that fear, or the judicial response to it, is justified?</w:t>
      </w:r>
    </w:p>
    <w:p w14:paraId="7539CB5C" w14:textId="77777777" w:rsidR="00F86317" w:rsidRDefault="00F86317" w:rsidP="0069375F">
      <w:pPr>
        <w:jc w:val="both"/>
        <w:rPr>
          <w:rFonts w:ascii="Palatino Linotype" w:hAnsi="Palatino Linotype" w:cs="Palatino Linotype"/>
          <w:color w:val="000000" w:themeColor="text1"/>
        </w:rPr>
      </w:pPr>
    </w:p>
    <w:p w14:paraId="194E245B" w14:textId="5F717315" w:rsidR="00F86317" w:rsidRDefault="00F86317" w:rsidP="0069375F">
      <w:pPr>
        <w:jc w:val="both"/>
        <w:rPr>
          <w:rFonts w:ascii="Palatino Linotype" w:hAnsi="Palatino Linotype" w:cs="Palatino Linotype"/>
          <w:color w:val="000000" w:themeColor="text1"/>
        </w:rPr>
      </w:pPr>
      <w:r>
        <w:rPr>
          <w:rFonts w:ascii="Palatino Linotype" w:hAnsi="Palatino Linotype" w:cs="Palatino Linotype"/>
          <w:color w:val="000000" w:themeColor="text1"/>
        </w:rPr>
        <w:t xml:space="preserve">This is an especially complex area of law, and the precise rules which determine when a defendant owes a duty of care not to cause pure economic loss are difficult to state simply – and indeed, they are contested. Although the chapter in H&amp;R is good, it is far from enough on its own to understand this area of law. You may find it useful to turn to the other two textbooks I have mentioned if </w:t>
      </w:r>
      <w:r w:rsidR="002E5E40">
        <w:rPr>
          <w:rFonts w:ascii="Palatino Linotype" w:hAnsi="Palatino Linotype" w:cs="Palatino Linotype"/>
          <w:color w:val="000000" w:themeColor="text1"/>
        </w:rPr>
        <w:t xml:space="preserve">you are </w:t>
      </w:r>
      <w:r>
        <w:rPr>
          <w:rFonts w:ascii="Palatino Linotype" w:hAnsi="Palatino Linotype" w:cs="Palatino Linotype"/>
          <w:color w:val="000000" w:themeColor="text1"/>
        </w:rPr>
        <w:t>struggling to understand th</w:t>
      </w:r>
      <w:r w:rsidR="002E5E40">
        <w:rPr>
          <w:rFonts w:ascii="Palatino Linotype" w:hAnsi="Palatino Linotype" w:cs="Palatino Linotype"/>
          <w:color w:val="000000" w:themeColor="text1"/>
        </w:rPr>
        <w:t xml:space="preserve">is </w:t>
      </w:r>
      <w:r>
        <w:rPr>
          <w:rFonts w:ascii="Palatino Linotype" w:hAnsi="Palatino Linotype" w:cs="Palatino Linotype"/>
          <w:color w:val="000000" w:themeColor="text1"/>
        </w:rPr>
        <w:t>area</w:t>
      </w:r>
      <w:r w:rsidR="002E5E40">
        <w:rPr>
          <w:rFonts w:ascii="Palatino Linotype" w:hAnsi="Palatino Linotype" w:cs="Palatino Linotype"/>
          <w:color w:val="000000" w:themeColor="text1"/>
        </w:rPr>
        <w:t xml:space="preserve"> of law</w:t>
      </w:r>
      <w:r>
        <w:rPr>
          <w:rFonts w:ascii="Palatino Linotype" w:hAnsi="Palatino Linotype" w:cs="Palatino Linotype"/>
          <w:color w:val="000000" w:themeColor="text1"/>
        </w:rPr>
        <w:t>, and to Donal Nolan’s article in the additional reading. Paying close attention to the lectures will also help, where I will cover a lot of material which is not covered in the basic readings.</w:t>
      </w:r>
    </w:p>
    <w:p w14:paraId="14CB3154" w14:textId="77777777" w:rsidR="00855FDA" w:rsidRDefault="00855FDA" w:rsidP="0069375F">
      <w:pPr>
        <w:jc w:val="both"/>
        <w:rPr>
          <w:rFonts w:ascii="Palatino Linotype" w:hAnsi="Palatino Linotype" w:cs="Palatino Linotype"/>
          <w:color w:val="000000" w:themeColor="text1"/>
        </w:rPr>
      </w:pPr>
    </w:p>
    <w:p w14:paraId="18CC8D03" w14:textId="66312359" w:rsidR="00855FDA" w:rsidRPr="00855FDA" w:rsidRDefault="00855FDA" w:rsidP="0069375F">
      <w:pPr>
        <w:jc w:val="both"/>
        <w:rPr>
          <w:rFonts w:ascii="Palatino Linotype" w:hAnsi="Palatino Linotype" w:cs="Palatino Linotype"/>
          <w:color w:val="000000" w:themeColor="text1"/>
        </w:rPr>
      </w:pPr>
      <w:r>
        <w:rPr>
          <w:rFonts w:ascii="Palatino Linotype" w:hAnsi="Palatino Linotype" w:cs="Palatino Linotype"/>
          <w:color w:val="000000" w:themeColor="text1"/>
        </w:rPr>
        <w:t xml:space="preserve">N.b. </w:t>
      </w:r>
      <w:r w:rsidR="000343EF">
        <w:rPr>
          <w:rFonts w:ascii="Palatino Linotype" w:hAnsi="Palatino Linotype" w:cs="Palatino Linotype"/>
          <w:color w:val="000000" w:themeColor="text1"/>
        </w:rPr>
        <w:t xml:space="preserve">an important health warning: </w:t>
      </w:r>
      <w:r>
        <w:rPr>
          <w:rFonts w:ascii="Palatino Linotype" w:hAnsi="Palatino Linotype" w:cs="Palatino Linotype"/>
          <w:color w:val="000000" w:themeColor="text1"/>
        </w:rPr>
        <w:t xml:space="preserve">when reading the cases, be sure to bear in mind what you learned in week 2 about the new approach to duty of care ushered in by the </w:t>
      </w:r>
      <w:r>
        <w:rPr>
          <w:rFonts w:ascii="Palatino Linotype" w:hAnsi="Palatino Linotype" w:cs="Palatino Linotype"/>
          <w:i/>
          <w:iCs/>
          <w:color w:val="000000" w:themeColor="text1"/>
        </w:rPr>
        <w:t xml:space="preserve">Robinson </w:t>
      </w:r>
      <w:r>
        <w:rPr>
          <w:rFonts w:ascii="Palatino Linotype" w:hAnsi="Palatino Linotype" w:cs="Palatino Linotype"/>
          <w:color w:val="000000" w:themeColor="text1"/>
        </w:rPr>
        <w:t xml:space="preserve">case. </w:t>
      </w:r>
      <w:r w:rsidRPr="002F6ADB">
        <w:rPr>
          <w:rFonts w:ascii="Palatino Linotype" w:hAnsi="Palatino Linotype" w:cs="Palatino Linotype"/>
          <w:color w:val="000000" w:themeColor="text1"/>
          <w:u w:val="single"/>
        </w:rPr>
        <w:t xml:space="preserve">Remember that the law has changed recently and there is no longer a ‘three stage </w:t>
      </w:r>
      <w:r w:rsidRPr="002F6ADB">
        <w:rPr>
          <w:rFonts w:ascii="Palatino Linotype" w:hAnsi="Palatino Linotype" w:cs="Palatino Linotype"/>
          <w:i/>
          <w:iCs/>
          <w:color w:val="000000" w:themeColor="text1"/>
          <w:u w:val="single"/>
        </w:rPr>
        <w:t xml:space="preserve">Caparo </w:t>
      </w:r>
      <w:r w:rsidRPr="002F6ADB">
        <w:rPr>
          <w:rFonts w:ascii="Palatino Linotype" w:hAnsi="Palatino Linotype" w:cs="Palatino Linotype"/>
          <w:color w:val="000000" w:themeColor="text1"/>
          <w:u w:val="single"/>
        </w:rPr>
        <w:t>test’</w:t>
      </w:r>
      <w:r>
        <w:rPr>
          <w:rFonts w:ascii="Palatino Linotype" w:hAnsi="Palatino Linotype" w:cs="Palatino Linotype"/>
          <w:color w:val="000000" w:themeColor="text1"/>
        </w:rPr>
        <w:t>! Lots of the cases refer to this, and you must be careful to remember these were written before the law changed, and that some of the reasoning in these cases is no longer a good guide to the law as it stands today.</w:t>
      </w:r>
    </w:p>
    <w:p w14:paraId="0804D0F6" w14:textId="77777777" w:rsidR="00056843" w:rsidRDefault="00056843" w:rsidP="0069375F">
      <w:pPr>
        <w:jc w:val="both"/>
        <w:rPr>
          <w:rFonts w:ascii="Palatino Linotype" w:hAnsi="Palatino Linotype" w:cs="Palatino Linotype"/>
          <w:color w:val="FF0000"/>
        </w:rPr>
      </w:pPr>
    </w:p>
    <w:p w14:paraId="02D7CD3A" w14:textId="77777777" w:rsidR="005E1E80" w:rsidRPr="0019314B" w:rsidRDefault="005E1E80" w:rsidP="0069375F">
      <w:pPr>
        <w:jc w:val="both"/>
        <w:rPr>
          <w:rFonts w:ascii="Palatino Linotype" w:hAnsi="Palatino Linotype" w:cs="Palatino Linotype"/>
          <w:color w:val="FF0000"/>
        </w:rPr>
      </w:pPr>
    </w:p>
    <w:p w14:paraId="597CD0AE" w14:textId="6324B6ED" w:rsidR="00A00151" w:rsidRPr="0019314B" w:rsidRDefault="00A00151" w:rsidP="0069375F">
      <w:pPr>
        <w:jc w:val="both"/>
        <w:rPr>
          <w:rFonts w:ascii="Palatino Linotype" w:hAnsi="Palatino Linotype" w:cs="Palatino Linotype"/>
          <w:b/>
          <w:bCs/>
          <w:color w:val="000000" w:themeColor="text1"/>
        </w:rPr>
      </w:pPr>
      <w:r w:rsidRPr="0019314B">
        <w:rPr>
          <w:rFonts w:ascii="Palatino Linotype" w:hAnsi="Palatino Linotype" w:cs="Palatino Linotype"/>
          <w:b/>
          <w:bCs/>
          <w:color w:val="000000" w:themeColor="text1"/>
        </w:rPr>
        <w:lastRenderedPageBreak/>
        <w:t>Textbook</w:t>
      </w:r>
      <w:r w:rsidR="0004734B" w:rsidRPr="0019314B">
        <w:rPr>
          <w:rFonts w:ascii="Palatino Linotype" w:hAnsi="Palatino Linotype" w:cs="Palatino Linotype"/>
          <w:b/>
          <w:bCs/>
          <w:color w:val="000000" w:themeColor="text1"/>
        </w:rPr>
        <w:t>s</w:t>
      </w:r>
    </w:p>
    <w:p w14:paraId="46D05259" w14:textId="34AF9DA8" w:rsidR="00A00151" w:rsidRDefault="00A00151" w:rsidP="0069375F">
      <w:pPr>
        <w:jc w:val="both"/>
        <w:rPr>
          <w:rFonts w:ascii="Palatino Linotype" w:hAnsi="Palatino Linotype" w:cs="Palatino Linotype"/>
          <w:b/>
          <w:bCs/>
          <w:color w:val="0070C0"/>
        </w:rPr>
      </w:pPr>
      <w:r w:rsidRPr="0019314B">
        <w:rPr>
          <w:rFonts w:ascii="Palatino Linotype" w:hAnsi="Palatino Linotype" w:cs="Palatino Linotype"/>
          <w:b/>
          <w:bCs/>
          <w:color w:val="0070C0"/>
        </w:rPr>
        <w:t>*H&amp;R, Ch.</w:t>
      </w:r>
      <w:r w:rsidR="00E74379">
        <w:rPr>
          <w:rFonts w:ascii="Palatino Linotype" w:hAnsi="Palatino Linotype" w:cs="Palatino Linotype"/>
          <w:b/>
          <w:bCs/>
          <w:color w:val="0070C0"/>
        </w:rPr>
        <w:t>7</w:t>
      </w:r>
      <w:r w:rsidRPr="0019314B">
        <w:rPr>
          <w:rFonts w:ascii="Palatino Linotype" w:hAnsi="Palatino Linotype" w:cs="Palatino Linotype"/>
          <w:b/>
          <w:bCs/>
          <w:color w:val="0070C0"/>
        </w:rPr>
        <w:t xml:space="preserve"> – </w:t>
      </w:r>
      <w:r w:rsidR="00E74379">
        <w:rPr>
          <w:rFonts w:ascii="Palatino Linotype" w:hAnsi="Palatino Linotype" w:cs="Palatino Linotype"/>
          <w:b/>
          <w:bCs/>
          <w:color w:val="0070C0"/>
        </w:rPr>
        <w:t>‘Special Duty Problems: Economic Loss’</w:t>
      </w:r>
      <w:r w:rsidRPr="0019314B">
        <w:rPr>
          <w:rFonts w:ascii="Palatino Linotype" w:hAnsi="Palatino Linotype" w:cs="Palatino Linotype"/>
          <w:b/>
          <w:bCs/>
          <w:color w:val="0070C0"/>
        </w:rPr>
        <w:t xml:space="preserve"> </w:t>
      </w:r>
    </w:p>
    <w:p w14:paraId="7FA44361" w14:textId="5A858BE6" w:rsidR="000A07F6" w:rsidRDefault="000A07F6" w:rsidP="0069375F">
      <w:pPr>
        <w:jc w:val="both"/>
        <w:rPr>
          <w:rFonts w:ascii="Palatino Linotype" w:hAnsi="Palatino Linotype" w:cs="Palatino Linotype"/>
          <w:color w:val="000000" w:themeColor="text1"/>
        </w:rPr>
      </w:pPr>
      <w:r w:rsidRPr="00744FF4">
        <w:rPr>
          <w:rFonts w:ascii="Palatino Linotype" w:hAnsi="Palatino Linotype" w:cs="Palatino Linotype"/>
          <w:color w:val="000000" w:themeColor="text1"/>
        </w:rPr>
        <w:t xml:space="preserve">J </w:t>
      </w:r>
      <w:proofErr w:type="spellStart"/>
      <w:r w:rsidRPr="00744FF4">
        <w:rPr>
          <w:rFonts w:ascii="Palatino Linotype" w:hAnsi="Palatino Linotype" w:cs="Palatino Linotype"/>
          <w:color w:val="000000" w:themeColor="text1"/>
        </w:rPr>
        <w:t>Goudkamp</w:t>
      </w:r>
      <w:proofErr w:type="spellEnd"/>
      <w:r w:rsidRPr="00744FF4">
        <w:rPr>
          <w:rFonts w:ascii="Palatino Linotype" w:hAnsi="Palatino Linotype" w:cs="Palatino Linotype"/>
          <w:color w:val="000000" w:themeColor="text1"/>
        </w:rPr>
        <w:t xml:space="preserve"> and D Nolan, </w:t>
      </w:r>
      <w:r w:rsidRPr="00744FF4">
        <w:rPr>
          <w:rFonts w:ascii="Palatino Linotype" w:hAnsi="Palatino Linotype" w:cs="Palatino Linotype"/>
          <w:i/>
          <w:iCs/>
          <w:color w:val="000000" w:themeColor="text1"/>
        </w:rPr>
        <w:t xml:space="preserve">Winfield and </w:t>
      </w:r>
      <w:proofErr w:type="spellStart"/>
      <w:r w:rsidRPr="00744FF4">
        <w:rPr>
          <w:rFonts w:ascii="Palatino Linotype" w:hAnsi="Palatino Linotype" w:cs="Palatino Linotype"/>
          <w:i/>
          <w:iCs/>
          <w:color w:val="000000" w:themeColor="text1"/>
        </w:rPr>
        <w:t>Jolowicz</w:t>
      </w:r>
      <w:proofErr w:type="spellEnd"/>
      <w:r w:rsidRPr="00744FF4">
        <w:rPr>
          <w:rFonts w:ascii="Palatino Linotype" w:hAnsi="Palatino Linotype" w:cs="Palatino Linotype"/>
          <w:i/>
          <w:iCs/>
          <w:color w:val="000000" w:themeColor="text1"/>
        </w:rPr>
        <w:t xml:space="preserve"> on Tort</w:t>
      </w:r>
      <w:r w:rsidRPr="00744FF4">
        <w:rPr>
          <w:rFonts w:ascii="Palatino Linotype" w:hAnsi="Palatino Linotype" w:cs="Palatino Linotype"/>
          <w:color w:val="000000" w:themeColor="text1"/>
        </w:rPr>
        <w:t xml:space="preserve"> (20th </w:t>
      </w:r>
      <w:proofErr w:type="spellStart"/>
      <w:r w:rsidRPr="00744FF4">
        <w:rPr>
          <w:rFonts w:ascii="Palatino Linotype" w:hAnsi="Palatino Linotype" w:cs="Palatino Linotype"/>
          <w:color w:val="000000" w:themeColor="text1"/>
        </w:rPr>
        <w:t>edn</w:t>
      </w:r>
      <w:proofErr w:type="spellEnd"/>
      <w:r w:rsidRPr="00744FF4">
        <w:rPr>
          <w:rFonts w:ascii="Palatino Linotype" w:hAnsi="Palatino Linotype" w:cs="Palatino Linotype"/>
          <w:color w:val="000000" w:themeColor="text1"/>
        </w:rPr>
        <w:t>, Sweet and Maxwell, 2020),</w:t>
      </w:r>
      <w:r>
        <w:rPr>
          <w:rFonts w:ascii="Palatino Linotype" w:hAnsi="Palatino Linotype" w:cs="Palatino Linotype"/>
          <w:color w:val="000000" w:themeColor="text1"/>
        </w:rPr>
        <w:t xml:space="preserve"> pp.100-110 (sections 5-040 to 5-055) AND pp.323-339, Chapter 12(3) ‘Liability for Negligent Misstatement’ (sections 12-026 to 12-0251)</w:t>
      </w:r>
    </w:p>
    <w:p w14:paraId="617E2541" w14:textId="6767116A" w:rsidR="00F86317" w:rsidRPr="00F86317" w:rsidRDefault="00F86317" w:rsidP="0069375F">
      <w:pPr>
        <w:jc w:val="both"/>
        <w:rPr>
          <w:rFonts w:ascii="Palatino Linotype" w:hAnsi="Palatino Linotype" w:cs="Palatino Linotype"/>
          <w:color w:val="000000" w:themeColor="text1"/>
          <w:u w:val="single"/>
        </w:rPr>
      </w:pPr>
      <w:r>
        <w:rPr>
          <w:rFonts w:ascii="Palatino Linotype" w:hAnsi="Palatino Linotype" w:cs="Palatino Linotype"/>
          <w:color w:val="000000" w:themeColor="text1"/>
        </w:rPr>
        <w:t xml:space="preserve">N McBride and R Bagshaw, </w:t>
      </w:r>
      <w:r>
        <w:rPr>
          <w:rFonts w:ascii="Palatino Linotype" w:hAnsi="Palatino Linotype" w:cs="Palatino Linotype"/>
          <w:i/>
          <w:iCs/>
          <w:color w:val="000000" w:themeColor="text1"/>
        </w:rPr>
        <w:t xml:space="preserve">Tort Law </w:t>
      </w:r>
      <w:r>
        <w:rPr>
          <w:rFonts w:ascii="Palatino Linotype" w:hAnsi="Palatino Linotype" w:cs="Palatino Linotype"/>
          <w:color w:val="000000" w:themeColor="text1"/>
        </w:rPr>
        <w:t>(6</w:t>
      </w:r>
      <w:r w:rsidRPr="00F86317">
        <w:rPr>
          <w:rFonts w:ascii="Palatino Linotype" w:hAnsi="Palatino Linotype" w:cs="Palatino Linotype"/>
          <w:color w:val="000000" w:themeColor="text1"/>
          <w:vertAlign w:val="superscript"/>
        </w:rPr>
        <w:t>th</w:t>
      </w:r>
      <w:r>
        <w:rPr>
          <w:rFonts w:ascii="Palatino Linotype" w:hAnsi="Palatino Linotype" w:cs="Palatino Linotype"/>
          <w:color w:val="000000" w:themeColor="text1"/>
        </w:rPr>
        <w:t xml:space="preserve"> </w:t>
      </w:r>
      <w:proofErr w:type="spellStart"/>
      <w:r>
        <w:rPr>
          <w:rFonts w:ascii="Palatino Linotype" w:hAnsi="Palatino Linotype" w:cs="Palatino Linotype"/>
          <w:color w:val="000000" w:themeColor="text1"/>
        </w:rPr>
        <w:t>edn</w:t>
      </w:r>
      <w:proofErr w:type="spellEnd"/>
      <w:r>
        <w:rPr>
          <w:rFonts w:ascii="Palatino Linotype" w:hAnsi="Palatino Linotype" w:cs="Palatino Linotype"/>
          <w:color w:val="000000" w:themeColor="text1"/>
        </w:rPr>
        <w:t>, Pearson, 2018), sections 5.9-5.13 ‘Pure Economic Loss’</w:t>
      </w:r>
    </w:p>
    <w:p w14:paraId="308BFED8" w14:textId="77777777" w:rsidR="00D10FED" w:rsidRPr="0019314B" w:rsidRDefault="00D10FED" w:rsidP="001B7FB8">
      <w:pPr>
        <w:jc w:val="both"/>
        <w:rPr>
          <w:rFonts w:ascii="Palatino Linotype" w:hAnsi="Palatino Linotype"/>
          <w:b/>
          <w:color w:val="000000" w:themeColor="text1"/>
        </w:rPr>
      </w:pPr>
    </w:p>
    <w:p w14:paraId="3935A06C" w14:textId="1120C0AA" w:rsidR="00462CB5" w:rsidRPr="0019314B" w:rsidRDefault="00462CB5" w:rsidP="001B7FB8">
      <w:pPr>
        <w:jc w:val="both"/>
        <w:rPr>
          <w:rFonts w:ascii="Palatino Linotype" w:hAnsi="Palatino Linotype"/>
          <w:b/>
          <w:color w:val="000000" w:themeColor="text1"/>
        </w:rPr>
      </w:pPr>
      <w:r w:rsidRPr="0019314B">
        <w:rPr>
          <w:rFonts w:ascii="Palatino Linotype" w:hAnsi="Palatino Linotype"/>
          <w:b/>
          <w:color w:val="000000" w:themeColor="text1"/>
        </w:rPr>
        <w:t>Core cases</w:t>
      </w:r>
    </w:p>
    <w:p w14:paraId="52D9EB6A" w14:textId="309E75B3" w:rsidR="00E20224" w:rsidRPr="00E20224" w:rsidRDefault="00E20224" w:rsidP="49DE6236">
      <w:pPr>
        <w:ind w:right="26"/>
        <w:jc w:val="both"/>
        <w:rPr>
          <w:rFonts w:ascii="Palatino Linotype" w:hAnsi="Palatino Linotype"/>
          <w:bCs/>
          <w:iCs/>
          <w:color w:val="000000" w:themeColor="text1"/>
        </w:rPr>
      </w:pPr>
      <w:r w:rsidRPr="00F45BE7">
        <w:rPr>
          <w:rFonts w:ascii="Palatino Linotype" w:hAnsi="Palatino Linotype"/>
          <w:b/>
          <w:i/>
          <w:color w:val="0070C0"/>
        </w:rPr>
        <w:t>*</w:t>
      </w:r>
      <w:r w:rsidRPr="00C53A50">
        <w:rPr>
          <w:rFonts w:ascii="Palatino Linotype" w:hAnsi="Palatino Linotype"/>
          <w:b/>
          <w:i/>
          <w:color w:val="0070C0"/>
        </w:rPr>
        <w:t>Hedley Byrne &amp; Co Ltd v Heller &amp; Partners Ltd</w:t>
      </w:r>
      <w:r w:rsidRPr="00F92BCA">
        <w:rPr>
          <w:rFonts w:ascii="Palatino Linotype" w:hAnsi="Palatino Linotype"/>
          <w:b/>
          <w:iCs/>
          <w:color w:val="0070C0"/>
        </w:rPr>
        <w:t xml:space="preserve"> </w:t>
      </w:r>
      <w:r w:rsidRPr="00F92BCA">
        <w:rPr>
          <w:rFonts w:ascii="Palatino Linotype" w:hAnsi="Palatino Linotype"/>
          <w:bCs/>
          <w:iCs/>
          <w:color w:val="000000" w:themeColor="text1"/>
        </w:rPr>
        <w:t>[1964] AC 465</w:t>
      </w:r>
    </w:p>
    <w:p w14:paraId="1C91D14B" w14:textId="1015D5E9" w:rsidR="005A0FA7" w:rsidRPr="00654208" w:rsidRDefault="005A0FA7" w:rsidP="00654208">
      <w:pPr>
        <w:tabs>
          <w:tab w:val="left" w:pos="3119"/>
        </w:tabs>
        <w:ind w:right="26"/>
        <w:jc w:val="both"/>
        <w:rPr>
          <w:rFonts w:ascii="Palatino Linotype" w:hAnsi="Palatino Linotype"/>
          <w:bCs/>
          <w:iCs/>
          <w:color w:val="000000" w:themeColor="text1"/>
        </w:rPr>
      </w:pPr>
      <w:r w:rsidRPr="00654208">
        <w:rPr>
          <w:rFonts w:ascii="Palatino Linotype" w:hAnsi="Palatino Linotype"/>
          <w:bCs/>
          <w:i/>
          <w:color w:val="000000" w:themeColor="text1"/>
        </w:rPr>
        <w:t>Spartan Steel &amp; Alloys Ltd v Martin &amp; Co (Contractors) Ltd</w:t>
      </w:r>
      <w:r w:rsidRPr="00654208">
        <w:rPr>
          <w:rFonts w:ascii="Palatino Linotype" w:hAnsi="Palatino Linotype"/>
          <w:bCs/>
          <w:iCs/>
          <w:color w:val="000000" w:themeColor="text1"/>
        </w:rPr>
        <w:t xml:space="preserve"> [1973] QB 27</w:t>
      </w:r>
    </w:p>
    <w:p w14:paraId="613E43DC" w14:textId="30BBF6A8" w:rsidR="0035505A" w:rsidRPr="00654208" w:rsidRDefault="00015F2E" w:rsidP="00654208">
      <w:pPr>
        <w:tabs>
          <w:tab w:val="left" w:pos="3119"/>
        </w:tabs>
        <w:ind w:right="26"/>
        <w:jc w:val="both"/>
        <w:rPr>
          <w:rFonts w:ascii="Palatino Linotype" w:hAnsi="Palatino Linotype"/>
          <w:bCs/>
          <w:iCs/>
          <w:color w:val="000000" w:themeColor="text1"/>
        </w:rPr>
      </w:pPr>
      <w:r w:rsidRPr="00654208">
        <w:rPr>
          <w:rFonts w:ascii="Palatino Linotype" w:hAnsi="Palatino Linotype"/>
          <w:bCs/>
          <w:i/>
          <w:color w:val="000000" w:themeColor="text1"/>
        </w:rPr>
        <w:t>Murphy v Brentwood District Council</w:t>
      </w:r>
      <w:r w:rsidRPr="00654208">
        <w:rPr>
          <w:rFonts w:ascii="Palatino Linotype" w:hAnsi="Palatino Linotype"/>
          <w:bCs/>
          <w:iCs/>
          <w:color w:val="000000" w:themeColor="text1"/>
        </w:rPr>
        <w:t xml:space="preserve"> [1991] 1 AC 398</w:t>
      </w:r>
      <w:r w:rsidR="000C2835" w:rsidRPr="00654208">
        <w:rPr>
          <w:rFonts w:ascii="Palatino Linotype" w:hAnsi="Palatino Linotype"/>
          <w:bCs/>
          <w:iCs/>
          <w:color w:val="000000" w:themeColor="text1"/>
        </w:rPr>
        <w:t xml:space="preserve"> (f</w:t>
      </w:r>
      <w:r w:rsidRPr="00654208">
        <w:rPr>
          <w:rFonts w:ascii="Palatino Linotype" w:hAnsi="Palatino Linotype"/>
          <w:bCs/>
          <w:iCs/>
          <w:color w:val="000000" w:themeColor="text1"/>
        </w:rPr>
        <w:t>ocus on the judgement of Lords Keith and Bridge</w:t>
      </w:r>
      <w:r w:rsidR="000C2835" w:rsidRPr="00654208">
        <w:rPr>
          <w:rFonts w:ascii="Palatino Linotype" w:hAnsi="Palatino Linotype"/>
          <w:bCs/>
          <w:iCs/>
          <w:color w:val="000000" w:themeColor="text1"/>
        </w:rPr>
        <w:t>)</w:t>
      </w:r>
    </w:p>
    <w:p w14:paraId="1C3B8D4D" w14:textId="35F2488C" w:rsidR="00D94623" w:rsidRPr="00654208" w:rsidRDefault="00D94623" w:rsidP="00654208">
      <w:pPr>
        <w:tabs>
          <w:tab w:val="left" w:pos="3119"/>
        </w:tabs>
        <w:ind w:right="26"/>
        <w:jc w:val="both"/>
        <w:rPr>
          <w:rFonts w:ascii="Palatino Linotype" w:hAnsi="Palatino Linotype"/>
          <w:bCs/>
          <w:iCs/>
          <w:color w:val="000000" w:themeColor="text1"/>
        </w:rPr>
      </w:pPr>
      <w:proofErr w:type="spellStart"/>
      <w:r w:rsidRPr="00654208">
        <w:rPr>
          <w:rFonts w:ascii="Palatino Linotype" w:hAnsi="Palatino Linotype"/>
          <w:bCs/>
          <w:i/>
          <w:color w:val="000000" w:themeColor="text1"/>
        </w:rPr>
        <w:t>Lejonvarn</w:t>
      </w:r>
      <w:proofErr w:type="spellEnd"/>
      <w:r w:rsidRPr="00654208">
        <w:rPr>
          <w:rFonts w:ascii="Palatino Linotype" w:hAnsi="Palatino Linotype"/>
          <w:bCs/>
          <w:i/>
          <w:color w:val="000000" w:themeColor="text1"/>
        </w:rPr>
        <w:t xml:space="preserve"> v Burgess</w:t>
      </w:r>
      <w:r w:rsidRPr="00654208">
        <w:rPr>
          <w:rFonts w:ascii="Palatino Linotype" w:hAnsi="Palatino Linotype"/>
          <w:bCs/>
          <w:iCs/>
          <w:color w:val="000000" w:themeColor="text1"/>
        </w:rPr>
        <w:t xml:space="preserve"> [2017] EWCA </w:t>
      </w:r>
      <w:proofErr w:type="spellStart"/>
      <w:r w:rsidRPr="00654208">
        <w:rPr>
          <w:rFonts w:ascii="Palatino Linotype" w:hAnsi="Palatino Linotype"/>
          <w:bCs/>
          <w:iCs/>
          <w:color w:val="000000" w:themeColor="text1"/>
        </w:rPr>
        <w:t>Civ</w:t>
      </w:r>
      <w:proofErr w:type="spellEnd"/>
      <w:r w:rsidRPr="00654208">
        <w:rPr>
          <w:rFonts w:ascii="Palatino Linotype" w:hAnsi="Palatino Linotype"/>
          <w:bCs/>
          <w:iCs/>
          <w:color w:val="000000" w:themeColor="text1"/>
        </w:rPr>
        <w:t xml:space="preserve"> 254</w:t>
      </w:r>
    </w:p>
    <w:p w14:paraId="1BAFC08C" w14:textId="2AD60192" w:rsidR="005E3A14" w:rsidRPr="00654208" w:rsidRDefault="005E3A14" w:rsidP="00654208">
      <w:pPr>
        <w:tabs>
          <w:tab w:val="left" w:pos="3119"/>
        </w:tabs>
        <w:jc w:val="both"/>
        <w:rPr>
          <w:rFonts w:ascii="Palatino Linotype" w:hAnsi="Palatino Linotype"/>
          <w:bCs/>
          <w:iCs/>
          <w:color w:val="000000" w:themeColor="text1"/>
        </w:rPr>
      </w:pPr>
      <w:r w:rsidRPr="00654208">
        <w:rPr>
          <w:rFonts w:ascii="Palatino Linotype" w:hAnsi="Palatino Linotype"/>
          <w:bCs/>
          <w:i/>
          <w:color w:val="000000" w:themeColor="text1"/>
        </w:rPr>
        <w:t>Customs and Excise Commissioners v Barclays Bank plc</w:t>
      </w:r>
      <w:r w:rsidRPr="00654208">
        <w:rPr>
          <w:rFonts w:ascii="Palatino Linotype" w:hAnsi="Palatino Linotype"/>
          <w:bCs/>
          <w:iCs/>
          <w:color w:val="000000" w:themeColor="text1"/>
        </w:rPr>
        <w:t xml:space="preserve"> [2006] UKHL 28</w:t>
      </w:r>
    </w:p>
    <w:p w14:paraId="5C9EEF2C" w14:textId="6F07084A" w:rsidR="00C21657" w:rsidRPr="00654208" w:rsidRDefault="00C21657" w:rsidP="00654208">
      <w:pPr>
        <w:tabs>
          <w:tab w:val="left" w:pos="3119"/>
        </w:tabs>
        <w:ind w:right="26"/>
        <w:jc w:val="both"/>
        <w:rPr>
          <w:rFonts w:ascii="Palatino Linotype" w:hAnsi="Palatino Linotype"/>
          <w:bCs/>
          <w:iCs/>
          <w:color w:val="000000" w:themeColor="text1"/>
        </w:rPr>
      </w:pPr>
      <w:r w:rsidRPr="00654208">
        <w:rPr>
          <w:rFonts w:ascii="Palatino Linotype" w:hAnsi="Palatino Linotype"/>
          <w:bCs/>
          <w:i/>
          <w:color w:val="000000" w:themeColor="text1"/>
        </w:rPr>
        <w:t>Banca Nazionale del Lavoro SPA v Playboy Club London Ltd &amp; Ors</w:t>
      </w:r>
      <w:r w:rsidRPr="00654208">
        <w:rPr>
          <w:rFonts w:ascii="Palatino Linotype" w:hAnsi="Palatino Linotype"/>
          <w:bCs/>
          <w:iCs/>
          <w:color w:val="000000" w:themeColor="text1"/>
        </w:rPr>
        <w:t xml:space="preserve"> [2018] UKSC 43</w:t>
      </w:r>
    </w:p>
    <w:p w14:paraId="21FB4ADC" w14:textId="77777777" w:rsidR="00F92BCA" w:rsidRPr="0019314B" w:rsidRDefault="00F92BCA" w:rsidP="49DE6236">
      <w:pPr>
        <w:ind w:right="26"/>
        <w:jc w:val="both"/>
        <w:rPr>
          <w:rFonts w:ascii="Palatino Linotype" w:hAnsi="Palatino Linotype"/>
          <w:i/>
          <w:iCs/>
        </w:rPr>
      </w:pPr>
    </w:p>
    <w:p w14:paraId="2EC55F1B" w14:textId="05EBE8DC" w:rsidR="001B2CE3" w:rsidRPr="0019314B" w:rsidRDefault="001B2CE3" w:rsidP="001B2CE3">
      <w:pPr>
        <w:jc w:val="both"/>
        <w:rPr>
          <w:rFonts w:ascii="Palatino Linotype" w:hAnsi="Palatino Linotype"/>
          <w:b/>
        </w:rPr>
      </w:pPr>
      <w:r w:rsidRPr="0019314B">
        <w:rPr>
          <w:rFonts w:ascii="Palatino Linotype" w:hAnsi="Palatino Linotype"/>
          <w:b/>
        </w:rPr>
        <w:t>Additional cases</w:t>
      </w:r>
    </w:p>
    <w:p w14:paraId="2E917A4F" w14:textId="6C72F089" w:rsidR="001D5B5F" w:rsidRDefault="007E14A6" w:rsidP="001B7FB8">
      <w:pPr>
        <w:jc w:val="both"/>
        <w:rPr>
          <w:rFonts w:ascii="Palatino Linotype" w:hAnsi="Palatino Linotype"/>
          <w:bCs/>
          <w:iCs/>
        </w:rPr>
      </w:pPr>
      <w:r w:rsidRPr="007E14A6">
        <w:rPr>
          <w:rFonts w:ascii="Palatino Linotype" w:hAnsi="Palatino Linotype"/>
          <w:bCs/>
          <w:i/>
        </w:rPr>
        <w:t xml:space="preserve">D &amp; F Estates Ltd v. Church Commissioners for England </w:t>
      </w:r>
      <w:r w:rsidRPr="007E14A6">
        <w:rPr>
          <w:rFonts w:ascii="Palatino Linotype" w:hAnsi="Palatino Linotype"/>
          <w:bCs/>
          <w:iCs/>
        </w:rPr>
        <w:t>[1989] AC 177</w:t>
      </w:r>
    </w:p>
    <w:p w14:paraId="5FB9A428" w14:textId="4B738720" w:rsidR="00897939" w:rsidRDefault="00897939" w:rsidP="001B7FB8">
      <w:pPr>
        <w:jc w:val="both"/>
        <w:rPr>
          <w:rFonts w:ascii="Palatino Linotype" w:hAnsi="Palatino Linotype"/>
          <w:bCs/>
          <w:iCs/>
        </w:rPr>
      </w:pPr>
      <w:r w:rsidRPr="00897939">
        <w:rPr>
          <w:rFonts w:ascii="Palatino Linotype" w:hAnsi="Palatino Linotype"/>
          <w:bCs/>
          <w:i/>
        </w:rPr>
        <w:t>Smith v Eric S Bush (a firm)</w:t>
      </w:r>
      <w:r w:rsidRPr="00897939">
        <w:rPr>
          <w:rFonts w:ascii="Palatino Linotype" w:hAnsi="Palatino Linotype"/>
          <w:bCs/>
          <w:iCs/>
        </w:rPr>
        <w:t xml:space="preserve"> [1990] 1 AC 831</w:t>
      </w:r>
    </w:p>
    <w:p w14:paraId="509B7846" w14:textId="43E12359" w:rsidR="00C21657" w:rsidRDefault="00C21657" w:rsidP="001B7FB8">
      <w:pPr>
        <w:jc w:val="both"/>
        <w:rPr>
          <w:rFonts w:ascii="Palatino Linotype" w:hAnsi="Palatino Linotype"/>
          <w:bCs/>
          <w:iCs/>
        </w:rPr>
      </w:pPr>
      <w:r w:rsidRPr="00C21657">
        <w:rPr>
          <w:rFonts w:ascii="Palatino Linotype" w:hAnsi="Palatino Linotype"/>
          <w:bCs/>
          <w:i/>
        </w:rPr>
        <w:t>White v Jones</w:t>
      </w:r>
      <w:r w:rsidRPr="00C21657">
        <w:rPr>
          <w:rFonts w:ascii="Palatino Linotype" w:hAnsi="Palatino Linotype"/>
          <w:bCs/>
          <w:iCs/>
        </w:rPr>
        <w:t xml:space="preserve"> [1995] 2 AC 207</w:t>
      </w:r>
    </w:p>
    <w:p w14:paraId="74947D9A" w14:textId="77777777" w:rsidR="0068594D" w:rsidRPr="0068594D" w:rsidRDefault="0068594D" w:rsidP="0068594D">
      <w:pPr>
        <w:jc w:val="both"/>
        <w:rPr>
          <w:rFonts w:ascii="Palatino Linotype" w:hAnsi="Palatino Linotype"/>
          <w:bCs/>
          <w:iCs/>
        </w:rPr>
      </w:pPr>
      <w:r w:rsidRPr="0068594D">
        <w:rPr>
          <w:rFonts w:ascii="Palatino Linotype" w:hAnsi="Palatino Linotype"/>
          <w:bCs/>
          <w:i/>
        </w:rPr>
        <w:t>Henderson v Merrett Syndicates Ltd</w:t>
      </w:r>
      <w:r w:rsidRPr="0068594D">
        <w:rPr>
          <w:rFonts w:ascii="Palatino Linotype" w:hAnsi="Palatino Linotype"/>
          <w:bCs/>
          <w:iCs/>
        </w:rPr>
        <w:t xml:space="preserve"> [1995] 2 AC 145 </w:t>
      </w:r>
    </w:p>
    <w:p w14:paraId="388682E4" w14:textId="7FA36CF6" w:rsidR="0068594D" w:rsidRDefault="0068594D" w:rsidP="0068594D">
      <w:pPr>
        <w:jc w:val="both"/>
        <w:rPr>
          <w:rFonts w:ascii="Palatino Linotype" w:hAnsi="Palatino Linotype"/>
          <w:bCs/>
          <w:iCs/>
        </w:rPr>
      </w:pPr>
      <w:r w:rsidRPr="0068594D">
        <w:rPr>
          <w:rFonts w:ascii="Palatino Linotype" w:hAnsi="Palatino Linotype"/>
          <w:bCs/>
          <w:i/>
        </w:rPr>
        <w:t>Spring v Guardian Assurance Plc</w:t>
      </w:r>
      <w:r w:rsidRPr="0068594D">
        <w:rPr>
          <w:rFonts w:ascii="Palatino Linotype" w:hAnsi="Palatino Linotype"/>
          <w:bCs/>
          <w:iCs/>
        </w:rPr>
        <w:t xml:space="preserve"> [1995] 2 AC 296</w:t>
      </w:r>
    </w:p>
    <w:p w14:paraId="5701D030" w14:textId="164B4FA7" w:rsidR="00C21657" w:rsidRDefault="00C21657" w:rsidP="001B7FB8">
      <w:pPr>
        <w:jc w:val="both"/>
        <w:rPr>
          <w:rFonts w:ascii="Palatino Linotype" w:hAnsi="Palatino Linotype"/>
          <w:bCs/>
          <w:iCs/>
        </w:rPr>
      </w:pPr>
      <w:r w:rsidRPr="00C21657">
        <w:rPr>
          <w:rFonts w:ascii="Palatino Linotype" w:hAnsi="Palatino Linotype"/>
          <w:bCs/>
          <w:i/>
        </w:rPr>
        <w:t>Williams v Natural Life Health Foods</w:t>
      </w:r>
      <w:r w:rsidRPr="00C21657">
        <w:rPr>
          <w:rFonts w:ascii="Palatino Linotype" w:hAnsi="Palatino Linotype"/>
          <w:bCs/>
          <w:iCs/>
        </w:rPr>
        <w:t xml:space="preserve"> [1998] 1 WLR 830</w:t>
      </w:r>
    </w:p>
    <w:p w14:paraId="00A74A69" w14:textId="693FD54E" w:rsidR="00C21657" w:rsidRDefault="00C21657" w:rsidP="001B7FB8">
      <w:pPr>
        <w:jc w:val="both"/>
        <w:rPr>
          <w:rFonts w:ascii="Palatino Linotype" w:hAnsi="Palatino Linotype"/>
          <w:bCs/>
          <w:iCs/>
        </w:rPr>
      </w:pPr>
      <w:r w:rsidRPr="00C21657">
        <w:rPr>
          <w:rFonts w:ascii="Palatino Linotype" w:hAnsi="Palatino Linotype"/>
          <w:bCs/>
          <w:i/>
        </w:rPr>
        <w:t>Rees v Darlington Memorial Hospital NHS Trust</w:t>
      </w:r>
      <w:r w:rsidRPr="00C21657">
        <w:rPr>
          <w:rFonts w:ascii="Palatino Linotype" w:hAnsi="Palatino Linotype"/>
          <w:bCs/>
          <w:iCs/>
        </w:rPr>
        <w:t xml:space="preserve"> [2003] UKHL 52</w:t>
      </w:r>
    </w:p>
    <w:p w14:paraId="08DF8394" w14:textId="2F15EB4B" w:rsidR="00C21657" w:rsidRDefault="00C21657" w:rsidP="001B7FB8">
      <w:pPr>
        <w:jc w:val="both"/>
        <w:rPr>
          <w:rFonts w:ascii="Palatino Linotype" w:hAnsi="Palatino Linotype"/>
          <w:bCs/>
          <w:iCs/>
        </w:rPr>
      </w:pPr>
      <w:r w:rsidRPr="00C21657">
        <w:rPr>
          <w:rFonts w:ascii="Palatino Linotype" w:hAnsi="Palatino Linotype"/>
          <w:bCs/>
          <w:i/>
        </w:rPr>
        <w:t>NRAM Ltd (formerly NRAM plc) v Steel and another</w:t>
      </w:r>
      <w:r w:rsidRPr="00C21657">
        <w:rPr>
          <w:rFonts w:ascii="Palatino Linotype" w:hAnsi="Palatino Linotype"/>
          <w:bCs/>
          <w:iCs/>
        </w:rPr>
        <w:t xml:space="preserve"> [2018] UKSC 13</w:t>
      </w:r>
    </w:p>
    <w:p w14:paraId="111567BB" w14:textId="77777777" w:rsidR="007E14A6" w:rsidRPr="0019314B" w:rsidRDefault="007E14A6" w:rsidP="001B7FB8">
      <w:pPr>
        <w:jc w:val="both"/>
        <w:rPr>
          <w:rFonts w:ascii="Palatino Linotype" w:hAnsi="Palatino Linotype"/>
        </w:rPr>
      </w:pPr>
    </w:p>
    <w:p w14:paraId="3BC1A75E" w14:textId="23F2EF6B" w:rsidR="00AB104A" w:rsidRPr="0019314B" w:rsidRDefault="00AB104A" w:rsidP="001B7FB8">
      <w:pPr>
        <w:jc w:val="both"/>
        <w:rPr>
          <w:rFonts w:ascii="Palatino Linotype" w:hAnsi="Palatino Linotype"/>
          <w:b/>
          <w:bCs/>
        </w:rPr>
      </w:pPr>
      <w:r w:rsidRPr="0019314B">
        <w:rPr>
          <w:rFonts w:ascii="Palatino Linotype" w:hAnsi="Palatino Linotype"/>
          <w:b/>
          <w:bCs/>
        </w:rPr>
        <w:t>Articles</w:t>
      </w:r>
    </w:p>
    <w:p w14:paraId="0E1A36D9" w14:textId="0B2A8840" w:rsidR="00C5459A" w:rsidRPr="00C5459A" w:rsidRDefault="00C5459A" w:rsidP="00C5459A">
      <w:pPr>
        <w:jc w:val="both"/>
        <w:rPr>
          <w:rStyle w:val="IntenseEmphasis"/>
          <w:rFonts w:ascii="Palatino Linotype" w:hAnsi="Palatino Linotype"/>
          <w:b w:val="0"/>
          <w:bCs/>
          <w:i w:val="0"/>
          <w:iCs w:val="0"/>
          <w:color w:val="000000" w:themeColor="text1"/>
        </w:rPr>
      </w:pPr>
      <w:r w:rsidRPr="00C5459A">
        <w:rPr>
          <w:rStyle w:val="IntenseEmphasis"/>
          <w:rFonts w:ascii="Palatino Linotype" w:hAnsi="Palatino Linotype"/>
          <w:b w:val="0"/>
          <w:bCs/>
          <w:i w:val="0"/>
          <w:iCs w:val="0"/>
          <w:color w:val="000000" w:themeColor="text1"/>
        </w:rPr>
        <w:t xml:space="preserve">D Nolan, ‘Assumption of Responsibility: Four Questions’ (2019) </w:t>
      </w:r>
      <w:r w:rsidRPr="00C5459A">
        <w:rPr>
          <w:rStyle w:val="IntenseEmphasis"/>
          <w:rFonts w:ascii="Palatino Linotype" w:hAnsi="Palatino Linotype"/>
          <w:b w:val="0"/>
          <w:bCs/>
          <w:color w:val="000000" w:themeColor="text1"/>
        </w:rPr>
        <w:t>Current Legal Problems</w:t>
      </w:r>
      <w:r w:rsidRPr="00C5459A">
        <w:rPr>
          <w:rStyle w:val="IntenseEmphasis"/>
          <w:rFonts w:ascii="Palatino Linotype" w:hAnsi="Palatino Linotype"/>
          <w:b w:val="0"/>
          <w:bCs/>
          <w:i w:val="0"/>
          <w:iCs w:val="0"/>
          <w:color w:val="000000" w:themeColor="text1"/>
        </w:rPr>
        <w:t xml:space="preserve"> 1</w:t>
      </w:r>
    </w:p>
    <w:p w14:paraId="45A3ECDD" w14:textId="66C42707" w:rsidR="00C5459A" w:rsidRPr="00C5459A" w:rsidRDefault="00C5459A" w:rsidP="00C5459A">
      <w:pPr>
        <w:jc w:val="both"/>
        <w:rPr>
          <w:rStyle w:val="IntenseEmphasis"/>
          <w:rFonts w:ascii="Palatino Linotype" w:hAnsi="Palatino Linotype"/>
          <w:b w:val="0"/>
          <w:bCs/>
          <w:i w:val="0"/>
          <w:iCs w:val="0"/>
          <w:color w:val="000000" w:themeColor="text1"/>
        </w:rPr>
      </w:pPr>
      <w:r w:rsidRPr="00C5459A">
        <w:rPr>
          <w:rStyle w:val="IntenseEmphasis"/>
          <w:rFonts w:ascii="Palatino Linotype" w:hAnsi="Palatino Linotype"/>
          <w:b w:val="0"/>
          <w:bCs/>
          <w:i w:val="0"/>
          <w:iCs w:val="0"/>
          <w:color w:val="000000" w:themeColor="text1"/>
        </w:rPr>
        <w:t xml:space="preserve">K Barker, ‘Wielding Occam’s Razor: Pruning Strategies for Economic Loss’ (2006) 26 </w:t>
      </w:r>
      <w:r w:rsidRPr="00C5459A">
        <w:rPr>
          <w:rStyle w:val="IntenseEmphasis"/>
          <w:rFonts w:ascii="Palatino Linotype" w:hAnsi="Palatino Linotype"/>
          <w:b w:val="0"/>
          <w:bCs/>
          <w:color w:val="000000" w:themeColor="text1"/>
        </w:rPr>
        <w:t>Oxford Journal of Legal Studies</w:t>
      </w:r>
      <w:r w:rsidRPr="00C5459A">
        <w:rPr>
          <w:rStyle w:val="IntenseEmphasis"/>
          <w:rFonts w:ascii="Palatino Linotype" w:hAnsi="Palatino Linotype"/>
          <w:b w:val="0"/>
          <w:bCs/>
          <w:i w:val="0"/>
          <w:iCs w:val="0"/>
          <w:color w:val="000000" w:themeColor="text1"/>
        </w:rPr>
        <w:t xml:space="preserve"> 28</w:t>
      </w:r>
    </w:p>
    <w:p w14:paraId="3CC2BD91" w14:textId="77777777" w:rsidR="00C5459A" w:rsidRPr="00C5459A" w:rsidRDefault="00C5459A" w:rsidP="00C5459A">
      <w:pPr>
        <w:jc w:val="both"/>
        <w:rPr>
          <w:rStyle w:val="IntenseEmphasis"/>
          <w:rFonts w:ascii="Palatino Linotype" w:hAnsi="Palatino Linotype"/>
          <w:b w:val="0"/>
          <w:bCs/>
          <w:i w:val="0"/>
          <w:iCs w:val="0"/>
          <w:color w:val="000000" w:themeColor="text1"/>
        </w:rPr>
      </w:pPr>
      <w:r w:rsidRPr="00C5459A">
        <w:rPr>
          <w:rStyle w:val="IntenseEmphasis"/>
          <w:rFonts w:ascii="Palatino Linotype" w:hAnsi="Palatino Linotype"/>
          <w:b w:val="0"/>
          <w:bCs/>
          <w:i w:val="0"/>
          <w:iCs w:val="0"/>
          <w:color w:val="000000" w:themeColor="text1"/>
        </w:rPr>
        <w:t xml:space="preserve">J Hartshorne ‘Contemporary approaches towards pure economic loss in the law of negligence’ [2014] </w:t>
      </w:r>
      <w:r w:rsidRPr="00C5459A">
        <w:rPr>
          <w:rStyle w:val="IntenseEmphasis"/>
          <w:rFonts w:ascii="Palatino Linotype" w:hAnsi="Palatino Linotype"/>
          <w:b w:val="0"/>
          <w:bCs/>
          <w:color w:val="000000" w:themeColor="text1"/>
        </w:rPr>
        <w:t>Journal of Business Law</w:t>
      </w:r>
      <w:r w:rsidRPr="00C5459A">
        <w:rPr>
          <w:rStyle w:val="IntenseEmphasis"/>
          <w:rFonts w:ascii="Palatino Linotype" w:hAnsi="Palatino Linotype"/>
          <w:b w:val="0"/>
          <w:bCs/>
          <w:i w:val="0"/>
          <w:iCs w:val="0"/>
          <w:color w:val="000000" w:themeColor="text1"/>
        </w:rPr>
        <w:t xml:space="preserve"> 425</w:t>
      </w:r>
    </w:p>
    <w:p w14:paraId="3DC848F9" w14:textId="15EF3101" w:rsidR="00211956" w:rsidRDefault="00C5459A" w:rsidP="00C5459A">
      <w:pPr>
        <w:jc w:val="both"/>
        <w:rPr>
          <w:rStyle w:val="IntenseEmphasis"/>
          <w:rFonts w:ascii="Palatino Linotype" w:hAnsi="Palatino Linotype"/>
          <w:b w:val="0"/>
          <w:bCs/>
          <w:i w:val="0"/>
          <w:iCs w:val="0"/>
          <w:color w:val="000000" w:themeColor="text1"/>
        </w:rPr>
      </w:pPr>
      <w:r w:rsidRPr="00C5459A">
        <w:rPr>
          <w:rStyle w:val="IntenseEmphasis"/>
          <w:rFonts w:ascii="Palatino Linotype" w:hAnsi="Palatino Linotype"/>
          <w:b w:val="0"/>
          <w:bCs/>
          <w:i w:val="0"/>
          <w:iCs w:val="0"/>
          <w:color w:val="000000" w:themeColor="text1"/>
        </w:rPr>
        <w:t xml:space="preserve">D Campbell, ‘The Absence of Negligence in Hedley Byrne v Heller’ (2016) 132 </w:t>
      </w:r>
      <w:r w:rsidRPr="00C5459A">
        <w:rPr>
          <w:rStyle w:val="IntenseEmphasis"/>
          <w:rFonts w:ascii="Palatino Linotype" w:hAnsi="Palatino Linotype"/>
          <w:b w:val="0"/>
          <w:bCs/>
          <w:color w:val="000000" w:themeColor="text1"/>
        </w:rPr>
        <w:t xml:space="preserve">LQR </w:t>
      </w:r>
      <w:r w:rsidRPr="00C5459A">
        <w:rPr>
          <w:rStyle w:val="IntenseEmphasis"/>
          <w:rFonts w:ascii="Palatino Linotype" w:hAnsi="Palatino Linotype"/>
          <w:b w:val="0"/>
          <w:bCs/>
          <w:i w:val="0"/>
          <w:iCs w:val="0"/>
          <w:color w:val="000000" w:themeColor="text1"/>
        </w:rPr>
        <w:t>266</w:t>
      </w:r>
    </w:p>
    <w:p w14:paraId="232258AC" w14:textId="77777777" w:rsidR="00B56407" w:rsidRPr="00C5459A" w:rsidRDefault="00B56407" w:rsidP="00C5459A">
      <w:pPr>
        <w:jc w:val="both"/>
        <w:rPr>
          <w:rStyle w:val="IntenseEmphasis"/>
          <w:rFonts w:ascii="Palatino Linotype" w:hAnsi="Palatino Linotype"/>
          <w:b w:val="0"/>
          <w:bCs/>
          <w:i w:val="0"/>
          <w:iCs w:val="0"/>
          <w:color w:val="000000" w:themeColor="text1"/>
        </w:rPr>
      </w:pPr>
    </w:p>
    <w:p w14:paraId="022AB3E6" w14:textId="77777777" w:rsidR="00211956" w:rsidRDefault="00211956" w:rsidP="00211956">
      <w:pPr>
        <w:rPr>
          <w:rFonts w:ascii="Palatino Linotype" w:hAnsi="Palatino Linotype" w:cs="Palatino Linotype"/>
          <w:b/>
          <w:bCs/>
          <w:u w:val="single"/>
        </w:rPr>
      </w:pPr>
    </w:p>
    <w:p w14:paraId="3B443241" w14:textId="77777777"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r>
        <w:rPr>
          <w:rFonts w:ascii="Palatino Linotype" w:hAnsi="Palatino Linotype" w:cs="Palatino Linotype"/>
          <w:b/>
          <w:bCs/>
          <w:u w:val="single"/>
        </w:rPr>
        <w:t>Beyond tort</w:t>
      </w:r>
    </w:p>
    <w:p w14:paraId="4248CE31" w14:textId="77777777"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p>
    <w:p w14:paraId="78CDCEA6" w14:textId="2BE8E617" w:rsidR="00DA6788" w:rsidRPr="00DA6788"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Read:</w:t>
      </w:r>
      <w:r w:rsidR="00DA6788">
        <w:rPr>
          <w:rFonts w:ascii="Palatino Linotype" w:hAnsi="Palatino Linotype" w:cs="Palatino Linotype"/>
        </w:rPr>
        <w:t xml:space="preserve"> George Orwell, </w:t>
      </w:r>
      <w:r w:rsidR="00DA6788">
        <w:rPr>
          <w:rFonts w:ascii="Palatino Linotype" w:hAnsi="Palatino Linotype" w:cs="Palatino Linotype"/>
          <w:i/>
          <w:iCs/>
        </w:rPr>
        <w:t xml:space="preserve">Down and Out in Paris and London. </w:t>
      </w:r>
      <w:r w:rsidR="00DA6788">
        <w:rPr>
          <w:rFonts w:ascii="Palatino Linotype" w:hAnsi="Palatino Linotype" w:cs="Palatino Linotype"/>
        </w:rPr>
        <w:t xml:space="preserve">You may have been forced to read something like </w:t>
      </w:r>
      <w:r w:rsidR="00DA6788">
        <w:rPr>
          <w:rFonts w:ascii="Palatino Linotype" w:hAnsi="Palatino Linotype" w:cs="Palatino Linotype"/>
          <w:i/>
          <w:iCs/>
        </w:rPr>
        <w:t xml:space="preserve">Animal Farm </w:t>
      </w:r>
      <w:r w:rsidR="00DA6788">
        <w:rPr>
          <w:rFonts w:ascii="Palatino Linotype" w:hAnsi="Palatino Linotype" w:cs="Palatino Linotype"/>
        </w:rPr>
        <w:t xml:space="preserve">or </w:t>
      </w:r>
      <w:r w:rsidR="00DA6788">
        <w:rPr>
          <w:rFonts w:ascii="Palatino Linotype" w:hAnsi="Palatino Linotype" w:cs="Palatino Linotype"/>
          <w:i/>
          <w:iCs/>
        </w:rPr>
        <w:t xml:space="preserve">1984 </w:t>
      </w:r>
      <w:r w:rsidR="00DA6788">
        <w:rPr>
          <w:rFonts w:ascii="Palatino Linotype" w:hAnsi="Palatino Linotype" w:cs="Palatino Linotype"/>
        </w:rPr>
        <w:t xml:space="preserve">at school. Forget those. This is far </w:t>
      </w:r>
      <w:r w:rsidR="00DA6788">
        <w:rPr>
          <w:rFonts w:ascii="Palatino Linotype" w:hAnsi="Palatino Linotype" w:cs="Palatino Linotype"/>
        </w:rPr>
        <w:lastRenderedPageBreak/>
        <w:t>superior</w:t>
      </w:r>
      <w:r w:rsidR="005E1E80">
        <w:rPr>
          <w:rFonts w:ascii="Palatino Linotype" w:hAnsi="Palatino Linotype" w:cs="Palatino Linotype"/>
        </w:rPr>
        <w:t>,</w:t>
      </w:r>
      <w:r w:rsidR="00DA6788">
        <w:rPr>
          <w:rFonts w:ascii="Palatino Linotype" w:hAnsi="Palatino Linotype" w:cs="Palatino Linotype"/>
        </w:rPr>
        <w:t xml:space="preserve"> and showcases Orwell’s true greatness as a writer. It is, in equal parts, funny, dark, entertaining, and a deep commentary on class an</w:t>
      </w:r>
      <w:r w:rsidR="00183616">
        <w:rPr>
          <w:rFonts w:ascii="Palatino Linotype" w:hAnsi="Palatino Linotype" w:cs="Palatino Linotype"/>
        </w:rPr>
        <w:t>d</w:t>
      </w:r>
      <w:r w:rsidR="00DA6788">
        <w:rPr>
          <w:rFonts w:ascii="Palatino Linotype" w:hAnsi="Palatino Linotype" w:cs="Palatino Linotype"/>
        </w:rPr>
        <w:t xml:space="preserve"> inequality. </w:t>
      </w:r>
    </w:p>
    <w:p w14:paraId="6F87DEA9" w14:textId="77777777"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p>
    <w:p w14:paraId="4A75E1EB" w14:textId="197F850E" w:rsidR="00211956" w:rsidRPr="00FE2272"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 xml:space="preserve">Watch: </w:t>
      </w:r>
      <w:r w:rsidR="00FE2272">
        <w:rPr>
          <w:rFonts w:ascii="Palatino Linotype" w:hAnsi="Palatino Linotype" w:cs="Palatino Linotype"/>
          <w:i/>
          <w:iCs/>
        </w:rPr>
        <w:t xml:space="preserve">John Wick (1, 2, 3 and 4). </w:t>
      </w:r>
      <w:r w:rsidR="00FE2272">
        <w:rPr>
          <w:rFonts w:ascii="Palatino Linotype" w:hAnsi="Palatino Linotype" w:cs="Palatino Linotype"/>
        </w:rPr>
        <w:t>Pure unadulterated action. By far the best action movies ever made. John Wick doesn’t mess about with such niceties as ‘character development’ or ‘dialogue’ or a serious ‘plot’. Clear an evening for yourself, get a takeaway pizza (or Chinese or whatever you like), and enjoy the master, Keanu Reeves, at work.</w:t>
      </w:r>
    </w:p>
    <w:p w14:paraId="2768DD33" w14:textId="77777777"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p>
    <w:p w14:paraId="7CFAA56C" w14:textId="2D381ABE" w:rsidR="00211956" w:rsidRPr="002E5E40"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Listen:</w:t>
      </w:r>
      <w:r w:rsidR="002E5E40">
        <w:rPr>
          <w:rFonts w:ascii="Palatino Linotype" w:hAnsi="Palatino Linotype" w:cs="Palatino Linotype"/>
        </w:rPr>
        <w:t xml:space="preserve"> </w:t>
      </w:r>
      <w:r w:rsidR="002E5E40">
        <w:rPr>
          <w:rFonts w:ascii="Palatino Linotype" w:hAnsi="Palatino Linotype" w:cs="Palatino Linotype"/>
          <w:i/>
          <w:iCs/>
        </w:rPr>
        <w:t>More Perfect</w:t>
      </w:r>
      <w:r w:rsidR="002E5E40">
        <w:rPr>
          <w:rFonts w:ascii="Palatino Linotype" w:hAnsi="Palatino Linotype" w:cs="Palatino Linotype"/>
        </w:rPr>
        <w:t>. This podcast is the only ‘legal’ recommendation I have made in these Beyond Tort sections, but it is much more enjoyable to listen to than any lecture. You will find it very helpful in developing your understanding of law in general and may even just enjoy it too!</w:t>
      </w:r>
    </w:p>
    <w:p w14:paraId="5CB4C47E" w14:textId="77777777" w:rsidR="00736711" w:rsidRPr="0019314B" w:rsidRDefault="00736711" w:rsidP="0069375F">
      <w:pPr>
        <w:jc w:val="both"/>
        <w:rPr>
          <w:rStyle w:val="IntenseEmphasis"/>
          <w:rFonts w:ascii="Palatino Linotype" w:hAnsi="Palatino Linotype"/>
          <w:b w:val="0"/>
          <w:bCs/>
          <w:i w:val="0"/>
          <w:iCs w:val="0"/>
          <w:color w:val="000000" w:themeColor="text1"/>
        </w:rPr>
      </w:pPr>
    </w:p>
    <w:p w14:paraId="28653652" w14:textId="77777777" w:rsidR="00507B1A" w:rsidRPr="0019314B" w:rsidRDefault="00507B1A" w:rsidP="49DE6236">
      <w:pPr>
        <w:pStyle w:val="Title"/>
        <w:jc w:val="both"/>
        <w:rPr>
          <w:rFonts w:ascii="Palatino Linotype" w:hAnsi="Palatino Linotype"/>
          <w:i/>
          <w:iCs/>
          <w:color w:val="000000" w:themeColor="text1"/>
        </w:rPr>
      </w:pPr>
    </w:p>
    <w:p w14:paraId="0ACE794F" w14:textId="31C4E49A" w:rsidR="0087097F" w:rsidRPr="0019314B" w:rsidRDefault="0087097F" w:rsidP="0087097F">
      <w:pPr>
        <w:rPr>
          <w:rStyle w:val="IntenseEmphasis"/>
          <w:rFonts w:ascii="Palatino Linotype" w:hAnsi="Palatino Linotype"/>
          <w:b w:val="0"/>
          <w:bCs/>
          <w:i w:val="0"/>
          <w:iCs w:val="0"/>
          <w:color w:val="000000" w:themeColor="text1"/>
        </w:rPr>
      </w:pPr>
    </w:p>
    <w:sectPr w:rsidR="0087097F" w:rsidRPr="0019314B" w:rsidSect="00187EE7">
      <w:footerReference w:type="even" r:id="rId11"/>
      <w:footerReference w:type="default" r:id="rId1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09D0E" w14:textId="77777777" w:rsidR="00171682" w:rsidRDefault="00171682" w:rsidP="00832E5F">
      <w:r>
        <w:separator/>
      </w:r>
    </w:p>
  </w:endnote>
  <w:endnote w:type="continuationSeparator" w:id="0">
    <w:p w14:paraId="2E9FF5A8" w14:textId="77777777" w:rsidR="00171682" w:rsidRDefault="00171682" w:rsidP="00832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ings Caslon Text">
    <w:altName w:val="Calibri"/>
    <w:panose1 w:val="020B0604020202020204"/>
    <w:charset w:val="00"/>
    <w:family w:val="auto"/>
    <w:pitch w:val="variable"/>
    <w:sig w:usb0="A00000AF" w:usb1="5000205B"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95824" w14:textId="08E75313" w:rsidR="00832E5F" w:rsidRDefault="00832E5F" w:rsidP="000322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401967A1" w14:textId="77777777" w:rsidR="00832E5F" w:rsidRDefault="00832E5F" w:rsidP="00832E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4106893"/>
      <w:docPartObj>
        <w:docPartGallery w:val="Page Numbers (Bottom of Page)"/>
        <w:docPartUnique/>
      </w:docPartObj>
    </w:sdtPr>
    <w:sdtContent>
      <w:p w14:paraId="0E594693" w14:textId="598ACD9D" w:rsidR="00832E5F" w:rsidRDefault="00832E5F" w:rsidP="000322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5438C">
          <w:rPr>
            <w:rStyle w:val="PageNumber"/>
            <w:noProof/>
          </w:rPr>
          <w:t>1</w:t>
        </w:r>
        <w:r>
          <w:rPr>
            <w:rStyle w:val="PageNumber"/>
          </w:rPr>
          <w:fldChar w:fldCharType="end"/>
        </w:r>
      </w:p>
    </w:sdtContent>
  </w:sdt>
  <w:p w14:paraId="5612126A" w14:textId="77777777" w:rsidR="00832E5F" w:rsidRDefault="00832E5F" w:rsidP="00832E5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488A8" w14:textId="77777777" w:rsidR="00171682" w:rsidRDefault="00171682" w:rsidP="00832E5F">
      <w:r>
        <w:separator/>
      </w:r>
    </w:p>
  </w:footnote>
  <w:footnote w:type="continuationSeparator" w:id="0">
    <w:p w14:paraId="3E3E4649" w14:textId="77777777" w:rsidR="00171682" w:rsidRDefault="00171682" w:rsidP="00832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1F1C67"/>
    <w:multiLevelType w:val="multilevel"/>
    <w:tmpl w:val="E278C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0C37BF"/>
    <w:multiLevelType w:val="hybridMultilevel"/>
    <w:tmpl w:val="792873A8"/>
    <w:lvl w:ilvl="0" w:tplc="9A24C636">
      <w:start w:val="500"/>
      <w:numFmt w:val="bullet"/>
      <w:lvlText w:val="-"/>
      <w:lvlJc w:val="left"/>
      <w:pPr>
        <w:ind w:left="720" w:hanging="360"/>
      </w:pPr>
      <w:rPr>
        <w:rFonts w:ascii="Kings Caslon Text" w:eastAsia="Times New Roman" w:hAnsi="Kings Caslon T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8C3BFF"/>
    <w:multiLevelType w:val="hybridMultilevel"/>
    <w:tmpl w:val="1BDE5E78"/>
    <w:lvl w:ilvl="0" w:tplc="8474D5C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7846366">
    <w:abstractNumId w:val="1"/>
  </w:num>
  <w:num w:numId="2" w16cid:durableId="497622135">
    <w:abstractNumId w:val="3"/>
  </w:num>
  <w:num w:numId="3" w16cid:durableId="1713189468">
    <w:abstractNumId w:val="2"/>
  </w:num>
  <w:num w:numId="4" w16cid:durableId="1945068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FB8"/>
    <w:rsid w:val="000019BA"/>
    <w:rsid w:val="00002952"/>
    <w:rsid w:val="00012B37"/>
    <w:rsid w:val="00015F2E"/>
    <w:rsid w:val="00023C84"/>
    <w:rsid w:val="000343EF"/>
    <w:rsid w:val="000415AD"/>
    <w:rsid w:val="0004734B"/>
    <w:rsid w:val="00056843"/>
    <w:rsid w:val="0008617A"/>
    <w:rsid w:val="00090478"/>
    <w:rsid w:val="00097D31"/>
    <w:rsid w:val="000A07F6"/>
    <w:rsid w:val="000C2835"/>
    <w:rsid w:val="000C5F16"/>
    <w:rsid w:val="000D4D43"/>
    <w:rsid w:val="000D4E41"/>
    <w:rsid w:val="000F7AFF"/>
    <w:rsid w:val="00101628"/>
    <w:rsid w:val="00134224"/>
    <w:rsid w:val="001464C6"/>
    <w:rsid w:val="00160C28"/>
    <w:rsid w:val="00171682"/>
    <w:rsid w:val="00174BDC"/>
    <w:rsid w:val="00183616"/>
    <w:rsid w:val="00187EE7"/>
    <w:rsid w:val="0019314B"/>
    <w:rsid w:val="00193C52"/>
    <w:rsid w:val="001B0737"/>
    <w:rsid w:val="001B2CE3"/>
    <w:rsid w:val="001B7FB8"/>
    <w:rsid w:val="001D5B5F"/>
    <w:rsid w:val="001E0470"/>
    <w:rsid w:val="001F516D"/>
    <w:rsid w:val="002049B6"/>
    <w:rsid w:val="002106AF"/>
    <w:rsid w:val="00211956"/>
    <w:rsid w:val="00225493"/>
    <w:rsid w:val="00267A25"/>
    <w:rsid w:val="00280741"/>
    <w:rsid w:val="00286397"/>
    <w:rsid w:val="002A5468"/>
    <w:rsid w:val="002E5E40"/>
    <w:rsid w:val="002F57AE"/>
    <w:rsid w:val="002F6ADB"/>
    <w:rsid w:val="00314DB8"/>
    <w:rsid w:val="00333845"/>
    <w:rsid w:val="00344FF9"/>
    <w:rsid w:val="00353CEC"/>
    <w:rsid w:val="0035505A"/>
    <w:rsid w:val="00376B61"/>
    <w:rsid w:val="00391BA0"/>
    <w:rsid w:val="003A13A3"/>
    <w:rsid w:val="003C5EEE"/>
    <w:rsid w:val="003D6C9C"/>
    <w:rsid w:val="003E78D5"/>
    <w:rsid w:val="003F23A7"/>
    <w:rsid w:val="004533C0"/>
    <w:rsid w:val="00460974"/>
    <w:rsid w:val="00462CB5"/>
    <w:rsid w:val="00472988"/>
    <w:rsid w:val="004753E7"/>
    <w:rsid w:val="0048091F"/>
    <w:rsid w:val="00483C65"/>
    <w:rsid w:val="004B54B6"/>
    <w:rsid w:val="004D0218"/>
    <w:rsid w:val="004D2670"/>
    <w:rsid w:val="004E3E26"/>
    <w:rsid w:val="004F61AF"/>
    <w:rsid w:val="004F7835"/>
    <w:rsid w:val="00507B1A"/>
    <w:rsid w:val="00511B74"/>
    <w:rsid w:val="00511B94"/>
    <w:rsid w:val="00525525"/>
    <w:rsid w:val="00551F33"/>
    <w:rsid w:val="00554A90"/>
    <w:rsid w:val="005617C8"/>
    <w:rsid w:val="00563FF2"/>
    <w:rsid w:val="00567847"/>
    <w:rsid w:val="00573EBA"/>
    <w:rsid w:val="00587769"/>
    <w:rsid w:val="005A0FA7"/>
    <w:rsid w:val="005D013C"/>
    <w:rsid w:val="005D0230"/>
    <w:rsid w:val="005E1E80"/>
    <w:rsid w:val="005E3A14"/>
    <w:rsid w:val="005E3AA4"/>
    <w:rsid w:val="005E718B"/>
    <w:rsid w:val="00601A37"/>
    <w:rsid w:val="00607381"/>
    <w:rsid w:val="00613077"/>
    <w:rsid w:val="006206F6"/>
    <w:rsid w:val="00647FCE"/>
    <w:rsid w:val="00654208"/>
    <w:rsid w:val="00665F13"/>
    <w:rsid w:val="00670EE1"/>
    <w:rsid w:val="00672BC1"/>
    <w:rsid w:val="0068594D"/>
    <w:rsid w:val="0069298B"/>
    <w:rsid w:val="0069375F"/>
    <w:rsid w:val="006A46D7"/>
    <w:rsid w:val="006B2A33"/>
    <w:rsid w:val="006C1137"/>
    <w:rsid w:val="006C5EC0"/>
    <w:rsid w:val="006E14F7"/>
    <w:rsid w:val="006F548F"/>
    <w:rsid w:val="00727BFA"/>
    <w:rsid w:val="00732614"/>
    <w:rsid w:val="00736711"/>
    <w:rsid w:val="007818B7"/>
    <w:rsid w:val="0078520F"/>
    <w:rsid w:val="00790C5E"/>
    <w:rsid w:val="007D2F02"/>
    <w:rsid w:val="007E14A6"/>
    <w:rsid w:val="007E7128"/>
    <w:rsid w:val="007F4107"/>
    <w:rsid w:val="007F476B"/>
    <w:rsid w:val="00811537"/>
    <w:rsid w:val="00823095"/>
    <w:rsid w:val="00832E5F"/>
    <w:rsid w:val="0084775B"/>
    <w:rsid w:val="00855FDA"/>
    <w:rsid w:val="0087097F"/>
    <w:rsid w:val="00875216"/>
    <w:rsid w:val="00896050"/>
    <w:rsid w:val="00897939"/>
    <w:rsid w:val="008D79F2"/>
    <w:rsid w:val="008F4B7B"/>
    <w:rsid w:val="008F5165"/>
    <w:rsid w:val="009300B8"/>
    <w:rsid w:val="00952E8A"/>
    <w:rsid w:val="0095438C"/>
    <w:rsid w:val="0095716D"/>
    <w:rsid w:val="00957676"/>
    <w:rsid w:val="009637DC"/>
    <w:rsid w:val="009B7CBE"/>
    <w:rsid w:val="009D2B51"/>
    <w:rsid w:val="009E0A2B"/>
    <w:rsid w:val="00A00151"/>
    <w:rsid w:val="00A020E1"/>
    <w:rsid w:val="00A4076E"/>
    <w:rsid w:val="00A6203C"/>
    <w:rsid w:val="00A6341D"/>
    <w:rsid w:val="00A858C3"/>
    <w:rsid w:val="00AB104A"/>
    <w:rsid w:val="00AC096C"/>
    <w:rsid w:val="00AC0E15"/>
    <w:rsid w:val="00AC2062"/>
    <w:rsid w:val="00AD00B0"/>
    <w:rsid w:val="00AD3EF3"/>
    <w:rsid w:val="00AD7188"/>
    <w:rsid w:val="00AD795A"/>
    <w:rsid w:val="00AF527A"/>
    <w:rsid w:val="00AF5811"/>
    <w:rsid w:val="00B06DC2"/>
    <w:rsid w:val="00B30429"/>
    <w:rsid w:val="00B41453"/>
    <w:rsid w:val="00B43DD9"/>
    <w:rsid w:val="00B53FCD"/>
    <w:rsid w:val="00B56407"/>
    <w:rsid w:val="00B57B69"/>
    <w:rsid w:val="00B949C8"/>
    <w:rsid w:val="00BA4AF4"/>
    <w:rsid w:val="00BD4F85"/>
    <w:rsid w:val="00C16A94"/>
    <w:rsid w:val="00C2139B"/>
    <w:rsid w:val="00C21657"/>
    <w:rsid w:val="00C4028C"/>
    <w:rsid w:val="00C4065E"/>
    <w:rsid w:val="00C41966"/>
    <w:rsid w:val="00C525AB"/>
    <w:rsid w:val="00C53A50"/>
    <w:rsid w:val="00C5459A"/>
    <w:rsid w:val="00C54B7E"/>
    <w:rsid w:val="00C723FD"/>
    <w:rsid w:val="00C85B08"/>
    <w:rsid w:val="00C92A4B"/>
    <w:rsid w:val="00C92B81"/>
    <w:rsid w:val="00CD0101"/>
    <w:rsid w:val="00CD5371"/>
    <w:rsid w:val="00CF6BE5"/>
    <w:rsid w:val="00D0580E"/>
    <w:rsid w:val="00D10F23"/>
    <w:rsid w:val="00D10FED"/>
    <w:rsid w:val="00D11035"/>
    <w:rsid w:val="00D176C0"/>
    <w:rsid w:val="00D309A1"/>
    <w:rsid w:val="00D3271D"/>
    <w:rsid w:val="00D73E3D"/>
    <w:rsid w:val="00D93B6A"/>
    <w:rsid w:val="00D94623"/>
    <w:rsid w:val="00D97F77"/>
    <w:rsid w:val="00DA6788"/>
    <w:rsid w:val="00DB2CFB"/>
    <w:rsid w:val="00DB6AA9"/>
    <w:rsid w:val="00DF3E62"/>
    <w:rsid w:val="00E14764"/>
    <w:rsid w:val="00E20224"/>
    <w:rsid w:val="00E304AA"/>
    <w:rsid w:val="00E40A38"/>
    <w:rsid w:val="00E47634"/>
    <w:rsid w:val="00E61304"/>
    <w:rsid w:val="00E74379"/>
    <w:rsid w:val="00E936C9"/>
    <w:rsid w:val="00EB4773"/>
    <w:rsid w:val="00F10E72"/>
    <w:rsid w:val="00F1362E"/>
    <w:rsid w:val="00F14403"/>
    <w:rsid w:val="00F27F64"/>
    <w:rsid w:val="00F45BE7"/>
    <w:rsid w:val="00F45EB6"/>
    <w:rsid w:val="00F833A5"/>
    <w:rsid w:val="00F86317"/>
    <w:rsid w:val="00F92BCA"/>
    <w:rsid w:val="00FC76FF"/>
    <w:rsid w:val="00FE2272"/>
    <w:rsid w:val="00FF047D"/>
    <w:rsid w:val="01596ED8"/>
    <w:rsid w:val="031B4C4F"/>
    <w:rsid w:val="13E5FD99"/>
    <w:rsid w:val="1425330C"/>
    <w:rsid w:val="175CA5E4"/>
    <w:rsid w:val="1D6C166A"/>
    <w:rsid w:val="22952F77"/>
    <w:rsid w:val="36AE170D"/>
    <w:rsid w:val="3A436724"/>
    <w:rsid w:val="49DE6236"/>
    <w:rsid w:val="7D97E0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3F18"/>
  <w15:chartTrackingRefBased/>
  <w15:docId w15:val="{6DB32C9A-E144-C043-B922-E5478C3E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FB8"/>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sultsublistitem1">
    <w:name w:val="resultsublistitem1"/>
    <w:basedOn w:val="DefaultParagraphFont"/>
    <w:rsid w:val="001B7FB8"/>
    <w:rPr>
      <w:rFonts w:ascii="Arial" w:hAnsi="Arial" w:cs="Arial"/>
      <w:sz w:val="16"/>
      <w:szCs w:val="16"/>
    </w:rPr>
  </w:style>
  <w:style w:type="paragraph" w:styleId="Title">
    <w:name w:val="Title"/>
    <w:basedOn w:val="Normal"/>
    <w:link w:val="TitleChar"/>
    <w:qFormat/>
    <w:rsid w:val="001B7FB8"/>
    <w:pPr>
      <w:autoSpaceDE w:val="0"/>
      <w:autoSpaceDN w:val="0"/>
      <w:jc w:val="center"/>
    </w:pPr>
    <w:rPr>
      <w:b/>
      <w:bCs/>
    </w:rPr>
  </w:style>
  <w:style w:type="character" w:customStyle="1" w:styleId="TitleChar">
    <w:name w:val="Title Char"/>
    <w:basedOn w:val="DefaultParagraphFont"/>
    <w:link w:val="Title"/>
    <w:rsid w:val="001B7FB8"/>
    <w:rPr>
      <w:rFonts w:ascii="Times New Roman" w:eastAsia="Times New Roman" w:hAnsi="Times New Roman" w:cs="Times New Roman"/>
      <w:b/>
      <w:bCs/>
      <w:lang w:eastAsia="en-GB"/>
    </w:rPr>
  </w:style>
  <w:style w:type="paragraph" w:styleId="ListParagraph">
    <w:name w:val="List Paragraph"/>
    <w:basedOn w:val="Normal"/>
    <w:uiPriority w:val="34"/>
    <w:qFormat/>
    <w:rsid w:val="001B7FB8"/>
    <w:pPr>
      <w:ind w:left="720"/>
      <w:contextualSpacing/>
    </w:pPr>
  </w:style>
  <w:style w:type="paragraph" w:styleId="Footer">
    <w:name w:val="footer"/>
    <w:basedOn w:val="Normal"/>
    <w:link w:val="FooterChar"/>
    <w:uiPriority w:val="99"/>
    <w:unhideWhenUsed/>
    <w:rsid w:val="00832E5F"/>
    <w:pPr>
      <w:tabs>
        <w:tab w:val="center" w:pos="4680"/>
        <w:tab w:val="right" w:pos="9360"/>
      </w:tabs>
    </w:pPr>
  </w:style>
  <w:style w:type="character" w:customStyle="1" w:styleId="FooterChar">
    <w:name w:val="Footer Char"/>
    <w:basedOn w:val="DefaultParagraphFont"/>
    <w:link w:val="Footer"/>
    <w:uiPriority w:val="99"/>
    <w:rsid w:val="00832E5F"/>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832E5F"/>
  </w:style>
  <w:style w:type="paragraph" w:styleId="BalloonText">
    <w:name w:val="Balloon Text"/>
    <w:basedOn w:val="Normal"/>
    <w:link w:val="BalloonTextChar"/>
    <w:uiPriority w:val="99"/>
    <w:semiHidden/>
    <w:unhideWhenUsed/>
    <w:rsid w:val="00952E8A"/>
    <w:rPr>
      <w:sz w:val="18"/>
      <w:szCs w:val="18"/>
    </w:rPr>
  </w:style>
  <w:style w:type="character" w:customStyle="1" w:styleId="BalloonTextChar">
    <w:name w:val="Balloon Text Char"/>
    <w:basedOn w:val="DefaultParagraphFont"/>
    <w:link w:val="BalloonText"/>
    <w:uiPriority w:val="99"/>
    <w:semiHidden/>
    <w:rsid w:val="00952E8A"/>
    <w:rPr>
      <w:rFonts w:ascii="Times New Roman" w:eastAsia="Times New Roman" w:hAnsi="Times New Roman" w:cs="Times New Roman"/>
      <w:sz w:val="18"/>
      <w:szCs w:val="18"/>
      <w:lang w:eastAsia="en-GB"/>
    </w:rPr>
  </w:style>
  <w:style w:type="character" w:styleId="CommentReference">
    <w:name w:val="annotation reference"/>
    <w:basedOn w:val="DefaultParagraphFont"/>
    <w:uiPriority w:val="99"/>
    <w:semiHidden/>
    <w:unhideWhenUsed/>
    <w:rsid w:val="00B30429"/>
    <w:rPr>
      <w:sz w:val="16"/>
      <w:szCs w:val="16"/>
    </w:rPr>
  </w:style>
  <w:style w:type="paragraph" w:styleId="CommentText">
    <w:name w:val="annotation text"/>
    <w:basedOn w:val="Normal"/>
    <w:link w:val="CommentTextChar"/>
    <w:uiPriority w:val="99"/>
    <w:semiHidden/>
    <w:unhideWhenUsed/>
    <w:rsid w:val="00B30429"/>
    <w:rPr>
      <w:sz w:val="20"/>
      <w:szCs w:val="20"/>
    </w:rPr>
  </w:style>
  <w:style w:type="character" w:customStyle="1" w:styleId="CommentTextChar">
    <w:name w:val="Comment Text Char"/>
    <w:basedOn w:val="DefaultParagraphFont"/>
    <w:link w:val="CommentText"/>
    <w:uiPriority w:val="99"/>
    <w:semiHidden/>
    <w:rsid w:val="00B3042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B30429"/>
    <w:rPr>
      <w:b/>
      <w:bCs/>
    </w:rPr>
  </w:style>
  <w:style w:type="character" w:customStyle="1" w:styleId="CommentSubjectChar">
    <w:name w:val="Comment Subject Char"/>
    <w:basedOn w:val="CommentTextChar"/>
    <w:link w:val="CommentSubject"/>
    <w:uiPriority w:val="99"/>
    <w:semiHidden/>
    <w:rsid w:val="00B30429"/>
    <w:rPr>
      <w:rFonts w:ascii="Times New Roman" w:eastAsia="Times New Roman" w:hAnsi="Times New Roman" w:cs="Times New Roman"/>
      <w:b/>
      <w:bCs/>
      <w:sz w:val="20"/>
      <w:szCs w:val="20"/>
      <w:lang w:eastAsia="en-GB"/>
    </w:rPr>
  </w:style>
  <w:style w:type="character" w:styleId="IntenseEmphasis">
    <w:name w:val="Intense Emphasis"/>
    <w:uiPriority w:val="21"/>
    <w:qFormat/>
    <w:rsid w:val="0069375F"/>
    <w:rPr>
      <w:rFonts w:ascii="Kings Caslon Text" w:hAnsi="Kings Caslon Text"/>
      <w:b/>
      <w:i/>
      <w:iCs/>
      <w:color w:val="0070C0"/>
    </w:rPr>
  </w:style>
  <w:style w:type="character" w:styleId="Hyperlink">
    <w:name w:val="Hyperlink"/>
    <w:basedOn w:val="DefaultParagraphFont"/>
    <w:uiPriority w:val="99"/>
    <w:unhideWhenUsed/>
    <w:rsid w:val="00823095"/>
    <w:rPr>
      <w:color w:val="0563C1" w:themeColor="hyperlink"/>
      <w:u w:val="single"/>
    </w:rPr>
  </w:style>
  <w:style w:type="character" w:styleId="UnresolvedMention">
    <w:name w:val="Unresolved Mention"/>
    <w:basedOn w:val="DefaultParagraphFont"/>
    <w:uiPriority w:val="99"/>
    <w:semiHidden/>
    <w:unhideWhenUsed/>
    <w:rsid w:val="00823095"/>
    <w:rPr>
      <w:color w:val="605E5C"/>
      <w:shd w:val="clear" w:color="auto" w:fill="E1DFDD"/>
    </w:rPr>
  </w:style>
  <w:style w:type="character" w:styleId="FollowedHyperlink">
    <w:name w:val="FollowedHyperlink"/>
    <w:basedOn w:val="DefaultParagraphFont"/>
    <w:uiPriority w:val="99"/>
    <w:semiHidden/>
    <w:unhideWhenUsed/>
    <w:rsid w:val="008230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13971">
      <w:bodyDiv w:val="1"/>
      <w:marLeft w:val="0"/>
      <w:marRight w:val="0"/>
      <w:marTop w:val="0"/>
      <w:marBottom w:val="0"/>
      <w:divBdr>
        <w:top w:val="none" w:sz="0" w:space="0" w:color="auto"/>
        <w:left w:val="none" w:sz="0" w:space="0" w:color="auto"/>
        <w:bottom w:val="none" w:sz="0" w:space="0" w:color="auto"/>
        <w:right w:val="none" w:sz="0" w:space="0" w:color="auto"/>
      </w:divBdr>
    </w:div>
    <w:div w:id="430663664">
      <w:bodyDiv w:val="1"/>
      <w:marLeft w:val="0"/>
      <w:marRight w:val="0"/>
      <w:marTop w:val="0"/>
      <w:marBottom w:val="0"/>
      <w:divBdr>
        <w:top w:val="none" w:sz="0" w:space="0" w:color="auto"/>
        <w:left w:val="none" w:sz="0" w:space="0" w:color="auto"/>
        <w:bottom w:val="none" w:sz="0" w:space="0" w:color="auto"/>
        <w:right w:val="none" w:sz="0" w:space="0" w:color="auto"/>
      </w:divBdr>
    </w:div>
    <w:div w:id="908341398">
      <w:bodyDiv w:val="1"/>
      <w:marLeft w:val="0"/>
      <w:marRight w:val="0"/>
      <w:marTop w:val="0"/>
      <w:marBottom w:val="0"/>
      <w:divBdr>
        <w:top w:val="none" w:sz="0" w:space="0" w:color="auto"/>
        <w:left w:val="none" w:sz="0" w:space="0" w:color="auto"/>
        <w:bottom w:val="none" w:sz="0" w:space="0" w:color="auto"/>
        <w:right w:val="none" w:sz="0" w:space="0" w:color="auto"/>
      </w:divBdr>
    </w:div>
    <w:div w:id="936787188">
      <w:bodyDiv w:val="1"/>
      <w:marLeft w:val="0"/>
      <w:marRight w:val="0"/>
      <w:marTop w:val="0"/>
      <w:marBottom w:val="0"/>
      <w:divBdr>
        <w:top w:val="none" w:sz="0" w:space="0" w:color="auto"/>
        <w:left w:val="none" w:sz="0" w:space="0" w:color="auto"/>
        <w:bottom w:val="none" w:sz="0" w:space="0" w:color="auto"/>
        <w:right w:val="none" w:sz="0" w:space="0" w:color="auto"/>
      </w:divBdr>
    </w:div>
    <w:div w:id="1115247646">
      <w:bodyDiv w:val="1"/>
      <w:marLeft w:val="0"/>
      <w:marRight w:val="0"/>
      <w:marTop w:val="0"/>
      <w:marBottom w:val="0"/>
      <w:divBdr>
        <w:top w:val="none" w:sz="0" w:space="0" w:color="auto"/>
        <w:left w:val="none" w:sz="0" w:space="0" w:color="auto"/>
        <w:bottom w:val="none" w:sz="0" w:space="0" w:color="auto"/>
        <w:right w:val="none" w:sz="0" w:space="0" w:color="auto"/>
      </w:divBdr>
    </w:div>
    <w:div w:id="1131091047">
      <w:bodyDiv w:val="1"/>
      <w:marLeft w:val="0"/>
      <w:marRight w:val="0"/>
      <w:marTop w:val="0"/>
      <w:marBottom w:val="0"/>
      <w:divBdr>
        <w:top w:val="none" w:sz="0" w:space="0" w:color="auto"/>
        <w:left w:val="none" w:sz="0" w:space="0" w:color="auto"/>
        <w:bottom w:val="none" w:sz="0" w:space="0" w:color="auto"/>
        <w:right w:val="none" w:sz="0" w:space="0" w:color="auto"/>
      </w:divBdr>
    </w:div>
    <w:div w:id="1476220277">
      <w:bodyDiv w:val="1"/>
      <w:marLeft w:val="0"/>
      <w:marRight w:val="0"/>
      <w:marTop w:val="0"/>
      <w:marBottom w:val="0"/>
      <w:divBdr>
        <w:top w:val="none" w:sz="0" w:space="0" w:color="auto"/>
        <w:left w:val="none" w:sz="0" w:space="0" w:color="auto"/>
        <w:bottom w:val="none" w:sz="0" w:space="0" w:color="auto"/>
        <w:right w:val="none" w:sz="0" w:space="0" w:color="auto"/>
      </w:divBdr>
    </w:div>
    <w:div w:id="150053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F8D05B25DBD65479F341CDCBA0DE3E0" ma:contentTypeVersion="7" ma:contentTypeDescription="Create a new document." ma:contentTypeScope="" ma:versionID="b771b457e615fe5d2a2055591f9d34e5">
  <xsd:schema xmlns:xsd="http://www.w3.org/2001/XMLSchema" xmlns:xs="http://www.w3.org/2001/XMLSchema" xmlns:p="http://schemas.microsoft.com/office/2006/metadata/properties" xmlns:ns2="c85093d1-3ffd-4cb5-81a7-333380151176" xmlns:ns3="dab24798-d3b6-4f34-9d9a-4183cf31177d" targetNamespace="http://schemas.microsoft.com/office/2006/metadata/properties" ma:root="true" ma:fieldsID="a50be4b93f2bef9a96fda66cbb4806b8" ns2:_="" ns3:_="">
    <xsd:import namespace="c85093d1-3ffd-4cb5-81a7-333380151176"/>
    <xsd:import namespace="dab24798-d3b6-4f34-9d9a-4183cf3117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093d1-3ffd-4cb5-81a7-3333801511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b24798-d3b6-4f34-9d9a-4183cf31177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5B8F9A-E16E-4B3C-BEC1-30ECEE15CF7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261563D-0931-40CE-A622-C6174560C1BA}">
  <ds:schemaRefs>
    <ds:schemaRef ds:uri="http://schemas.openxmlformats.org/officeDocument/2006/bibliography"/>
  </ds:schemaRefs>
</ds:datastoreItem>
</file>

<file path=customXml/itemProps3.xml><?xml version="1.0" encoding="utf-8"?>
<ds:datastoreItem xmlns:ds="http://schemas.openxmlformats.org/officeDocument/2006/customXml" ds:itemID="{FAD8EE5F-DA8D-4B4A-8BBE-F2372F0A3F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5093d1-3ffd-4cb5-81a7-333380151176"/>
    <ds:schemaRef ds:uri="dab24798-d3b6-4f34-9d9a-4183cf3117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433423-E81C-4776-B99E-F4C0FC417D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745</TotalTime>
  <Pages>3</Pages>
  <Words>788</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 Mc Grath</dc:creator>
  <cp:keywords/>
  <dc:description/>
  <cp:lastModifiedBy>Letwin, Jeremy</cp:lastModifiedBy>
  <cp:revision>160</cp:revision>
  <dcterms:created xsi:type="dcterms:W3CDTF">2021-03-01T11:34:00Z</dcterms:created>
  <dcterms:modified xsi:type="dcterms:W3CDTF">2025-11-01T07:38:00Z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0x0101000F8D05B25DBD65479F341CDCBA0DE3E0</vt:lpwstr>
  </property>
</Properties>
</file>