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1F28" w14:textId="31C67208" w:rsidR="001B7FB8" w:rsidRDefault="00732614" w:rsidP="001B7FB8">
      <w:pPr>
        <w:jc w:val="center"/>
        <w:rPr>
          <w:rFonts w:ascii="Palatino Linotype" w:hAnsi="Palatino Linotype"/>
          <w:b/>
        </w:rPr>
      </w:pPr>
      <w:r w:rsidRPr="00732614">
        <w:rPr>
          <w:rFonts w:ascii="Palatino Linotype" w:hAnsi="Palatino Linotype"/>
          <w:b/>
          <w:u w:val="single"/>
        </w:rPr>
        <w:t xml:space="preserve">WEEK </w:t>
      </w:r>
      <w:r w:rsidR="00F057A0">
        <w:rPr>
          <w:rFonts w:ascii="Palatino Linotype" w:hAnsi="Palatino Linotype"/>
          <w:b/>
          <w:u w:val="single"/>
        </w:rPr>
        <w:t>7</w:t>
      </w:r>
    </w:p>
    <w:p w14:paraId="3E0E395A" w14:textId="42BAFD86" w:rsidR="00732614" w:rsidRDefault="00732614" w:rsidP="001B7FB8">
      <w:pPr>
        <w:jc w:val="center"/>
        <w:rPr>
          <w:rFonts w:ascii="Palatino Linotype" w:hAnsi="Palatino Linotype"/>
          <w:b/>
        </w:rPr>
      </w:pPr>
    </w:p>
    <w:p w14:paraId="1A9CD0A1" w14:textId="51386052" w:rsidR="00732614" w:rsidRPr="0019314B" w:rsidRDefault="00E23F52" w:rsidP="001B7FB8">
      <w:pPr>
        <w:jc w:val="center"/>
        <w:rPr>
          <w:rFonts w:ascii="Palatino Linotype" w:hAnsi="Palatino Linotype"/>
          <w:b/>
        </w:rPr>
      </w:pPr>
      <w:r>
        <w:rPr>
          <w:rFonts w:ascii="Palatino Linotype" w:hAnsi="Palatino Linotype"/>
          <w:b/>
        </w:rPr>
        <w:t>PURE PSYCHIATRIC INJURY</w:t>
      </w:r>
    </w:p>
    <w:p w14:paraId="4A1A6446" w14:textId="77777777" w:rsidR="001B7FB8" w:rsidRPr="0019314B" w:rsidRDefault="001B7FB8" w:rsidP="001B7FB8">
      <w:pPr>
        <w:rPr>
          <w:rFonts w:ascii="Palatino Linotype" w:hAnsi="Palatino Linotype" w:cs="Palatino Linotype"/>
          <w:b/>
          <w:smallCaps/>
          <w:color w:val="FF0000"/>
          <w:sz w:val="28"/>
          <w:u w:val="single"/>
        </w:rPr>
      </w:pPr>
    </w:p>
    <w:p w14:paraId="67015D43" w14:textId="7579C2B4" w:rsidR="00744240" w:rsidRDefault="004F13F2"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Another</w:t>
      </w:r>
      <w:r w:rsidR="00820373" w:rsidRPr="004F13F2">
        <w:rPr>
          <w:rFonts w:ascii="Palatino Linotype" w:hAnsi="Palatino Linotype" w:cs="Palatino Linotype"/>
          <w:b/>
          <w:bCs/>
          <w:color w:val="000000" w:themeColor="text1"/>
        </w:rPr>
        <w:t xml:space="preserve"> </w:t>
      </w:r>
      <w:r w:rsidR="00820373" w:rsidRPr="003A3A93">
        <w:rPr>
          <w:rFonts w:ascii="Palatino Linotype" w:hAnsi="Palatino Linotype" w:cs="Palatino Linotype"/>
          <w:color w:val="000000" w:themeColor="text1"/>
        </w:rPr>
        <w:t>problematic</w:t>
      </w:r>
      <w:r w:rsidR="00820373">
        <w:rPr>
          <w:rFonts w:ascii="Palatino Linotype" w:hAnsi="Palatino Linotype" w:cs="Palatino Linotype"/>
          <w:color w:val="000000" w:themeColor="text1"/>
        </w:rPr>
        <w:t xml:space="preserve"> ‘duty of care’</w:t>
      </w:r>
      <w:r>
        <w:rPr>
          <w:rFonts w:ascii="Palatino Linotype" w:hAnsi="Palatino Linotype" w:cs="Palatino Linotype"/>
          <w:color w:val="000000" w:themeColor="text1"/>
        </w:rPr>
        <w:t xml:space="preserve"> </w:t>
      </w:r>
      <w:r w:rsidR="00820373">
        <w:rPr>
          <w:rFonts w:ascii="Palatino Linotype" w:hAnsi="Palatino Linotype" w:cs="Palatino Linotype"/>
          <w:color w:val="000000" w:themeColor="text1"/>
        </w:rPr>
        <w:t>situation</w:t>
      </w:r>
      <w:r>
        <w:rPr>
          <w:rFonts w:ascii="Palatino Linotype" w:hAnsi="Palatino Linotype" w:cs="Palatino Linotype"/>
          <w:color w:val="000000" w:themeColor="text1"/>
        </w:rPr>
        <w:t xml:space="preserve"> is pure</w:t>
      </w:r>
      <w:r w:rsidR="00820373">
        <w:rPr>
          <w:rFonts w:ascii="Palatino Linotype" w:hAnsi="Palatino Linotype" w:cs="Palatino Linotype"/>
          <w:color w:val="000000" w:themeColor="text1"/>
        </w:rPr>
        <w:t xml:space="preserve"> psychiatric injury. </w:t>
      </w:r>
      <w:r w:rsidR="00377132">
        <w:rPr>
          <w:rFonts w:ascii="Palatino Linotype" w:hAnsi="Palatino Linotype" w:cs="Palatino Linotype"/>
          <w:color w:val="000000" w:themeColor="text1"/>
        </w:rPr>
        <w:t>Like for pure economic loss, the law ranks</w:t>
      </w:r>
      <w:r w:rsidR="005E7E22">
        <w:rPr>
          <w:rFonts w:ascii="Palatino Linotype" w:hAnsi="Palatino Linotype" w:cs="Palatino Linotype"/>
          <w:color w:val="000000" w:themeColor="text1"/>
        </w:rPr>
        <w:t xml:space="preserve"> pure</w:t>
      </w:r>
      <w:r w:rsidR="00377132">
        <w:rPr>
          <w:rFonts w:ascii="Palatino Linotype" w:hAnsi="Palatino Linotype" w:cs="Palatino Linotype"/>
          <w:color w:val="000000" w:themeColor="text1"/>
        </w:rPr>
        <w:t xml:space="preserve"> psychiatric illness lower in the hierarchy of human interests than physical injury or property damage.</w:t>
      </w:r>
      <w:r w:rsidR="00816789">
        <w:rPr>
          <w:rFonts w:ascii="Palatino Linotype" w:hAnsi="Palatino Linotype" w:cs="Palatino Linotype"/>
          <w:color w:val="000000" w:themeColor="text1"/>
        </w:rPr>
        <w:t xml:space="preserve"> And just like </w:t>
      </w:r>
      <w:r w:rsidR="00FA2B3C">
        <w:rPr>
          <w:rFonts w:ascii="Palatino Linotype" w:hAnsi="Palatino Linotype" w:cs="Palatino Linotype"/>
          <w:color w:val="000000" w:themeColor="text1"/>
        </w:rPr>
        <w:t xml:space="preserve">for </w:t>
      </w:r>
      <w:r w:rsidR="00816789">
        <w:rPr>
          <w:rFonts w:ascii="Palatino Linotype" w:hAnsi="Palatino Linotype" w:cs="Palatino Linotype"/>
          <w:color w:val="000000" w:themeColor="text1"/>
        </w:rPr>
        <w:t>pure economic loss and omissions, the law does not generally recognise a duty of care for pure psychiatric injury apart from in certain defined circumstances.</w:t>
      </w:r>
      <w:r w:rsidR="00FA2B3C">
        <w:rPr>
          <w:rFonts w:ascii="Palatino Linotype" w:hAnsi="Palatino Linotype" w:cs="Palatino Linotype"/>
          <w:color w:val="000000" w:themeColor="text1"/>
        </w:rPr>
        <w:t xml:space="preserve"> However, unlike </w:t>
      </w:r>
      <w:r w:rsidR="00331B5B">
        <w:rPr>
          <w:rFonts w:ascii="Palatino Linotype" w:hAnsi="Palatino Linotype" w:cs="Palatino Linotype"/>
          <w:color w:val="000000" w:themeColor="text1"/>
        </w:rPr>
        <w:t xml:space="preserve">these other problematic duty situations, the law here is rife with arbitrary distinctions which make no sense at all – it is, as Lord Steyn said in </w:t>
      </w:r>
      <w:r w:rsidR="00331B5B">
        <w:rPr>
          <w:rFonts w:ascii="Palatino Linotype" w:hAnsi="Palatino Linotype" w:cs="Palatino Linotype"/>
          <w:i/>
          <w:iCs/>
          <w:color w:val="000000" w:themeColor="text1"/>
        </w:rPr>
        <w:t>White</w:t>
      </w:r>
      <w:r w:rsidR="00DD58CB">
        <w:rPr>
          <w:rFonts w:ascii="Palatino Linotype" w:hAnsi="Palatino Linotype" w:cs="Palatino Linotype"/>
          <w:color w:val="000000" w:themeColor="text1"/>
        </w:rPr>
        <w:t>,</w:t>
      </w:r>
      <w:r w:rsidR="00331B5B">
        <w:rPr>
          <w:rFonts w:ascii="Palatino Linotype" w:hAnsi="Palatino Linotype" w:cs="Palatino Linotype"/>
          <w:i/>
          <w:iCs/>
          <w:color w:val="000000" w:themeColor="text1"/>
        </w:rPr>
        <w:t xml:space="preserve"> </w:t>
      </w:r>
      <w:r w:rsidR="00331B5B">
        <w:rPr>
          <w:rFonts w:ascii="Palatino Linotype" w:hAnsi="Palatino Linotype" w:cs="Palatino Linotype"/>
          <w:color w:val="000000" w:themeColor="text1"/>
        </w:rPr>
        <w:t xml:space="preserve">“a patchwork quilt of distinctions which are difficult to justify”. </w:t>
      </w:r>
      <w:r w:rsidR="00744240">
        <w:rPr>
          <w:rFonts w:ascii="Palatino Linotype" w:hAnsi="Palatino Linotype" w:cs="Palatino Linotype"/>
          <w:color w:val="000000" w:themeColor="text1"/>
        </w:rPr>
        <w:t xml:space="preserve">It cannot seriously be argued that there are sound, coherent principles which justify the way the law works here. That makes it difficult to learn and difficult to understand. </w:t>
      </w:r>
    </w:p>
    <w:p w14:paraId="5AB1A476" w14:textId="77777777" w:rsidR="0011075D" w:rsidRDefault="0011075D" w:rsidP="00A020E1">
      <w:pPr>
        <w:widowControl w:val="0"/>
        <w:autoSpaceDE w:val="0"/>
        <w:autoSpaceDN w:val="0"/>
        <w:adjustRightInd w:val="0"/>
        <w:jc w:val="both"/>
        <w:rPr>
          <w:rFonts w:ascii="Palatino Linotype" w:hAnsi="Palatino Linotype" w:cs="Palatino Linotype"/>
          <w:color w:val="000000" w:themeColor="text1"/>
        </w:rPr>
      </w:pPr>
    </w:p>
    <w:p w14:paraId="358CD6F6" w14:textId="4334A0C9" w:rsidR="0011075D" w:rsidRDefault="0011075D"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A number of key ideas should be understood:</w:t>
      </w:r>
    </w:p>
    <w:p w14:paraId="320BB571" w14:textId="76B3F6F4" w:rsidR="00F30ACB" w:rsidRDefault="00DE2327" w:rsidP="00A020E1">
      <w:pPr>
        <w:pStyle w:val="ListParagraph"/>
        <w:widowControl w:val="0"/>
        <w:numPr>
          <w:ilvl w:val="0"/>
          <w:numId w:val="5"/>
        </w:numPr>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L</w:t>
      </w:r>
      <w:r w:rsidR="0011075D" w:rsidRPr="00DE2327">
        <w:rPr>
          <w:rFonts w:ascii="Palatino Linotype" w:hAnsi="Palatino Linotype" w:cs="Palatino Linotype"/>
          <w:color w:val="000000" w:themeColor="text1"/>
        </w:rPr>
        <w:t>ike economic loss, the general exclusionary rules operate only in relation to ‘pure’ psychiatric injury. Where</w:t>
      </w:r>
      <w:r>
        <w:rPr>
          <w:rFonts w:ascii="Palatino Linotype" w:hAnsi="Palatino Linotype" w:cs="Palatino Linotype"/>
          <w:color w:val="000000" w:themeColor="text1"/>
        </w:rPr>
        <w:t xml:space="preserve"> psychiatric injury is consequent upon C suffering personal injury or property damage, there is no issues, and such loss can be recovered under ordinary ‘pain, suffering, and loss of amenity’ damages, which you will learn about when we cover damages.</w:t>
      </w:r>
    </w:p>
    <w:p w14:paraId="7244BCF5" w14:textId="1F11A169" w:rsidR="00DE2327" w:rsidRDefault="00DE2327" w:rsidP="00A020E1">
      <w:pPr>
        <w:pStyle w:val="ListParagraph"/>
        <w:widowControl w:val="0"/>
        <w:numPr>
          <w:ilvl w:val="0"/>
          <w:numId w:val="5"/>
        </w:numPr>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The distinction between primary victims, secondary victims, and awkward victims who simply don’t fit into these categories neatly.</w:t>
      </w:r>
    </w:p>
    <w:p w14:paraId="44933B9D" w14:textId="5D226A96" w:rsidR="00DE2327" w:rsidRPr="00DE2327" w:rsidRDefault="00A53BEC" w:rsidP="00A020E1">
      <w:pPr>
        <w:pStyle w:val="ListParagraph"/>
        <w:widowControl w:val="0"/>
        <w:numPr>
          <w:ilvl w:val="0"/>
          <w:numId w:val="5"/>
        </w:numPr>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The different rules for liability which apply to primary victims and secondary victims.</w:t>
      </w:r>
    </w:p>
    <w:p w14:paraId="643CF21A" w14:textId="77777777" w:rsidR="00D10FED" w:rsidRPr="0019314B" w:rsidRDefault="00D10FED" w:rsidP="0069375F">
      <w:pPr>
        <w:jc w:val="both"/>
        <w:rPr>
          <w:rFonts w:ascii="Palatino Linotype" w:hAnsi="Palatino Linotype" w:cs="Palatino Linotype"/>
          <w:color w:val="FF0000"/>
        </w:rPr>
      </w:pPr>
    </w:p>
    <w:p w14:paraId="597CD0AE" w14:textId="6324B6ED" w:rsidR="00A00151" w:rsidRPr="0019314B" w:rsidRDefault="00A00151" w:rsidP="0069375F">
      <w:pPr>
        <w:jc w:val="both"/>
        <w:rPr>
          <w:rFonts w:ascii="Palatino Linotype" w:hAnsi="Palatino Linotype" w:cs="Palatino Linotype"/>
          <w:b/>
          <w:bCs/>
          <w:color w:val="000000" w:themeColor="text1"/>
        </w:rPr>
      </w:pPr>
      <w:r w:rsidRPr="0019314B">
        <w:rPr>
          <w:rFonts w:ascii="Palatino Linotype" w:hAnsi="Palatino Linotype" w:cs="Palatino Linotype"/>
          <w:b/>
          <w:bCs/>
          <w:color w:val="000000" w:themeColor="text1"/>
        </w:rPr>
        <w:t>Textbook</w:t>
      </w:r>
      <w:r w:rsidR="0004734B" w:rsidRPr="0019314B">
        <w:rPr>
          <w:rFonts w:ascii="Palatino Linotype" w:hAnsi="Palatino Linotype" w:cs="Palatino Linotype"/>
          <w:b/>
          <w:bCs/>
          <w:color w:val="000000" w:themeColor="text1"/>
        </w:rPr>
        <w:t>s</w:t>
      </w:r>
    </w:p>
    <w:p w14:paraId="7924D4A6" w14:textId="7CF7922F" w:rsidR="007F24E3" w:rsidRDefault="007F24E3" w:rsidP="007F24E3">
      <w:pPr>
        <w:pStyle w:val="Default"/>
        <w:jc w:val="both"/>
        <w:rPr>
          <w:rFonts w:ascii="Palatino Linotype" w:hAnsi="Palatino Linotype" w:cs="Palatino Linotype"/>
          <w:b/>
          <w:bCs/>
          <w:color w:val="0070C0"/>
        </w:rPr>
      </w:pPr>
      <w:r>
        <w:rPr>
          <w:rFonts w:ascii="Palatino Linotype" w:hAnsi="Palatino Linotype" w:cs="Palatino Linotype"/>
          <w:b/>
          <w:bCs/>
          <w:color w:val="0070C0"/>
        </w:rPr>
        <w:t>*H&amp;R, Chapter 5 (‘Special Duty Problems: Psychiatric Injury’)</w:t>
      </w:r>
    </w:p>
    <w:p w14:paraId="604A3853" w14:textId="77777777" w:rsidR="00D5785B" w:rsidRPr="003C2663" w:rsidRDefault="00D5785B" w:rsidP="00D5785B">
      <w:pPr>
        <w:ind w:left="720"/>
        <w:jc w:val="both"/>
        <w:rPr>
          <w:rFonts w:ascii="Palatino Linotype" w:hAnsi="Palatino Linotype" w:cs="Palatino Linotype"/>
          <w:b/>
          <w:bCs/>
          <w:color w:val="0070C0"/>
        </w:rPr>
      </w:pPr>
      <w:r>
        <w:rPr>
          <w:rFonts w:ascii="Palatino Linotype" w:hAnsi="Palatino Linotype" w:cs="Palatino Linotype"/>
          <w:b/>
          <w:bCs/>
          <w:color w:val="0070C0"/>
        </w:rPr>
        <w:t>MAKE SURE THIS IS THE 9</w:t>
      </w:r>
      <w:r w:rsidRPr="005F4E63">
        <w:rPr>
          <w:rFonts w:ascii="Palatino Linotype" w:hAnsi="Palatino Linotype" w:cs="Palatino Linotype"/>
          <w:b/>
          <w:bCs/>
          <w:color w:val="0070C0"/>
          <w:vertAlign w:val="superscript"/>
        </w:rPr>
        <w:t>TH</w:t>
      </w:r>
      <w:r>
        <w:rPr>
          <w:rFonts w:ascii="Palatino Linotype" w:hAnsi="Palatino Linotype" w:cs="Palatino Linotype"/>
          <w:b/>
          <w:bCs/>
          <w:color w:val="0070C0"/>
        </w:rPr>
        <w:t xml:space="preserve"> EDITION – THE OLD EDITION IS WRONG</w:t>
      </w:r>
    </w:p>
    <w:p w14:paraId="3C77F04B" w14:textId="77777777" w:rsidR="00D5785B" w:rsidRDefault="00D5785B" w:rsidP="007F24E3">
      <w:pPr>
        <w:pStyle w:val="Default"/>
        <w:jc w:val="both"/>
        <w:rPr>
          <w:rFonts w:ascii="Palatino Linotype" w:hAnsi="Palatino Linotype" w:cs="Palatino Linotype"/>
          <w:b/>
          <w:bCs/>
          <w:color w:val="0070C0"/>
        </w:rPr>
      </w:pPr>
    </w:p>
    <w:p w14:paraId="2CE1A00E" w14:textId="77777777" w:rsidR="005554E5" w:rsidRPr="005554E5" w:rsidRDefault="005554E5" w:rsidP="001B7FB8">
      <w:pPr>
        <w:jc w:val="both"/>
        <w:rPr>
          <w:rFonts w:ascii="Palatino Linotype" w:hAnsi="Palatino Linotype" w:cs="Palatino Linotype"/>
          <w:b/>
          <w:bCs/>
          <w:color w:val="0070C0"/>
        </w:rPr>
      </w:pPr>
    </w:p>
    <w:p w14:paraId="3935A06C" w14:textId="3774B508" w:rsidR="00462CB5" w:rsidRPr="0019314B" w:rsidRDefault="00462CB5" w:rsidP="001B7FB8">
      <w:pPr>
        <w:jc w:val="both"/>
        <w:rPr>
          <w:rFonts w:ascii="Palatino Linotype" w:hAnsi="Palatino Linotype"/>
          <w:b/>
          <w:color w:val="000000" w:themeColor="text1"/>
        </w:rPr>
      </w:pPr>
      <w:r w:rsidRPr="0019314B">
        <w:rPr>
          <w:rFonts w:ascii="Palatino Linotype" w:hAnsi="Palatino Linotype"/>
          <w:b/>
          <w:color w:val="000000" w:themeColor="text1"/>
        </w:rPr>
        <w:t>Core cases</w:t>
      </w:r>
      <w:r w:rsidR="00B63FC0">
        <w:rPr>
          <w:rFonts w:ascii="Palatino Linotype" w:hAnsi="Palatino Linotype"/>
          <w:b/>
          <w:color w:val="000000" w:themeColor="text1"/>
        </w:rPr>
        <w:softHyphen/>
      </w:r>
    </w:p>
    <w:p w14:paraId="08747ED4" w14:textId="3EF660D0" w:rsidR="00244C63" w:rsidRPr="00244C63" w:rsidRDefault="00244C63" w:rsidP="009C2F5E">
      <w:pPr>
        <w:ind w:right="26"/>
        <w:jc w:val="both"/>
        <w:rPr>
          <w:rFonts w:ascii="Palatino Linotype" w:hAnsi="Palatino Linotype"/>
          <w:bCs/>
          <w:iCs/>
          <w:color w:val="000000" w:themeColor="text1"/>
        </w:rPr>
      </w:pPr>
      <w:r w:rsidRPr="00384D18">
        <w:rPr>
          <w:rFonts w:ascii="Palatino Linotype" w:hAnsi="Palatino Linotype"/>
          <w:b/>
          <w:iCs/>
          <w:color w:val="0070C0"/>
        </w:rPr>
        <w:t>*</w:t>
      </w:r>
      <w:r w:rsidRPr="00384D18">
        <w:rPr>
          <w:rFonts w:ascii="Palatino Linotype" w:hAnsi="Palatino Linotype"/>
          <w:b/>
          <w:i/>
          <w:color w:val="0070C0"/>
        </w:rPr>
        <w:t>Paul v Royal Wolverhampton NHS Trust</w:t>
      </w:r>
      <w:r w:rsidRPr="00384D18">
        <w:rPr>
          <w:rFonts w:ascii="Palatino Linotype" w:hAnsi="Palatino Linotype"/>
          <w:b/>
          <w:iCs/>
          <w:color w:val="0070C0"/>
        </w:rPr>
        <w:t xml:space="preserve"> </w:t>
      </w:r>
      <w:r w:rsidRPr="00D56692">
        <w:rPr>
          <w:rFonts w:ascii="Palatino Linotype" w:hAnsi="Palatino Linotype"/>
          <w:bCs/>
          <w:iCs/>
          <w:color w:val="000000" w:themeColor="text1"/>
        </w:rPr>
        <w:t>[2024] UKSC 1</w:t>
      </w:r>
      <w:r w:rsidR="004F13F2">
        <w:rPr>
          <w:rFonts w:ascii="Palatino Linotype" w:hAnsi="Palatino Linotype"/>
          <w:bCs/>
          <w:iCs/>
          <w:color w:val="000000" w:themeColor="text1"/>
        </w:rPr>
        <w:t xml:space="preserve"> (read both the majority judgment AND the dissenting judgment)</w:t>
      </w:r>
    </w:p>
    <w:p w14:paraId="3E6FF543" w14:textId="521B9D75" w:rsidR="009C2F5E" w:rsidRPr="009C2F5E" w:rsidRDefault="009C2F5E" w:rsidP="009C2F5E">
      <w:pPr>
        <w:ind w:right="26"/>
        <w:jc w:val="both"/>
        <w:rPr>
          <w:rFonts w:ascii="Palatino Linotype" w:hAnsi="Palatino Linotype"/>
          <w:b/>
          <w:iCs/>
          <w:color w:val="0070C0"/>
        </w:rPr>
      </w:pPr>
      <w:r w:rsidRPr="009C2F5E">
        <w:rPr>
          <w:rFonts w:ascii="Palatino Linotype" w:hAnsi="Palatino Linotype"/>
          <w:b/>
          <w:iCs/>
          <w:color w:val="0070C0"/>
        </w:rPr>
        <w:t>*</w:t>
      </w:r>
      <w:r w:rsidRPr="00AB2F46">
        <w:rPr>
          <w:rFonts w:ascii="Palatino Linotype" w:hAnsi="Palatino Linotype"/>
          <w:b/>
          <w:i/>
          <w:color w:val="0070C0"/>
        </w:rPr>
        <w:t>Alcock v Chief Constable of South Yorkshire</w:t>
      </w:r>
      <w:r w:rsidRPr="009C2F5E">
        <w:rPr>
          <w:rFonts w:ascii="Palatino Linotype" w:hAnsi="Palatino Linotype"/>
          <w:b/>
          <w:iCs/>
          <w:color w:val="0070C0"/>
        </w:rPr>
        <w:t xml:space="preserve"> </w:t>
      </w:r>
      <w:r w:rsidRPr="00AB2F46">
        <w:rPr>
          <w:rFonts w:ascii="Palatino Linotype" w:hAnsi="Palatino Linotype"/>
          <w:bCs/>
          <w:iCs/>
          <w:color w:val="000000" w:themeColor="text1"/>
        </w:rPr>
        <w:t xml:space="preserve">[1992] 1 AC 388 </w:t>
      </w:r>
    </w:p>
    <w:p w14:paraId="6820E7A6" w14:textId="77777777" w:rsidR="009C2F5E" w:rsidRPr="009C2F5E" w:rsidRDefault="009C2F5E" w:rsidP="009C2F5E">
      <w:pPr>
        <w:ind w:right="26"/>
        <w:jc w:val="both"/>
        <w:rPr>
          <w:rFonts w:ascii="Palatino Linotype" w:hAnsi="Palatino Linotype"/>
          <w:b/>
          <w:iCs/>
          <w:color w:val="0070C0"/>
        </w:rPr>
      </w:pPr>
      <w:r w:rsidRPr="009C2F5E">
        <w:rPr>
          <w:rFonts w:ascii="Palatino Linotype" w:hAnsi="Palatino Linotype"/>
          <w:b/>
          <w:iCs/>
          <w:color w:val="0070C0"/>
        </w:rPr>
        <w:t>*</w:t>
      </w:r>
      <w:r w:rsidRPr="00AB2F46">
        <w:rPr>
          <w:rFonts w:ascii="Palatino Linotype" w:hAnsi="Palatino Linotype"/>
          <w:b/>
          <w:i/>
          <w:color w:val="0070C0"/>
        </w:rPr>
        <w:t>Page v Smith</w:t>
      </w:r>
      <w:r w:rsidRPr="009C2F5E">
        <w:rPr>
          <w:rFonts w:ascii="Palatino Linotype" w:hAnsi="Palatino Linotype"/>
          <w:b/>
          <w:iCs/>
          <w:color w:val="0070C0"/>
        </w:rPr>
        <w:t xml:space="preserve"> </w:t>
      </w:r>
      <w:r w:rsidRPr="00AB2F46">
        <w:rPr>
          <w:rFonts w:ascii="Palatino Linotype" w:hAnsi="Palatino Linotype"/>
          <w:bCs/>
          <w:iCs/>
          <w:color w:val="000000" w:themeColor="text1"/>
        </w:rPr>
        <w:t>[1996] 1 AC 155</w:t>
      </w:r>
    </w:p>
    <w:p w14:paraId="7B411A61" w14:textId="262C2019" w:rsidR="009C2F5E" w:rsidRDefault="009C2F5E" w:rsidP="009C2F5E">
      <w:pPr>
        <w:ind w:right="26"/>
        <w:jc w:val="both"/>
        <w:rPr>
          <w:rFonts w:ascii="Palatino Linotype" w:hAnsi="Palatino Linotype"/>
          <w:bCs/>
          <w:iCs/>
          <w:color w:val="000000" w:themeColor="text1"/>
        </w:rPr>
      </w:pPr>
      <w:r w:rsidRPr="009C2F5E">
        <w:rPr>
          <w:rFonts w:ascii="Palatino Linotype" w:hAnsi="Palatino Linotype"/>
          <w:b/>
          <w:iCs/>
          <w:color w:val="0070C0"/>
        </w:rPr>
        <w:t>*</w:t>
      </w:r>
      <w:r w:rsidRPr="00AB2F46">
        <w:rPr>
          <w:rFonts w:ascii="Palatino Linotype" w:hAnsi="Palatino Linotype"/>
          <w:b/>
          <w:i/>
          <w:color w:val="0070C0"/>
        </w:rPr>
        <w:t>McLoughlin v Jones</w:t>
      </w:r>
      <w:r w:rsidRPr="00AB2F46">
        <w:rPr>
          <w:rFonts w:ascii="Palatino Linotype" w:hAnsi="Palatino Linotype"/>
          <w:bCs/>
          <w:iCs/>
          <w:color w:val="000000" w:themeColor="text1"/>
        </w:rPr>
        <w:t xml:space="preserve"> [2001] EWCA </w:t>
      </w:r>
      <w:proofErr w:type="spellStart"/>
      <w:r w:rsidRPr="00AB2F46">
        <w:rPr>
          <w:rFonts w:ascii="Palatino Linotype" w:hAnsi="Palatino Linotype"/>
          <w:bCs/>
          <w:iCs/>
          <w:color w:val="000000" w:themeColor="text1"/>
        </w:rPr>
        <w:t>Civ</w:t>
      </w:r>
      <w:proofErr w:type="spellEnd"/>
      <w:r w:rsidRPr="00AB2F46">
        <w:rPr>
          <w:rFonts w:ascii="Palatino Linotype" w:hAnsi="Palatino Linotype"/>
          <w:bCs/>
          <w:iCs/>
          <w:color w:val="000000" w:themeColor="text1"/>
        </w:rPr>
        <w:t xml:space="preserve"> 1743</w:t>
      </w:r>
    </w:p>
    <w:p w14:paraId="5CB2334D" w14:textId="61B27E00" w:rsidR="00B57A9F" w:rsidRPr="00384D18" w:rsidRDefault="00B57A9F" w:rsidP="00B57A9F">
      <w:pPr>
        <w:jc w:val="both"/>
        <w:rPr>
          <w:rFonts w:ascii="Palatino Linotype" w:hAnsi="Palatino Linotype"/>
          <w:bCs/>
          <w:iCs/>
          <w:color w:val="000000" w:themeColor="text1"/>
        </w:rPr>
      </w:pPr>
      <w:r w:rsidRPr="00B57A9F">
        <w:rPr>
          <w:rFonts w:ascii="Palatino Linotype" w:hAnsi="Palatino Linotype"/>
          <w:b/>
          <w:i/>
          <w:color w:val="0070C0"/>
        </w:rPr>
        <w:t xml:space="preserve">*W </w:t>
      </w:r>
      <w:r w:rsidRPr="00384D18">
        <w:rPr>
          <w:rFonts w:ascii="Palatino Linotype" w:hAnsi="Palatino Linotype"/>
          <w:b/>
          <w:i/>
          <w:color w:val="0070C0"/>
        </w:rPr>
        <w:t>v Essex CC</w:t>
      </w:r>
      <w:r w:rsidRPr="00384D18">
        <w:rPr>
          <w:rFonts w:ascii="Palatino Linotype" w:hAnsi="Palatino Linotype"/>
          <w:b/>
          <w:iCs/>
          <w:color w:val="0070C0"/>
        </w:rPr>
        <w:t xml:space="preserve"> </w:t>
      </w:r>
      <w:r w:rsidRPr="00384D18">
        <w:rPr>
          <w:rFonts w:ascii="Palatino Linotype" w:hAnsi="Palatino Linotype"/>
          <w:bCs/>
          <w:iCs/>
          <w:color w:val="000000" w:themeColor="text1"/>
        </w:rPr>
        <w:t>[2001] 2 AC 592</w:t>
      </w:r>
    </w:p>
    <w:p w14:paraId="18BA9648" w14:textId="1F28BC4E" w:rsidR="005A00BA" w:rsidRDefault="005A00BA" w:rsidP="00F46CCE">
      <w:pPr>
        <w:pStyle w:val="XY"/>
        <w:rPr>
          <w:bCs/>
          <w:iCs/>
          <w:color w:val="000000" w:themeColor="text1"/>
        </w:rPr>
      </w:pPr>
      <w:r w:rsidRPr="00384D18">
        <w:t>*</w:t>
      </w:r>
      <w:r w:rsidRPr="00F46CCE">
        <w:t>Barber v Somerset County Council</w:t>
      </w:r>
      <w:r w:rsidRPr="00384D18">
        <w:rPr>
          <w:iCs/>
        </w:rPr>
        <w:t xml:space="preserve"> </w:t>
      </w:r>
      <w:r w:rsidRPr="00F46CCE">
        <w:rPr>
          <w:b w:val="0"/>
          <w:i w:val="0"/>
          <w:color w:val="000000" w:themeColor="text1"/>
        </w:rPr>
        <w:t>[2004] 1 WLR 1089</w:t>
      </w:r>
    </w:p>
    <w:p w14:paraId="7710F9F4" w14:textId="77777777" w:rsidR="00F46CCE" w:rsidRDefault="00F46CCE" w:rsidP="005A00BA">
      <w:pPr>
        <w:jc w:val="both"/>
        <w:rPr>
          <w:rFonts w:ascii="Palatino Linotype" w:hAnsi="Palatino Linotype"/>
          <w:bCs/>
          <w:iCs/>
          <w:color w:val="000000" w:themeColor="text1"/>
        </w:rPr>
      </w:pPr>
    </w:p>
    <w:p w14:paraId="1EAC2FC6" w14:textId="4C30C9CB" w:rsidR="00F46CCE" w:rsidRPr="00F46CCE" w:rsidRDefault="00F46CCE" w:rsidP="005A00BA">
      <w:pPr>
        <w:jc w:val="both"/>
        <w:rPr>
          <w:rFonts w:ascii="Palatino Linotype" w:hAnsi="Palatino Linotype"/>
          <w:b/>
          <w:iCs/>
          <w:color w:val="000000" w:themeColor="text1"/>
        </w:rPr>
      </w:pPr>
      <w:r w:rsidRPr="00F46CCE">
        <w:rPr>
          <w:rFonts w:ascii="Palatino Linotype" w:hAnsi="Palatino Linotype"/>
          <w:b/>
          <w:iCs/>
          <w:color w:val="000000" w:themeColor="text1"/>
        </w:rPr>
        <w:t>Articles</w:t>
      </w:r>
    </w:p>
    <w:p w14:paraId="4E53E8FD" w14:textId="1D1F95A9" w:rsidR="006141A4" w:rsidRPr="00C70BCE" w:rsidRDefault="006141A4" w:rsidP="00123665">
      <w:pPr>
        <w:pStyle w:val="XY"/>
        <w:rPr>
          <w:i w:val="0"/>
          <w:iCs/>
        </w:rPr>
      </w:pPr>
      <w:r>
        <w:rPr>
          <w:i w:val="0"/>
          <w:iCs/>
        </w:rPr>
        <w:lastRenderedPageBreak/>
        <w:t>*Jane Stapleton, ‘In Restraint of Tort’</w:t>
      </w:r>
      <w:r w:rsidR="00C70BCE">
        <w:rPr>
          <w:i w:val="0"/>
          <w:iCs/>
        </w:rPr>
        <w:t xml:space="preserve"> in P Birks (ed), </w:t>
      </w:r>
      <w:r w:rsidR="00C70BCE">
        <w:t xml:space="preserve">The Frontiers of Liability </w:t>
      </w:r>
      <w:r w:rsidR="00C70BCE">
        <w:rPr>
          <w:i w:val="0"/>
          <w:iCs/>
        </w:rPr>
        <w:t>(OUP 1994)</w:t>
      </w:r>
      <w:r w:rsidR="00A050A2">
        <w:rPr>
          <w:i w:val="0"/>
          <w:iCs/>
        </w:rPr>
        <w:t xml:space="preserve"> </w:t>
      </w:r>
      <w:r w:rsidR="00A050A2" w:rsidRPr="00A050A2">
        <w:rPr>
          <w:i w:val="0"/>
          <w:iCs/>
          <w:color w:val="EE0000"/>
        </w:rPr>
        <w:t>[</w:t>
      </w:r>
      <w:hyperlink r:id="rId11" w:history="1">
        <w:r w:rsidR="00A050A2" w:rsidRPr="00A050A2">
          <w:rPr>
            <w:rStyle w:val="Hyperlink"/>
            <w:i w:val="0"/>
            <w:iCs/>
            <w:color w:val="EE0000"/>
          </w:rPr>
          <w:t>LINK HERE]</w:t>
        </w:r>
      </w:hyperlink>
    </w:p>
    <w:p w14:paraId="2A8FE4C6" w14:textId="1B66B5AA" w:rsidR="00123665" w:rsidRPr="00123665" w:rsidRDefault="00123665" w:rsidP="00123665">
      <w:pPr>
        <w:pStyle w:val="XY"/>
        <w:rPr>
          <w:i w:val="0"/>
          <w:iCs/>
        </w:rPr>
      </w:pPr>
      <w:r>
        <w:rPr>
          <w:i w:val="0"/>
          <w:iCs/>
        </w:rPr>
        <w:t>*</w:t>
      </w:r>
      <w:r w:rsidRPr="00123665">
        <w:t xml:space="preserve"> </w:t>
      </w:r>
      <w:r w:rsidRPr="00123665">
        <w:rPr>
          <w:i w:val="0"/>
          <w:iCs/>
        </w:rPr>
        <w:t>Jonathan Morgan</w:t>
      </w:r>
      <w:r>
        <w:rPr>
          <w:i w:val="0"/>
          <w:iCs/>
        </w:rPr>
        <w:t>, ‘</w:t>
      </w:r>
      <w:r w:rsidRPr="00123665">
        <w:rPr>
          <w:i w:val="0"/>
          <w:iCs/>
        </w:rPr>
        <w:t>Principles, accidents and exceptions: psychiatric injury in tort</w:t>
      </w:r>
      <w:r>
        <w:rPr>
          <w:i w:val="0"/>
          <w:iCs/>
        </w:rPr>
        <w:t>’ (</w:t>
      </w:r>
      <w:r w:rsidRPr="00123665">
        <w:rPr>
          <w:i w:val="0"/>
          <w:iCs/>
        </w:rPr>
        <w:t>2024</w:t>
      </w:r>
      <w:r>
        <w:rPr>
          <w:i w:val="0"/>
          <w:iCs/>
        </w:rPr>
        <w:t>)</w:t>
      </w:r>
      <w:r w:rsidRPr="00123665">
        <w:rPr>
          <w:i w:val="0"/>
          <w:iCs/>
        </w:rPr>
        <w:t xml:space="preserve"> 83(2)</w:t>
      </w:r>
      <w:r>
        <w:rPr>
          <w:i w:val="0"/>
          <w:iCs/>
        </w:rPr>
        <w:t xml:space="preserve"> </w:t>
      </w:r>
      <w:r w:rsidRPr="00123665">
        <w:rPr>
          <w:i w:val="0"/>
          <w:iCs/>
        </w:rPr>
        <w:t>C</w:t>
      </w:r>
      <w:r>
        <w:rPr>
          <w:i w:val="0"/>
          <w:iCs/>
        </w:rPr>
        <w:t xml:space="preserve">ambridge </w:t>
      </w:r>
      <w:r w:rsidRPr="00123665">
        <w:rPr>
          <w:i w:val="0"/>
          <w:iCs/>
        </w:rPr>
        <w:t>L</w:t>
      </w:r>
      <w:r>
        <w:rPr>
          <w:i w:val="0"/>
          <w:iCs/>
        </w:rPr>
        <w:t xml:space="preserve">aw </w:t>
      </w:r>
      <w:proofErr w:type="gramStart"/>
      <w:r w:rsidRPr="00123665">
        <w:rPr>
          <w:i w:val="0"/>
          <w:iCs/>
        </w:rPr>
        <w:t>J</w:t>
      </w:r>
      <w:r>
        <w:rPr>
          <w:i w:val="0"/>
          <w:iCs/>
        </w:rPr>
        <w:t>ournal</w:t>
      </w:r>
      <w:r w:rsidRPr="00123665">
        <w:rPr>
          <w:i w:val="0"/>
          <w:iCs/>
        </w:rPr>
        <w:t xml:space="preserve">  214</w:t>
      </w:r>
      <w:proofErr w:type="gramEnd"/>
      <w:r w:rsidRPr="00123665">
        <w:rPr>
          <w:i w:val="0"/>
          <w:iCs/>
        </w:rPr>
        <w:t>-217</w:t>
      </w:r>
    </w:p>
    <w:p w14:paraId="48CF3C20" w14:textId="545DEB9A" w:rsidR="00F46CCE" w:rsidRPr="00F46CCE" w:rsidRDefault="00F46CCE" w:rsidP="00F46CCE">
      <w:pPr>
        <w:pStyle w:val="XY"/>
        <w:rPr>
          <w:i w:val="0"/>
          <w:iCs/>
        </w:rPr>
      </w:pPr>
      <w:r w:rsidRPr="00F46CCE">
        <w:rPr>
          <w:i w:val="0"/>
          <w:iCs/>
        </w:rPr>
        <w:t xml:space="preserve">*M Lietch, ‘Accidents, Crises, and Events in the Supreme Court: Paul v Royal Wolverhampton NHS Trust’ (2025) 88(3) </w:t>
      </w:r>
      <w:r w:rsidRPr="00F46CCE">
        <w:t>Modern Law Review</w:t>
      </w:r>
      <w:r w:rsidRPr="00F46CCE">
        <w:rPr>
          <w:i w:val="0"/>
          <w:iCs/>
        </w:rPr>
        <w:t xml:space="preserve"> 585 - 597</w:t>
      </w:r>
    </w:p>
    <w:p w14:paraId="3636325C" w14:textId="77777777" w:rsidR="00F46CCE" w:rsidRDefault="00F46CCE" w:rsidP="005A00BA">
      <w:pPr>
        <w:jc w:val="both"/>
        <w:rPr>
          <w:rFonts w:ascii="Palatino Linotype" w:hAnsi="Palatino Linotype"/>
          <w:bCs/>
          <w:iCs/>
          <w:color w:val="000000" w:themeColor="text1"/>
        </w:rPr>
      </w:pPr>
    </w:p>
    <w:p w14:paraId="0544E669" w14:textId="40A6BA9B" w:rsidR="00960144" w:rsidRDefault="00960144" w:rsidP="005A00BA">
      <w:pPr>
        <w:jc w:val="both"/>
        <w:rPr>
          <w:rFonts w:ascii="Palatino Linotype" w:hAnsi="Palatino Linotype"/>
          <w:b/>
          <w:iCs/>
          <w:color w:val="000000" w:themeColor="text1"/>
        </w:rPr>
      </w:pPr>
      <w:r>
        <w:rPr>
          <w:rFonts w:ascii="Palatino Linotype" w:hAnsi="Palatino Linotype"/>
          <w:b/>
          <w:iCs/>
          <w:color w:val="000000" w:themeColor="text1"/>
        </w:rPr>
        <w:t>Podcasts</w:t>
      </w:r>
    </w:p>
    <w:p w14:paraId="627BADDF" w14:textId="7FC307B1" w:rsidR="00F46CCE" w:rsidRDefault="00960144" w:rsidP="005A00BA">
      <w:pPr>
        <w:jc w:val="both"/>
        <w:rPr>
          <w:rFonts w:ascii="Palatino Linotype" w:hAnsi="Palatino Linotype"/>
          <w:b/>
          <w:iCs/>
          <w:color w:val="0070C0"/>
        </w:rPr>
      </w:pPr>
      <w:r>
        <w:rPr>
          <w:rFonts w:ascii="Palatino Linotype" w:hAnsi="Palatino Linotype"/>
          <w:b/>
          <w:iCs/>
          <w:color w:val="0070C0"/>
        </w:rPr>
        <w:t>*Law Pod UK</w:t>
      </w:r>
      <w:r w:rsidR="00F46CCE">
        <w:rPr>
          <w:rFonts w:ascii="Palatino Linotype" w:hAnsi="Palatino Linotype"/>
          <w:b/>
          <w:iCs/>
          <w:color w:val="0070C0"/>
        </w:rPr>
        <w:t>,</w:t>
      </w:r>
      <w:r>
        <w:rPr>
          <w:rFonts w:ascii="Palatino Linotype" w:hAnsi="Palatino Linotype"/>
          <w:b/>
          <w:iCs/>
          <w:color w:val="0070C0"/>
        </w:rPr>
        <w:t xml:space="preserve"> ‘</w:t>
      </w:r>
      <w:r w:rsidRPr="00960144">
        <w:rPr>
          <w:rFonts w:ascii="Palatino Linotype" w:hAnsi="Palatino Linotype"/>
          <w:b/>
          <w:iCs/>
          <w:color w:val="0070C0"/>
        </w:rPr>
        <w:t>Supreme Court rules on “shock” in clinical negligence cases</w:t>
      </w:r>
      <w:r>
        <w:rPr>
          <w:rFonts w:ascii="Palatino Linotype" w:hAnsi="Palatino Linotype"/>
          <w:b/>
          <w:iCs/>
          <w:color w:val="0070C0"/>
        </w:rPr>
        <w:t>’ (</w:t>
      </w:r>
      <w:hyperlink r:id="rId12" w:history="1">
        <w:r w:rsidRPr="008D6960">
          <w:rPr>
            <w:rStyle w:val="Hyperlink"/>
            <w:rFonts w:ascii="Palatino Linotype" w:hAnsi="Palatino Linotype"/>
            <w:b/>
            <w:iCs/>
          </w:rPr>
          <w:t>https://audioboom.com/posts/8451079-supreme-court-rules-on-shock-in-clinical-negligence-cases</w:t>
        </w:r>
      </w:hyperlink>
      <w:r>
        <w:rPr>
          <w:rFonts w:ascii="Palatino Linotype" w:hAnsi="Palatino Linotype"/>
          <w:b/>
          <w:iCs/>
          <w:color w:val="0070C0"/>
        </w:rPr>
        <w:t>)</w:t>
      </w:r>
    </w:p>
    <w:p w14:paraId="72AD6DFB" w14:textId="54C8231D" w:rsidR="00960144" w:rsidRDefault="00F46CCE" w:rsidP="005A00BA">
      <w:pPr>
        <w:jc w:val="both"/>
        <w:rPr>
          <w:rFonts w:ascii="Palatino Linotype" w:hAnsi="Palatino Linotype"/>
          <w:b/>
          <w:iCs/>
          <w:color w:val="0070C0"/>
        </w:rPr>
      </w:pPr>
      <w:r>
        <w:rPr>
          <w:rFonts w:ascii="Palatino Linotype" w:hAnsi="Palatino Linotype"/>
          <w:b/>
          <w:iCs/>
          <w:color w:val="0070C0"/>
        </w:rPr>
        <w:t>*James Lee, ‘Incidents and Accidents’ Inner Temple Lecture (</w:t>
      </w:r>
      <w:hyperlink r:id="rId13" w:history="1">
        <w:r w:rsidRPr="008D6960">
          <w:rPr>
            <w:rStyle w:val="Hyperlink"/>
            <w:rFonts w:ascii="Palatino Linotype" w:hAnsi="Palatino Linotype"/>
            <w:b/>
            <w:iCs/>
          </w:rPr>
          <w:t>https://www.youtube.com/watch?v=4t_W3LCWzHM</w:t>
        </w:r>
      </w:hyperlink>
      <w:r>
        <w:rPr>
          <w:rFonts w:ascii="Palatino Linotype" w:hAnsi="Palatino Linotype"/>
          <w:b/>
          <w:iCs/>
          <w:color w:val="0070C0"/>
        </w:rPr>
        <w:t>)</w:t>
      </w:r>
    </w:p>
    <w:p w14:paraId="36AB6D9A" w14:textId="23E913B6" w:rsidR="00F46CCE" w:rsidRPr="00F46CCE" w:rsidRDefault="00F46CCE" w:rsidP="00F46CCE">
      <w:pPr>
        <w:pStyle w:val="XY"/>
        <w:rPr>
          <w:i w:val="0"/>
          <w:iCs/>
        </w:rPr>
      </w:pPr>
      <w:r w:rsidRPr="00F46CCE">
        <w:rPr>
          <w:i w:val="0"/>
          <w:iCs/>
        </w:rPr>
        <w:t>*King’s Chambers Debrief S2 E1:</w:t>
      </w:r>
      <w:r>
        <w:rPr>
          <w:i w:val="0"/>
          <w:iCs/>
        </w:rPr>
        <w:t xml:space="preserve"> (</w:t>
      </w:r>
      <w:hyperlink r:id="rId14" w:history="1">
        <w:r w:rsidRPr="008D6960">
          <w:rPr>
            <w:rStyle w:val="Hyperlink"/>
            <w:i w:val="0"/>
            <w:iCs/>
          </w:rPr>
          <w:t>https://www.kingschambers.com/kings-chambers-debrief-s2-e1-secondary-victims-in-clinical-negligence-thus-far-and-absolutely-no-further/</w:t>
        </w:r>
      </w:hyperlink>
      <w:r>
        <w:rPr>
          <w:i w:val="0"/>
          <w:iCs/>
        </w:rPr>
        <w:t>)</w:t>
      </w:r>
    </w:p>
    <w:p w14:paraId="0F3857EF" w14:textId="77777777" w:rsidR="007733A1" w:rsidRDefault="007733A1" w:rsidP="001B2CE3">
      <w:pPr>
        <w:jc w:val="both"/>
        <w:rPr>
          <w:rFonts w:ascii="Palatino Linotype" w:hAnsi="Palatino Linotype"/>
          <w:b/>
        </w:rPr>
      </w:pPr>
    </w:p>
    <w:p w14:paraId="2EC55F1B" w14:textId="01AE1A6C" w:rsidR="001B2CE3" w:rsidRPr="0019314B" w:rsidRDefault="001B2CE3" w:rsidP="001B2CE3">
      <w:pPr>
        <w:jc w:val="both"/>
        <w:rPr>
          <w:rFonts w:ascii="Palatino Linotype" w:hAnsi="Palatino Linotype"/>
          <w:b/>
        </w:rPr>
      </w:pPr>
      <w:r w:rsidRPr="0019314B">
        <w:rPr>
          <w:rFonts w:ascii="Palatino Linotype" w:hAnsi="Palatino Linotype"/>
          <w:b/>
        </w:rPr>
        <w:t>Additional cases</w:t>
      </w:r>
    </w:p>
    <w:p w14:paraId="6AB4BF21" w14:textId="7FD2A06E" w:rsidR="00C04567" w:rsidRDefault="00C04567" w:rsidP="001B7FB8">
      <w:pPr>
        <w:jc w:val="both"/>
        <w:rPr>
          <w:rFonts w:ascii="Palatino Linotype" w:hAnsi="Palatino Linotype"/>
          <w:bCs/>
          <w:i/>
        </w:rPr>
      </w:pPr>
      <w:r w:rsidRPr="00C04567">
        <w:rPr>
          <w:rFonts w:ascii="Palatino Linotype" w:hAnsi="Palatino Linotype"/>
          <w:bCs/>
          <w:i/>
        </w:rPr>
        <w:t xml:space="preserve">Bourhill v Young </w:t>
      </w:r>
      <w:r w:rsidRPr="00C04567">
        <w:rPr>
          <w:rFonts w:ascii="Palatino Linotype" w:hAnsi="Palatino Linotype"/>
          <w:bCs/>
          <w:iCs/>
        </w:rPr>
        <w:t>[1943] AC 92</w:t>
      </w:r>
    </w:p>
    <w:p w14:paraId="2BD622BE" w14:textId="631F8302" w:rsidR="00DC4C7A" w:rsidRPr="00DC4C7A" w:rsidRDefault="00DC4C7A" w:rsidP="00DC4C7A">
      <w:pPr>
        <w:jc w:val="both"/>
        <w:rPr>
          <w:rFonts w:ascii="Palatino Linotype" w:hAnsi="Palatino Linotype"/>
          <w:bCs/>
          <w:iCs/>
        </w:rPr>
      </w:pPr>
      <w:r w:rsidRPr="00DC4C7A">
        <w:rPr>
          <w:rFonts w:ascii="Palatino Linotype" w:hAnsi="Palatino Linotype"/>
          <w:bCs/>
          <w:i/>
        </w:rPr>
        <w:t xml:space="preserve">Hinz v Berry </w:t>
      </w:r>
      <w:r w:rsidRPr="00DC4C7A">
        <w:rPr>
          <w:rFonts w:ascii="Palatino Linotype" w:hAnsi="Palatino Linotype"/>
          <w:bCs/>
          <w:iCs/>
        </w:rPr>
        <w:t>[1970] 2 QB 40</w:t>
      </w:r>
    </w:p>
    <w:p w14:paraId="4C175D65" w14:textId="4AF1D76A" w:rsidR="00DC4C7A" w:rsidRPr="00DC4C7A" w:rsidRDefault="00DC4C7A" w:rsidP="00DC4C7A">
      <w:pPr>
        <w:jc w:val="both"/>
        <w:rPr>
          <w:rFonts w:ascii="Palatino Linotype" w:hAnsi="Palatino Linotype"/>
          <w:bCs/>
          <w:iCs/>
        </w:rPr>
      </w:pPr>
      <w:r w:rsidRPr="00DC4C7A">
        <w:rPr>
          <w:rFonts w:ascii="Palatino Linotype" w:hAnsi="Palatino Linotype"/>
          <w:bCs/>
          <w:i/>
        </w:rPr>
        <w:t xml:space="preserve">McLoughlin v O’Brian </w:t>
      </w:r>
      <w:r w:rsidRPr="00DC4C7A">
        <w:rPr>
          <w:rFonts w:ascii="Palatino Linotype" w:hAnsi="Palatino Linotype"/>
          <w:bCs/>
          <w:iCs/>
        </w:rPr>
        <w:t>[1983] AC 410</w:t>
      </w:r>
    </w:p>
    <w:p w14:paraId="2E917A4F" w14:textId="2295136F" w:rsidR="001D5B5F" w:rsidRDefault="00E35C8D" w:rsidP="001B7FB8">
      <w:pPr>
        <w:jc w:val="both"/>
        <w:rPr>
          <w:rFonts w:ascii="Palatino Linotype" w:hAnsi="Palatino Linotype"/>
          <w:bCs/>
          <w:iCs/>
        </w:rPr>
      </w:pPr>
      <w:r w:rsidRPr="00E35C8D">
        <w:rPr>
          <w:rFonts w:ascii="Palatino Linotype" w:hAnsi="Palatino Linotype"/>
          <w:bCs/>
          <w:i/>
        </w:rPr>
        <w:t xml:space="preserve">Attia v British Gas </w:t>
      </w:r>
      <w:r w:rsidRPr="00E35C8D">
        <w:rPr>
          <w:rFonts w:ascii="Palatino Linotype" w:hAnsi="Palatino Linotype"/>
          <w:bCs/>
          <w:iCs/>
        </w:rPr>
        <w:t>[1988] QB 304</w:t>
      </w:r>
    </w:p>
    <w:p w14:paraId="0BD77157" w14:textId="0EEF4B04" w:rsidR="00B97673" w:rsidRPr="00B97673" w:rsidRDefault="00B97673" w:rsidP="00B97673">
      <w:pPr>
        <w:ind w:right="26"/>
        <w:jc w:val="both"/>
        <w:rPr>
          <w:rFonts w:ascii="Palatino Linotype" w:hAnsi="Palatino Linotype"/>
          <w:bCs/>
          <w:iCs/>
          <w:color w:val="000000" w:themeColor="text1"/>
        </w:rPr>
      </w:pPr>
      <w:r w:rsidRPr="00B97673">
        <w:rPr>
          <w:rFonts w:ascii="Palatino Linotype" w:hAnsi="Palatino Linotype"/>
          <w:bCs/>
          <w:i/>
          <w:color w:val="000000" w:themeColor="text1"/>
        </w:rPr>
        <w:t>White v Chief Constable of the South Yorkshire Police</w:t>
      </w:r>
      <w:r w:rsidRPr="00B97673">
        <w:rPr>
          <w:rFonts w:ascii="Palatino Linotype" w:hAnsi="Palatino Linotype"/>
          <w:bCs/>
          <w:iCs/>
          <w:color w:val="000000" w:themeColor="text1"/>
        </w:rPr>
        <w:t xml:space="preserve"> [1999] 1 All ER 1 (aka </w:t>
      </w:r>
      <w:r w:rsidRPr="00B97673">
        <w:rPr>
          <w:rFonts w:ascii="Palatino Linotype" w:hAnsi="Palatino Linotype"/>
          <w:bCs/>
          <w:i/>
          <w:color w:val="000000" w:themeColor="text1"/>
        </w:rPr>
        <w:t>Frost</w:t>
      </w:r>
      <w:r w:rsidRPr="00B97673">
        <w:rPr>
          <w:rFonts w:ascii="Palatino Linotype" w:hAnsi="Palatino Linotype"/>
          <w:bCs/>
          <w:iCs/>
          <w:color w:val="000000" w:themeColor="text1"/>
        </w:rPr>
        <w:t>)</w:t>
      </w:r>
    </w:p>
    <w:p w14:paraId="0BA233C2" w14:textId="498560CE" w:rsidR="00BF7D90" w:rsidRDefault="00BF7D90" w:rsidP="001B7FB8">
      <w:pPr>
        <w:jc w:val="both"/>
        <w:rPr>
          <w:rFonts w:ascii="Palatino Linotype" w:hAnsi="Palatino Linotype"/>
          <w:bCs/>
          <w:iCs/>
        </w:rPr>
      </w:pPr>
      <w:r w:rsidRPr="00BF7D90">
        <w:rPr>
          <w:rFonts w:ascii="Palatino Linotype" w:hAnsi="Palatino Linotype"/>
          <w:bCs/>
          <w:i/>
        </w:rPr>
        <w:t>Hatton v Sutherland</w:t>
      </w:r>
      <w:r w:rsidRPr="00BF7D90">
        <w:rPr>
          <w:rFonts w:ascii="Palatino Linotype" w:hAnsi="Palatino Linotype"/>
          <w:bCs/>
          <w:iCs/>
        </w:rPr>
        <w:t xml:space="preserve"> [2002] 2 All ER 1</w:t>
      </w:r>
    </w:p>
    <w:p w14:paraId="5339A6AF" w14:textId="0EBF6E34" w:rsidR="000B5AD2" w:rsidRDefault="000B5AD2" w:rsidP="001B7FB8">
      <w:pPr>
        <w:jc w:val="both"/>
        <w:rPr>
          <w:rFonts w:ascii="Palatino Linotype" w:hAnsi="Palatino Linotype"/>
          <w:bCs/>
          <w:iCs/>
        </w:rPr>
      </w:pPr>
      <w:r w:rsidRPr="000B5AD2">
        <w:rPr>
          <w:rFonts w:ascii="Palatino Linotype" w:hAnsi="Palatino Linotype"/>
          <w:bCs/>
          <w:i/>
        </w:rPr>
        <w:t>BAE Systems (Operations) Ltd v Konczak</w:t>
      </w:r>
      <w:r w:rsidRPr="000B5AD2">
        <w:rPr>
          <w:rFonts w:ascii="Palatino Linotype" w:hAnsi="Palatino Linotype"/>
          <w:bCs/>
          <w:iCs/>
        </w:rPr>
        <w:t xml:space="preserve"> [2017] EWCA </w:t>
      </w:r>
      <w:proofErr w:type="spellStart"/>
      <w:r w:rsidRPr="000B5AD2">
        <w:rPr>
          <w:rFonts w:ascii="Palatino Linotype" w:hAnsi="Palatino Linotype"/>
          <w:bCs/>
          <w:iCs/>
        </w:rPr>
        <w:t>Civ</w:t>
      </w:r>
      <w:proofErr w:type="spellEnd"/>
      <w:r w:rsidRPr="000B5AD2">
        <w:rPr>
          <w:rFonts w:ascii="Palatino Linotype" w:hAnsi="Palatino Linotype"/>
          <w:bCs/>
          <w:iCs/>
        </w:rPr>
        <w:t xml:space="preserve"> 1188</w:t>
      </w:r>
    </w:p>
    <w:p w14:paraId="0B49E1D8" w14:textId="784ABDCF" w:rsidR="007C30CF" w:rsidRPr="00120189" w:rsidRDefault="00120189" w:rsidP="001B7FB8">
      <w:pPr>
        <w:jc w:val="both"/>
        <w:rPr>
          <w:rFonts w:ascii="Palatino Linotype" w:hAnsi="Palatino Linotype"/>
          <w:bCs/>
          <w:iCs/>
        </w:rPr>
      </w:pPr>
      <w:r w:rsidRPr="00120189">
        <w:rPr>
          <w:rFonts w:ascii="Palatino Linotype" w:hAnsi="Palatino Linotype"/>
          <w:bCs/>
          <w:i/>
        </w:rPr>
        <w:t>YAH v Medway NHS Foundation Trust</w:t>
      </w:r>
      <w:r>
        <w:rPr>
          <w:rFonts w:ascii="Palatino Linotype" w:hAnsi="Palatino Linotype"/>
          <w:bCs/>
          <w:i/>
        </w:rPr>
        <w:t xml:space="preserve"> </w:t>
      </w:r>
      <w:r w:rsidRPr="00120189">
        <w:rPr>
          <w:rFonts w:ascii="Palatino Linotype" w:hAnsi="Palatino Linotype"/>
          <w:bCs/>
          <w:iCs/>
        </w:rPr>
        <w:t>[2018] EWHC 2964</w:t>
      </w:r>
    </w:p>
    <w:p w14:paraId="43DB5504" w14:textId="77777777" w:rsidR="00120189" w:rsidRPr="0019314B" w:rsidRDefault="00120189" w:rsidP="001B7FB8">
      <w:pPr>
        <w:jc w:val="both"/>
        <w:rPr>
          <w:rFonts w:ascii="Palatino Linotype" w:hAnsi="Palatino Linotype"/>
        </w:rPr>
      </w:pPr>
    </w:p>
    <w:p w14:paraId="77CDFF04" w14:textId="312515C8" w:rsidR="00F46CCE" w:rsidRPr="00F46CCE" w:rsidRDefault="00F46CCE" w:rsidP="00513B80">
      <w:pPr>
        <w:jc w:val="both"/>
        <w:rPr>
          <w:rStyle w:val="IntenseEmphasis"/>
          <w:rFonts w:ascii="Palatino Linotype" w:hAnsi="Palatino Linotype"/>
          <w:i w:val="0"/>
          <w:iCs w:val="0"/>
          <w:color w:val="000000" w:themeColor="text1"/>
        </w:rPr>
      </w:pPr>
      <w:r w:rsidRPr="00F46CCE">
        <w:rPr>
          <w:rStyle w:val="IntenseEmphasis"/>
          <w:rFonts w:ascii="Palatino Linotype" w:hAnsi="Palatino Linotype"/>
          <w:i w:val="0"/>
          <w:iCs w:val="0"/>
          <w:color w:val="000000" w:themeColor="text1"/>
        </w:rPr>
        <w:t>Other Articles</w:t>
      </w:r>
    </w:p>
    <w:p w14:paraId="0CC29E59" w14:textId="547DC3D1" w:rsidR="00513B80" w:rsidRPr="00513B80" w:rsidRDefault="00513B80" w:rsidP="00513B80">
      <w:pPr>
        <w:jc w:val="both"/>
        <w:rPr>
          <w:rStyle w:val="IntenseEmphasis"/>
          <w:rFonts w:ascii="Palatino Linotype" w:hAnsi="Palatino Linotype"/>
          <w:b w:val="0"/>
          <w:bCs/>
          <w:i w:val="0"/>
          <w:iCs w:val="0"/>
          <w:color w:val="000000" w:themeColor="text1"/>
        </w:rPr>
      </w:pPr>
      <w:r w:rsidRPr="00513B80">
        <w:rPr>
          <w:rStyle w:val="IntenseEmphasis"/>
          <w:rFonts w:ascii="Palatino Linotype" w:hAnsi="Palatino Linotype"/>
          <w:b w:val="0"/>
          <w:bCs/>
          <w:i w:val="0"/>
          <w:iCs w:val="0"/>
          <w:color w:val="000000" w:themeColor="text1"/>
        </w:rPr>
        <w:t xml:space="preserve">D Nolan &amp; S Bailey, ‘The </w:t>
      </w:r>
      <w:r w:rsidRPr="00513B80">
        <w:rPr>
          <w:rStyle w:val="IntenseEmphasis"/>
          <w:rFonts w:ascii="Palatino Linotype" w:hAnsi="Palatino Linotype"/>
          <w:b w:val="0"/>
          <w:bCs/>
          <w:color w:val="000000" w:themeColor="text1"/>
        </w:rPr>
        <w:t xml:space="preserve">Page v Smith </w:t>
      </w:r>
      <w:r w:rsidRPr="00513B80">
        <w:rPr>
          <w:rStyle w:val="IntenseEmphasis"/>
          <w:rFonts w:ascii="Palatino Linotype" w:hAnsi="Palatino Linotype"/>
          <w:b w:val="0"/>
          <w:bCs/>
          <w:i w:val="0"/>
          <w:iCs w:val="0"/>
          <w:color w:val="000000" w:themeColor="text1"/>
        </w:rPr>
        <w:t xml:space="preserve">Saga’ (2010) 69 </w:t>
      </w:r>
      <w:r w:rsidRPr="00513B80">
        <w:rPr>
          <w:rStyle w:val="IntenseEmphasis"/>
          <w:rFonts w:ascii="Palatino Linotype" w:hAnsi="Palatino Linotype"/>
          <w:b w:val="0"/>
          <w:bCs/>
          <w:color w:val="000000" w:themeColor="text1"/>
        </w:rPr>
        <w:t>CLJ</w:t>
      </w:r>
      <w:r w:rsidRPr="00513B80">
        <w:rPr>
          <w:rStyle w:val="IntenseEmphasis"/>
          <w:rFonts w:ascii="Palatino Linotype" w:hAnsi="Palatino Linotype"/>
          <w:b w:val="0"/>
          <w:bCs/>
          <w:i w:val="0"/>
          <w:iCs w:val="0"/>
          <w:color w:val="000000" w:themeColor="text1"/>
        </w:rPr>
        <w:t xml:space="preserve"> 495 </w:t>
      </w:r>
    </w:p>
    <w:p w14:paraId="0B693B94" w14:textId="67733431" w:rsidR="0069375F" w:rsidRDefault="00513B80" w:rsidP="00513B80">
      <w:pPr>
        <w:jc w:val="both"/>
        <w:rPr>
          <w:rStyle w:val="IntenseEmphasis"/>
          <w:rFonts w:ascii="Palatino Linotype" w:hAnsi="Palatino Linotype"/>
          <w:b w:val="0"/>
          <w:bCs/>
          <w:i w:val="0"/>
          <w:iCs w:val="0"/>
          <w:color w:val="000000" w:themeColor="text1"/>
        </w:rPr>
      </w:pPr>
      <w:r w:rsidRPr="00513B80">
        <w:rPr>
          <w:rStyle w:val="IntenseEmphasis"/>
          <w:rFonts w:ascii="Palatino Linotype" w:hAnsi="Palatino Linotype"/>
          <w:b w:val="0"/>
          <w:bCs/>
          <w:i w:val="0"/>
          <w:iCs w:val="0"/>
          <w:color w:val="000000" w:themeColor="text1"/>
        </w:rPr>
        <w:t>Note the unimplemented Law Commission Report No. 249 (including (Draft) Negligence (Psychiatric Illness) Bill 1998)</w:t>
      </w:r>
    </w:p>
    <w:p w14:paraId="750E12D4" w14:textId="79E6D751" w:rsidR="001E4E7E" w:rsidRDefault="001E4E7E" w:rsidP="00513B80">
      <w:pPr>
        <w:jc w:val="both"/>
        <w:rPr>
          <w:rStyle w:val="IntenseEmphasis"/>
          <w:rFonts w:ascii="Palatino Linotype" w:hAnsi="Palatino Linotype"/>
          <w:b w:val="0"/>
          <w:bCs/>
          <w:i w:val="0"/>
          <w:iCs w:val="0"/>
          <w:color w:val="000000" w:themeColor="text1"/>
        </w:rPr>
      </w:pPr>
      <w:r w:rsidRPr="001E4E7E">
        <w:rPr>
          <w:rStyle w:val="IntenseEmphasis"/>
          <w:rFonts w:ascii="Palatino Linotype" w:hAnsi="Palatino Linotype"/>
          <w:b w:val="0"/>
          <w:bCs/>
          <w:i w:val="0"/>
          <w:iCs w:val="0"/>
          <w:color w:val="000000" w:themeColor="text1"/>
        </w:rPr>
        <w:t xml:space="preserve">H Teff, ‘Liability for Negligently Inflicted Psychiatric Harm: Justifications and Boundaries’ (1998) 57 </w:t>
      </w:r>
      <w:r w:rsidRPr="001E4E7E">
        <w:rPr>
          <w:rStyle w:val="IntenseEmphasis"/>
          <w:rFonts w:ascii="Palatino Linotype" w:hAnsi="Palatino Linotype"/>
          <w:b w:val="0"/>
          <w:bCs/>
          <w:color w:val="000000" w:themeColor="text1"/>
        </w:rPr>
        <w:t>CLJ</w:t>
      </w:r>
      <w:r w:rsidRPr="001E4E7E">
        <w:rPr>
          <w:rStyle w:val="IntenseEmphasis"/>
          <w:rFonts w:ascii="Palatino Linotype" w:hAnsi="Palatino Linotype"/>
          <w:b w:val="0"/>
          <w:bCs/>
          <w:i w:val="0"/>
          <w:iCs w:val="0"/>
          <w:color w:val="000000" w:themeColor="text1"/>
        </w:rPr>
        <w:t xml:space="preserve"> 91</w:t>
      </w:r>
    </w:p>
    <w:p w14:paraId="3DC848F9" w14:textId="47A45C56" w:rsidR="00211956" w:rsidRDefault="00211956" w:rsidP="0069375F">
      <w:pPr>
        <w:jc w:val="both"/>
        <w:rPr>
          <w:rStyle w:val="IntenseEmphasis"/>
          <w:rFonts w:ascii="Palatino Linotype" w:hAnsi="Palatino Linotype"/>
          <w:b w:val="0"/>
          <w:bCs/>
          <w:i w:val="0"/>
          <w:iCs w:val="0"/>
          <w:color w:val="000000" w:themeColor="text1"/>
        </w:rPr>
      </w:pPr>
    </w:p>
    <w:p w14:paraId="022AB3E6" w14:textId="77777777" w:rsidR="00211956" w:rsidRDefault="00211956" w:rsidP="00211956">
      <w:pPr>
        <w:rPr>
          <w:rFonts w:ascii="Palatino Linotype" w:hAnsi="Palatino Linotype" w:cs="Palatino Linotype"/>
          <w:b/>
          <w:bCs/>
          <w:u w:val="single"/>
        </w:rPr>
      </w:pPr>
    </w:p>
    <w:p w14:paraId="3B44324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4248CE3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34CE3CC8" w14:textId="2CB9EB51" w:rsidR="00017B45" w:rsidRPr="00017B45" w:rsidRDefault="00211956" w:rsidP="00017B45">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Read:</w:t>
      </w:r>
      <w:r w:rsidR="00017B45">
        <w:rPr>
          <w:rFonts w:ascii="Palatino Linotype" w:hAnsi="Palatino Linotype" w:cs="Palatino Linotype"/>
        </w:rPr>
        <w:t xml:space="preserve"> </w:t>
      </w:r>
      <w:r w:rsidR="00017B45" w:rsidRPr="00017B45">
        <w:rPr>
          <w:rFonts w:ascii="Palatino Linotype" w:hAnsi="Palatino Linotype" w:cs="Palatino Linotype"/>
        </w:rPr>
        <w:t>Kurt Vonnegut</w:t>
      </w:r>
      <w:r w:rsidR="00017B45">
        <w:rPr>
          <w:rFonts w:ascii="Palatino Linotype" w:hAnsi="Palatino Linotype" w:cs="Palatino Linotype"/>
        </w:rPr>
        <w:t xml:space="preserve">, </w:t>
      </w:r>
      <w:r w:rsidR="00017B45" w:rsidRPr="00017B45">
        <w:rPr>
          <w:rFonts w:ascii="Palatino Linotype" w:hAnsi="Palatino Linotype" w:cs="Palatino Linotype"/>
          <w:i/>
          <w:iCs/>
        </w:rPr>
        <w:t>Cat's Cradle</w:t>
      </w:r>
      <w:r w:rsidR="00017B45">
        <w:rPr>
          <w:rFonts w:ascii="Palatino Linotype" w:hAnsi="Palatino Linotype" w:cs="Palatino Linotype"/>
        </w:rPr>
        <w:t xml:space="preserve">. </w:t>
      </w:r>
    </w:p>
    <w:p w14:paraId="6F87DEA9"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4A75E1EB" w14:textId="046977AB" w:rsidR="00211956" w:rsidRPr="00313A02"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 xml:space="preserve">Watch: </w:t>
      </w:r>
      <w:r w:rsidR="00313A02">
        <w:rPr>
          <w:rFonts w:ascii="Palatino Linotype" w:hAnsi="Palatino Linotype" w:cs="Palatino Linotype"/>
          <w:i/>
          <w:iCs/>
        </w:rPr>
        <w:t>Succession</w:t>
      </w:r>
      <w:r w:rsidR="00313A02">
        <w:rPr>
          <w:rFonts w:ascii="Palatino Linotype" w:hAnsi="Palatino Linotype" w:cs="Palatino Linotype"/>
        </w:rPr>
        <w:t xml:space="preserve">. </w:t>
      </w:r>
    </w:p>
    <w:p w14:paraId="2768DD33"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7CFAA56C" w14:textId="07275738" w:rsidR="00211956" w:rsidRPr="00AA2EA1"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Listen:</w:t>
      </w:r>
      <w:r w:rsidR="00017B45">
        <w:rPr>
          <w:rFonts w:ascii="Palatino Linotype" w:hAnsi="Palatino Linotype" w:cs="Palatino Linotype"/>
        </w:rPr>
        <w:t xml:space="preserve"> Erykah Badu, </w:t>
      </w:r>
      <w:proofErr w:type="spellStart"/>
      <w:r w:rsidR="00017B45">
        <w:rPr>
          <w:rFonts w:ascii="Palatino Linotype" w:hAnsi="Palatino Linotype" w:cs="Palatino Linotype"/>
          <w:i/>
          <w:iCs/>
        </w:rPr>
        <w:t>Baduizm</w:t>
      </w:r>
      <w:proofErr w:type="spellEnd"/>
      <w:r w:rsidR="00017B45">
        <w:rPr>
          <w:rFonts w:ascii="Palatino Linotype" w:hAnsi="Palatino Linotype" w:cs="Palatino Linotype"/>
          <w:i/>
          <w:iCs/>
        </w:rPr>
        <w:t xml:space="preserve"> </w:t>
      </w:r>
      <w:r w:rsidR="00017B45">
        <w:rPr>
          <w:rFonts w:ascii="Palatino Linotype" w:hAnsi="Palatino Linotype" w:cs="Palatino Linotype"/>
        </w:rPr>
        <w:t xml:space="preserve">or </w:t>
      </w:r>
      <w:r w:rsidR="00017B45">
        <w:rPr>
          <w:rFonts w:ascii="Palatino Linotype" w:hAnsi="Palatino Linotype" w:cs="Palatino Linotype"/>
          <w:i/>
          <w:iCs/>
        </w:rPr>
        <w:t>Mama’s Gun</w:t>
      </w:r>
      <w:r w:rsidR="00017B45">
        <w:rPr>
          <w:rFonts w:ascii="Palatino Linotype" w:hAnsi="Palatino Linotype" w:cs="Palatino Linotype"/>
        </w:rPr>
        <w:t>.</w:t>
      </w:r>
    </w:p>
    <w:p w14:paraId="5CB4C47E" w14:textId="77777777" w:rsidR="00736711" w:rsidRPr="0019314B" w:rsidRDefault="00736711" w:rsidP="0069375F">
      <w:pPr>
        <w:jc w:val="both"/>
        <w:rPr>
          <w:rStyle w:val="IntenseEmphasis"/>
          <w:rFonts w:ascii="Palatino Linotype" w:hAnsi="Palatino Linotype"/>
          <w:b w:val="0"/>
          <w:bCs/>
          <w:i w:val="0"/>
          <w:iCs w:val="0"/>
          <w:color w:val="000000" w:themeColor="text1"/>
        </w:rPr>
      </w:pPr>
    </w:p>
    <w:p w14:paraId="28653652" w14:textId="77777777" w:rsidR="00507B1A" w:rsidRPr="0019314B" w:rsidRDefault="00507B1A" w:rsidP="49DE6236">
      <w:pPr>
        <w:pStyle w:val="Title"/>
        <w:jc w:val="both"/>
        <w:rPr>
          <w:rFonts w:ascii="Palatino Linotype" w:hAnsi="Palatino Linotype"/>
          <w:i/>
          <w:iCs/>
          <w:color w:val="000000" w:themeColor="text1"/>
        </w:rPr>
      </w:pPr>
    </w:p>
    <w:p w14:paraId="0ACE794F" w14:textId="31C4E49A" w:rsidR="0087097F" w:rsidRPr="0019314B" w:rsidRDefault="0087097F" w:rsidP="0087097F">
      <w:pPr>
        <w:rPr>
          <w:rStyle w:val="IntenseEmphasis"/>
          <w:rFonts w:ascii="Palatino Linotype" w:hAnsi="Palatino Linotype"/>
          <w:b w:val="0"/>
          <w:bCs/>
          <w:i w:val="0"/>
          <w:iCs w:val="0"/>
          <w:color w:val="000000" w:themeColor="text1"/>
        </w:rPr>
      </w:pPr>
    </w:p>
    <w:sectPr w:rsidR="0087097F" w:rsidRPr="0019314B" w:rsidSect="00187EE7">
      <w:footerReference w:type="even"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53C51" w14:textId="77777777" w:rsidR="00AF0A12" w:rsidRDefault="00AF0A12" w:rsidP="00832E5F">
      <w:r>
        <w:separator/>
      </w:r>
    </w:p>
  </w:endnote>
  <w:endnote w:type="continuationSeparator" w:id="0">
    <w:p w14:paraId="4D0D4DF4" w14:textId="77777777" w:rsidR="00AF0A12" w:rsidRDefault="00AF0A12" w:rsidP="0083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Kings Caslon Text">
    <w:altName w:val="Calibri"/>
    <w:panose1 w:val="020B0604020202020204"/>
    <w:charset w:val="00"/>
    <w:family w:val="auto"/>
    <w:pitch w:val="variable"/>
    <w:sig w:usb0="A00000AF" w:usb1="5000205B"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5824" w14:textId="08E75313"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01967A1" w14:textId="77777777" w:rsidR="00832E5F" w:rsidRDefault="00832E5F" w:rsidP="00832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106893"/>
      <w:docPartObj>
        <w:docPartGallery w:val="Page Numbers (Bottom of Page)"/>
        <w:docPartUnique/>
      </w:docPartObj>
    </w:sdtPr>
    <w:sdtContent>
      <w:p w14:paraId="0E594693" w14:textId="598ACD9D"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438C">
          <w:rPr>
            <w:rStyle w:val="PageNumber"/>
            <w:noProof/>
          </w:rPr>
          <w:t>1</w:t>
        </w:r>
        <w:r>
          <w:rPr>
            <w:rStyle w:val="PageNumber"/>
          </w:rPr>
          <w:fldChar w:fldCharType="end"/>
        </w:r>
      </w:p>
    </w:sdtContent>
  </w:sdt>
  <w:p w14:paraId="5612126A" w14:textId="77777777" w:rsidR="00832E5F" w:rsidRDefault="00832E5F" w:rsidP="00832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50C7D" w14:textId="77777777" w:rsidR="00AF0A12" w:rsidRDefault="00AF0A12" w:rsidP="00832E5F">
      <w:r>
        <w:separator/>
      </w:r>
    </w:p>
  </w:footnote>
  <w:footnote w:type="continuationSeparator" w:id="0">
    <w:p w14:paraId="53191810" w14:textId="77777777" w:rsidR="00AF0A12" w:rsidRDefault="00AF0A12" w:rsidP="0083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F1C67"/>
    <w:multiLevelType w:val="multilevel"/>
    <w:tmpl w:val="E27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619CB"/>
    <w:multiLevelType w:val="hybridMultilevel"/>
    <w:tmpl w:val="4FA87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0C37BF"/>
    <w:multiLevelType w:val="hybridMultilevel"/>
    <w:tmpl w:val="792873A8"/>
    <w:lvl w:ilvl="0" w:tplc="9A24C636">
      <w:start w:val="500"/>
      <w:numFmt w:val="bullet"/>
      <w:lvlText w:val="-"/>
      <w:lvlJc w:val="left"/>
      <w:pPr>
        <w:ind w:left="720" w:hanging="360"/>
      </w:pPr>
      <w:rPr>
        <w:rFonts w:ascii="Kings Caslon Text" w:eastAsia="Times New Roman" w:hAnsi="Kings Caslon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8C3BFF"/>
    <w:multiLevelType w:val="hybridMultilevel"/>
    <w:tmpl w:val="1BDE5E78"/>
    <w:lvl w:ilvl="0" w:tplc="8474D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846366">
    <w:abstractNumId w:val="1"/>
  </w:num>
  <w:num w:numId="2" w16cid:durableId="497622135">
    <w:abstractNumId w:val="4"/>
  </w:num>
  <w:num w:numId="3" w16cid:durableId="1713189468">
    <w:abstractNumId w:val="3"/>
  </w:num>
  <w:num w:numId="4" w16cid:durableId="1945068170">
    <w:abstractNumId w:val="0"/>
  </w:num>
  <w:num w:numId="5" w16cid:durableId="104991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B8"/>
    <w:rsid w:val="000019BA"/>
    <w:rsid w:val="00012B37"/>
    <w:rsid w:val="00017B45"/>
    <w:rsid w:val="00022E54"/>
    <w:rsid w:val="00023C84"/>
    <w:rsid w:val="000415AD"/>
    <w:rsid w:val="0004734B"/>
    <w:rsid w:val="00080AE2"/>
    <w:rsid w:val="0008617A"/>
    <w:rsid w:val="00090478"/>
    <w:rsid w:val="00097D31"/>
    <w:rsid w:val="000B5AD2"/>
    <w:rsid w:val="000D4D43"/>
    <w:rsid w:val="000D4E41"/>
    <w:rsid w:val="000F1C80"/>
    <w:rsid w:val="000F7AFF"/>
    <w:rsid w:val="00101628"/>
    <w:rsid w:val="00105741"/>
    <w:rsid w:val="0011075D"/>
    <w:rsid w:val="00120189"/>
    <w:rsid w:val="00123665"/>
    <w:rsid w:val="00134224"/>
    <w:rsid w:val="001464C6"/>
    <w:rsid w:val="00151624"/>
    <w:rsid w:val="00160C28"/>
    <w:rsid w:val="00187EE7"/>
    <w:rsid w:val="00190F55"/>
    <w:rsid w:val="0019314B"/>
    <w:rsid w:val="00193C52"/>
    <w:rsid w:val="001B0737"/>
    <w:rsid w:val="001B2CE3"/>
    <w:rsid w:val="001B7FB8"/>
    <w:rsid w:val="001D5B5F"/>
    <w:rsid w:val="001E0470"/>
    <w:rsid w:val="001E4E7E"/>
    <w:rsid w:val="001F4498"/>
    <w:rsid w:val="001F516D"/>
    <w:rsid w:val="002049B6"/>
    <w:rsid w:val="002106AF"/>
    <w:rsid w:val="00211956"/>
    <w:rsid w:val="00225493"/>
    <w:rsid w:val="00244C63"/>
    <w:rsid w:val="00267A25"/>
    <w:rsid w:val="00280741"/>
    <w:rsid w:val="002849CD"/>
    <w:rsid w:val="00286397"/>
    <w:rsid w:val="002A5468"/>
    <w:rsid w:val="002F57AE"/>
    <w:rsid w:val="002F6E1D"/>
    <w:rsid w:val="00313A02"/>
    <w:rsid w:val="00314DB8"/>
    <w:rsid w:val="00331B5B"/>
    <w:rsid w:val="00333845"/>
    <w:rsid w:val="00344FF9"/>
    <w:rsid w:val="00353CEC"/>
    <w:rsid w:val="00377132"/>
    <w:rsid w:val="00384D18"/>
    <w:rsid w:val="00391BA0"/>
    <w:rsid w:val="00392E7E"/>
    <w:rsid w:val="003A13A3"/>
    <w:rsid w:val="003A2F14"/>
    <w:rsid w:val="003A3A93"/>
    <w:rsid w:val="003C5EEE"/>
    <w:rsid w:val="003C728E"/>
    <w:rsid w:val="003E78D5"/>
    <w:rsid w:val="003F23A7"/>
    <w:rsid w:val="004533C0"/>
    <w:rsid w:val="00462CB5"/>
    <w:rsid w:val="004753E7"/>
    <w:rsid w:val="0048091F"/>
    <w:rsid w:val="00483C65"/>
    <w:rsid w:val="004B54B6"/>
    <w:rsid w:val="004C07B5"/>
    <w:rsid w:val="004D0218"/>
    <w:rsid w:val="004D2670"/>
    <w:rsid w:val="004D7417"/>
    <w:rsid w:val="004E3E26"/>
    <w:rsid w:val="004F13F2"/>
    <w:rsid w:val="004F61AF"/>
    <w:rsid w:val="004F7835"/>
    <w:rsid w:val="00507B1A"/>
    <w:rsid w:val="00511B74"/>
    <w:rsid w:val="00511B94"/>
    <w:rsid w:val="00513B80"/>
    <w:rsid w:val="00525525"/>
    <w:rsid w:val="0053425C"/>
    <w:rsid w:val="00551F33"/>
    <w:rsid w:val="00554A90"/>
    <w:rsid w:val="00554F97"/>
    <w:rsid w:val="005554E5"/>
    <w:rsid w:val="005617C8"/>
    <w:rsid w:val="00563FF2"/>
    <w:rsid w:val="00567847"/>
    <w:rsid w:val="00580D5D"/>
    <w:rsid w:val="00587769"/>
    <w:rsid w:val="005A00BA"/>
    <w:rsid w:val="005A7D3C"/>
    <w:rsid w:val="005D0230"/>
    <w:rsid w:val="005E3AA4"/>
    <w:rsid w:val="005E718B"/>
    <w:rsid w:val="005E7E22"/>
    <w:rsid w:val="00601A37"/>
    <w:rsid w:val="00607D7A"/>
    <w:rsid w:val="00613077"/>
    <w:rsid w:val="006141A4"/>
    <w:rsid w:val="006206F6"/>
    <w:rsid w:val="0064553B"/>
    <w:rsid w:val="00647FCE"/>
    <w:rsid w:val="00662E27"/>
    <w:rsid w:val="00665F13"/>
    <w:rsid w:val="00670EE1"/>
    <w:rsid w:val="006712C0"/>
    <w:rsid w:val="00672BC1"/>
    <w:rsid w:val="0069298B"/>
    <w:rsid w:val="0069375F"/>
    <w:rsid w:val="006A46D7"/>
    <w:rsid w:val="006B1A4A"/>
    <w:rsid w:val="006B2A33"/>
    <w:rsid w:val="006B2FBA"/>
    <w:rsid w:val="006C5EC0"/>
    <w:rsid w:val="006D1117"/>
    <w:rsid w:val="006D2DBD"/>
    <w:rsid w:val="006E14F7"/>
    <w:rsid w:val="006F548F"/>
    <w:rsid w:val="007110CF"/>
    <w:rsid w:val="00727BFA"/>
    <w:rsid w:val="00732614"/>
    <w:rsid w:val="00733794"/>
    <w:rsid w:val="00733D23"/>
    <w:rsid w:val="00736711"/>
    <w:rsid w:val="00744240"/>
    <w:rsid w:val="007733A1"/>
    <w:rsid w:val="007818B7"/>
    <w:rsid w:val="0078520F"/>
    <w:rsid w:val="00790C5E"/>
    <w:rsid w:val="007C30CF"/>
    <w:rsid w:val="007D2B18"/>
    <w:rsid w:val="007E7128"/>
    <w:rsid w:val="007F24E3"/>
    <w:rsid w:val="007F4107"/>
    <w:rsid w:val="007F476B"/>
    <w:rsid w:val="00811537"/>
    <w:rsid w:val="00816789"/>
    <w:rsid w:val="00820373"/>
    <w:rsid w:val="00823095"/>
    <w:rsid w:val="00832E5F"/>
    <w:rsid w:val="00846660"/>
    <w:rsid w:val="0084775B"/>
    <w:rsid w:val="0087097F"/>
    <w:rsid w:val="00875216"/>
    <w:rsid w:val="00896050"/>
    <w:rsid w:val="008D79F2"/>
    <w:rsid w:val="008F4B7B"/>
    <w:rsid w:val="008F5165"/>
    <w:rsid w:val="00912E5B"/>
    <w:rsid w:val="009300B8"/>
    <w:rsid w:val="009349A3"/>
    <w:rsid w:val="00952E8A"/>
    <w:rsid w:val="0095438C"/>
    <w:rsid w:val="00957676"/>
    <w:rsid w:val="00960144"/>
    <w:rsid w:val="009637DC"/>
    <w:rsid w:val="009A7405"/>
    <w:rsid w:val="009B7CBE"/>
    <w:rsid w:val="009C2F5E"/>
    <w:rsid w:val="009E0A2B"/>
    <w:rsid w:val="00A00151"/>
    <w:rsid w:val="00A020E1"/>
    <w:rsid w:val="00A050A2"/>
    <w:rsid w:val="00A301E3"/>
    <w:rsid w:val="00A4076E"/>
    <w:rsid w:val="00A53BEC"/>
    <w:rsid w:val="00A6203C"/>
    <w:rsid w:val="00A6341D"/>
    <w:rsid w:val="00A8463B"/>
    <w:rsid w:val="00A858C3"/>
    <w:rsid w:val="00AB104A"/>
    <w:rsid w:val="00AB2F46"/>
    <w:rsid w:val="00AC096C"/>
    <w:rsid w:val="00AC0E15"/>
    <w:rsid w:val="00AC2062"/>
    <w:rsid w:val="00AD7188"/>
    <w:rsid w:val="00AD795A"/>
    <w:rsid w:val="00AE0F91"/>
    <w:rsid w:val="00AF0A12"/>
    <w:rsid w:val="00AF5811"/>
    <w:rsid w:val="00B0079A"/>
    <w:rsid w:val="00B30429"/>
    <w:rsid w:val="00B41453"/>
    <w:rsid w:val="00B43DD9"/>
    <w:rsid w:val="00B53FCD"/>
    <w:rsid w:val="00B57A9F"/>
    <w:rsid w:val="00B57B69"/>
    <w:rsid w:val="00B63FC0"/>
    <w:rsid w:val="00B90498"/>
    <w:rsid w:val="00B949C8"/>
    <w:rsid w:val="00B97673"/>
    <w:rsid w:val="00BD4F85"/>
    <w:rsid w:val="00BF7D90"/>
    <w:rsid w:val="00C04567"/>
    <w:rsid w:val="00C2139B"/>
    <w:rsid w:val="00C25A8E"/>
    <w:rsid w:val="00C4028C"/>
    <w:rsid w:val="00C41966"/>
    <w:rsid w:val="00C525AB"/>
    <w:rsid w:val="00C54B7E"/>
    <w:rsid w:val="00C70BCE"/>
    <w:rsid w:val="00C723FD"/>
    <w:rsid w:val="00C85B08"/>
    <w:rsid w:val="00C912EF"/>
    <w:rsid w:val="00C92A4B"/>
    <w:rsid w:val="00C92B81"/>
    <w:rsid w:val="00CA2811"/>
    <w:rsid w:val="00CD0101"/>
    <w:rsid w:val="00CD5371"/>
    <w:rsid w:val="00CD7A8B"/>
    <w:rsid w:val="00CF6BE5"/>
    <w:rsid w:val="00D0580E"/>
    <w:rsid w:val="00D10F23"/>
    <w:rsid w:val="00D10FED"/>
    <w:rsid w:val="00D11035"/>
    <w:rsid w:val="00D176C0"/>
    <w:rsid w:val="00D309A1"/>
    <w:rsid w:val="00D3271D"/>
    <w:rsid w:val="00D56692"/>
    <w:rsid w:val="00D5785B"/>
    <w:rsid w:val="00D73E3D"/>
    <w:rsid w:val="00D93B6A"/>
    <w:rsid w:val="00D97F77"/>
    <w:rsid w:val="00DB2CFB"/>
    <w:rsid w:val="00DB6AA9"/>
    <w:rsid w:val="00DC4C7A"/>
    <w:rsid w:val="00DD58CB"/>
    <w:rsid w:val="00DE2327"/>
    <w:rsid w:val="00DF3E62"/>
    <w:rsid w:val="00E14764"/>
    <w:rsid w:val="00E23F52"/>
    <w:rsid w:val="00E35C8D"/>
    <w:rsid w:val="00E43869"/>
    <w:rsid w:val="00E47634"/>
    <w:rsid w:val="00E61304"/>
    <w:rsid w:val="00E6385F"/>
    <w:rsid w:val="00E936C9"/>
    <w:rsid w:val="00EA3831"/>
    <w:rsid w:val="00EB4773"/>
    <w:rsid w:val="00ED6FDE"/>
    <w:rsid w:val="00EF2256"/>
    <w:rsid w:val="00F057A0"/>
    <w:rsid w:val="00F10E72"/>
    <w:rsid w:val="00F1362E"/>
    <w:rsid w:val="00F14403"/>
    <w:rsid w:val="00F27F64"/>
    <w:rsid w:val="00F30ACB"/>
    <w:rsid w:val="00F45EB6"/>
    <w:rsid w:val="00F46CCE"/>
    <w:rsid w:val="00F833A5"/>
    <w:rsid w:val="00FA24A5"/>
    <w:rsid w:val="00FA2B3C"/>
    <w:rsid w:val="00FB29E6"/>
    <w:rsid w:val="00FF047D"/>
    <w:rsid w:val="01596ED8"/>
    <w:rsid w:val="031B4C4F"/>
    <w:rsid w:val="13E5FD99"/>
    <w:rsid w:val="1425330C"/>
    <w:rsid w:val="175CA5E4"/>
    <w:rsid w:val="1D6C166A"/>
    <w:rsid w:val="22952F77"/>
    <w:rsid w:val="36AE170D"/>
    <w:rsid w:val="3A436724"/>
    <w:rsid w:val="49DE6236"/>
    <w:rsid w:val="7D97E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3F18"/>
  <w15:chartTrackingRefBased/>
  <w15:docId w15:val="{6DB32C9A-E144-C043-B922-E5478C3E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B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ltsublistitem1">
    <w:name w:val="resultsublistitem1"/>
    <w:basedOn w:val="DefaultParagraphFont"/>
    <w:rsid w:val="001B7FB8"/>
    <w:rPr>
      <w:rFonts w:ascii="Arial" w:hAnsi="Arial" w:cs="Arial"/>
      <w:sz w:val="16"/>
      <w:szCs w:val="16"/>
    </w:rPr>
  </w:style>
  <w:style w:type="paragraph" w:styleId="Title">
    <w:name w:val="Title"/>
    <w:basedOn w:val="Normal"/>
    <w:link w:val="TitleChar"/>
    <w:qFormat/>
    <w:rsid w:val="001B7FB8"/>
    <w:pPr>
      <w:autoSpaceDE w:val="0"/>
      <w:autoSpaceDN w:val="0"/>
      <w:jc w:val="center"/>
    </w:pPr>
    <w:rPr>
      <w:b/>
      <w:bCs/>
    </w:rPr>
  </w:style>
  <w:style w:type="character" w:customStyle="1" w:styleId="TitleChar">
    <w:name w:val="Title Char"/>
    <w:basedOn w:val="DefaultParagraphFont"/>
    <w:link w:val="Title"/>
    <w:rsid w:val="001B7FB8"/>
    <w:rPr>
      <w:rFonts w:ascii="Times New Roman" w:eastAsia="Times New Roman" w:hAnsi="Times New Roman" w:cs="Times New Roman"/>
      <w:b/>
      <w:bCs/>
      <w:lang w:eastAsia="en-GB"/>
    </w:rPr>
  </w:style>
  <w:style w:type="paragraph" w:styleId="ListParagraph">
    <w:name w:val="List Paragraph"/>
    <w:basedOn w:val="Normal"/>
    <w:uiPriority w:val="34"/>
    <w:qFormat/>
    <w:rsid w:val="001B7FB8"/>
    <w:pPr>
      <w:ind w:left="720"/>
      <w:contextualSpacing/>
    </w:pPr>
  </w:style>
  <w:style w:type="paragraph" w:styleId="Footer">
    <w:name w:val="footer"/>
    <w:basedOn w:val="Normal"/>
    <w:link w:val="FooterChar"/>
    <w:uiPriority w:val="99"/>
    <w:unhideWhenUsed/>
    <w:rsid w:val="00832E5F"/>
    <w:pPr>
      <w:tabs>
        <w:tab w:val="center" w:pos="4680"/>
        <w:tab w:val="right" w:pos="9360"/>
      </w:tabs>
    </w:pPr>
  </w:style>
  <w:style w:type="character" w:customStyle="1" w:styleId="FooterChar">
    <w:name w:val="Footer Char"/>
    <w:basedOn w:val="DefaultParagraphFont"/>
    <w:link w:val="Footer"/>
    <w:uiPriority w:val="99"/>
    <w:rsid w:val="00832E5F"/>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832E5F"/>
  </w:style>
  <w:style w:type="paragraph" w:styleId="BalloonText">
    <w:name w:val="Balloon Text"/>
    <w:basedOn w:val="Normal"/>
    <w:link w:val="BalloonTextChar"/>
    <w:uiPriority w:val="99"/>
    <w:semiHidden/>
    <w:unhideWhenUsed/>
    <w:rsid w:val="00952E8A"/>
    <w:rPr>
      <w:sz w:val="18"/>
      <w:szCs w:val="18"/>
    </w:rPr>
  </w:style>
  <w:style w:type="character" w:customStyle="1" w:styleId="BalloonTextChar">
    <w:name w:val="Balloon Text Char"/>
    <w:basedOn w:val="DefaultParagraphFont"/>
    <w:link w:val="BalloonText"/>
    <w:uiPriority w:val="99"/>
    <w:semiHidden/>
    <w:rsid w:val="00952E8A"/>
    <w:rPr>
      <w:rFonts w:ascii="Times New Roman" w:eastAsia="Times New Roman" w:hAnsi="Times New Roman" w:cs="Times New Roman"/>
      <w:sz w:val="18"/>
      <w:szCs w:val="18"/>
      <w:lang w:eastAsia="en-GB"/>
    </w:rPr>
  </w:style>
  <w:style w:type="character" w:styleId="CommentReference">
    <w:name w:val="annotation reference"/>
    <w:basedOn w:val="DefaultParagraphFont"/>
    <w:uiPriority w:val="99"/>
    <w:semiHidden/>
    <w:unhideWhenUsed/>
    <w:rsid w:val="00B30429"/>
    <w:rPr>
      <w:sz w:val="16"/>
      <w:szCs w:val="16"/>
    </w:rPr>
  </w:style>
  <w:style w:type="paragraph" w:styleId="CommentText">
    <w:name w:val="annotation text"/>
    <w:basedOn w:val="Normal"/>
    <w:link w:val="CommentTextChar"/>
    <w:uiPriority w:val="99"/>
    <w:semiHidden/>
    <w:unhideWhenUsed/>
    <w:rsid w:val="00B30429"/>
    <w:rPr>
      <w:sz w:val="20"/>
      <w:szCs w:val="20"/>
    </w:rPr>
  </w:style>
  <w:style w:type="character" w:customStyle="1" w:styleId="CommentTextChar">
    <w:name w:val="Comment Text Char"/>
    <w:basedOn w:val="DefaultParagraphFont"/>
    <w:link w:val="CommentText"/>
    <w:uiPriority w:val="99"/>
    <w:semiHidden/>
    <w:rsid w:val="00B3042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B30429"/>
    <w:rPr>
      <w:b/>
      <w:bCs/>
    </w:rPr>
  </w:style>
  <w:style w:type="character" w:customStyle="1" w:styleId="CommentSubjectChar">
    <w:name w:val="Comment Subject Char"/>
    <w:basedOn w:val="CommentTextChar"/>
    <w:link w:val="CommentSubject"/>
    <w:uiPriority w:val="99"/>
    <w:semiHidden/>
    <w:rsid w:val="00B30429"/>
    <w:rPr>
      <w:rFonts w:ascii="Times New Roman" w:eastAsia="Times New Roman" w:hAnsi="Times New Roman" w:cs="Times New Roman"/>
      <w:b/>
      <w:bCs/>
      <w:sz w:val="20"/>
      <w:szCs w:val="20"/>
      <w:lang w:eastAsia="en-GB"/>
    </w:rPr>
  </w:style>
  <w:style w:type="character" w:styleId="IntenseEmphasis">
    <w:name w:val="Intense Emphasis"/>
    <w:uiPriority w:val="21"/>
    <w:qFormat/>
    <w:rsid w:val="0069375F"/>
    <w:rPr>
      <w:rFonts w:ascii="Kings Caslon Text" w:hAnsi="Kings Caslon Text"/>
      <w:b/>
      <w:i/>
      <w:iCs/>
      <w:color w:val="0070C0"/>
    </w:rPr>
  </w:style>
  <w:style w:type="character" w:styleId="Hyperlink">
    <w:name w:val="Hyperlink"/>
    <w:basedOn w:val="DefaultParagraphFont"/>
    <w:uiPriority w:val="99"/>
    <w:unhideWhenUsed/>
    <w:rsid w:val="00823095"/>
    <w:rPr>
      <w:color w:val="0563C1" w:themeColor="hyperlink"/>
      <w:u w:val="single"/>
    </w:rPr>
  </w:style>
  <w:style w:type="character" w:styleId="UnresolvedMention">
    <w:name w:val="Unresolved Mention"/>
    <w:basedOn w:val="DefaultParagraphFont"/>
    <w:uiPriority w:val="99"/>
    <w:semiHidden/>
    <w:unhideWhenUsed/>
    <w:rsid w:val="00823095"/>
    <w:rPr>
      <w:color w:val="605E5C"/>
      <w:shd w:val="clear" w:color="auto" w:fill="E1DFDD"/>
    </w:rPr>
  </w:style>
  <w:style w:type="character" w:styleId="FollowedHyperlink">
    <w:name w:val="FollowedHyperlink"/>
    <w:basedOn w:val="DefaultParagraphFont"/>
    <w:uiPriority w:val="99"/>
    <w:semiHidden/>
    <w:unhideWhenUsed/>
    <w:rsid w:val="00823095"/>
    <w:rPr>
      <w:color w:val="954F72" w:themeColor="followedHyperlink"/>
      <w:u w:val="single"/>
    </w:rPr>
  </w:style>
  <w:style w:type="paragraph" w:customStyle="1" w:styleId="Default">
    <w:name w:val="Default"/>
    <w:rsid w:val="007733A1"/>
    <w:pPr>
      <w:autoSpaceDE w:val="0"/>
      <w:autoSpaceDN w:val="0"/>
      <w:adjustRightInd w:val="0"/>
    </w:pPr>
    <w:rPr>
      <w:rFonts w:ascii="Gill Sans MT" w:hAnsi="Gill Sans MT" w:cs="Gill Sans MT"/>
      <w:color w:val="000000"/>
    </w:rPr>
  </w:style>
  <w:style w:type="paragraph" w:customStyle="1" w:styleId="XY">
    <w:name w:val="XY"/>
    <w:basedOn w:val="Normal"/>
    <w:qFormat/>
    <w:rsid w:val="00F46CCE"/>
    <w:pPr>
      <w:jc w:val="both"/>
    </w:pPr>
    <w:rPr>
      <w:rFonts w:ascii="Palatino Linotype" w:hAnsi="Palatino Linotype"/>
      <w:b/>
      <w:i/>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3971">
      <w:bodyDiv w:val="1"/>
      <w:marLeft w:val="0"/>
      <w:marRight w:val="0"/>
      <w:marTop w:val="0"/>
      <w:marBottom w:val="0"/>
      <w:divBdr>
        <w:top w:val="none" w:sz="0" w:space="0" w:color="auto"/>
        <w:left w:val="none" w:sz="0" w:space="0" w:color="auto"/>
        <w:bottom w:val="none" w:sz="0" w:space="0" w:color="auto"/>
        <w:right w:val="none" w:sz="0" w:space="0" w:color="auto"/>
      </w:divBdr>
    </w:div>
    <w:div w:id="430663664">
      <w:bodyDiv w:val="1"/>
      <w:marLeft w:val="0"/>
      <w:marRight w:val="0"/>
      <w:marTop w:val="0"/>
      <w:marBottom w:val="0"/>
      <w:divBdr>
        <w:top w:val="none" w:sz="0" w:space="0" w:color="auto"/>
        <w:left w:val="none" w:sz="0" w:space="0" w:color="auto"/>
        <w:bottom w:val="none" w:sz="0" w:space="0" w:color="auto"/>
        <w:right w:val="none" w:sz="0" w:space="0" w:color="auto"/>
      </w:divBdr>
    </w:div>
    <w:div w:id="434137043">
      <w:bodyDiv w:val="1"/>
      <w:marLeft w:val="0"/>
      <w:marRight w:val="0"/>
      <w:marTop w:val="0"/>
      <w:marBottom w:val="0"/>
      <w:divBdr>
        <w:top w:val="none" w:sz="0" w:space="0" w:color="auto"/>
        <w:left w:val="none" w:sz="0" w:space="0" w:color="auto"/>
        <w:bottom w:val="none" w:sz="0" w:space="0" w:color="auto"/>
        <w:right w:val="none" w:sz="0" w:space="0" w:color="auto"/>
      </w:divBdr>
    </w:div>
    <w:div w:id="908341398">
      <w:bodyDiv w:val="1"/>
      <w:marLeft w:val="0"/>
      <w:marRight w:val="0"/>
      <w:marTop w:val="0"/>
      <w:marBottom w:val="0"/>
      <w:divBdr>
        <w:top w:val="none" w:sz="0" w:space="0" w:color="auto"/>
        <w:left w:val="none" w:sz="0" w:space="0" w:color="auto"/>
        <w:bottom w:val="none" w:sz="0" w:space="0" w:color="auto"/>
        <w:right w:val="none" w:sz="0" w:space="0" w:color="auto"/>
      </w:divBdr>
    </w:div>
    <w:div w:id="936787188">
      <w:bodyDiv w:val="1"/>
      <w:marLeft w:val="0"/>
      <w:marRight w:val="0"/>
      <w:marTop w:val="0"/>
      <w:marBottom w:val="0"/>
      <w:divBdr>
        <w:top w:val="none" w:sz="0" w:space="0" w:color="auto"/>
        <w:left w:val="none" w:sz="0" w:space="0" w:color="auto"/>
        <w:bottom w:val="none" w:sz="0" w:space="0" w:color="auto"/>
        <w:right w:val="none" w:sz="0" w:space="0" w:color="auto"/>
      </w:divBdr>
    </w:div>
    <w:div w:id="1115247646">
      <w:bodyDiv w:val="1"/>
      <w:marLeft w:val="0"/>
      <w:marRight w:val="0"/>
      <w:marTop w:val="0"/>
      <w:marBottom w:val="0"/>
      <w:divBdr>
        <w:top w:val="none" w:sz="0" w:space="0" w:color="auto"/>
        <w:left w:val="none" w:sz="0" w:space="0" w:color="auto"/>
        <w:bottom w:val="none" w:sz="0" w:space="0" w:color="auto"/>
        <w:right w:val="none" w:sz="0" w:space="0" w:color="auto"/>
      </w:divBdr>
    </w:div>
    <w:div w:id="1131091047">
      <w:bodyDiv w:val="1"/>
      <w:marLeft w:val="0"/>
      <w:marRight w:val="0"/>
      <w:marTop w:val="0"/>
      <w:marBottom w:val="0"/>
      <w:divBdr>
        <w:top w:val="none" w:sz="0" w:space="0" w:color="auto"/>
        <w:left w:val="none" w:sz="0" w:space="0" w:color="auto"/>
        <w:bottom w:val="none" w:sz="0" w:space="0" w:color="auto"/>
        <w:right w:val="none" w:sz="0" w:space="0" w:color="auto"/>
      </w:divBdr>
    </w:div>
    <w:div w:id="1457527935">
      <w:bodyDiv w:val="1"/>
      <w:marLeft w:val="0"/>
      <w:marRight w:val="0"/>
      <w:marTop w:val="0"/>
      <w:marBottom w:val="0"/>
      <w:divBdr>
        <w:top w:val="none" w:sz="0" w:space="0" w:color="auto"/>
        <w:left w:val="none" w:sz="0" w:space="0" w:color="auto"/>
        <w:bottom w:val="none" w:sz="0" w:space="0" w:color="auto"/>
        <w:right w:val="none" w:sz="0" w:space="0" w:color="auto"/>
      </w:divBdr>
      <w:divsChild>
        <w:div w:id="1384862834">
          <w:marLeft w:val="0"/>
          <w:marRight w:val="285"/>
          <w:marTop w:val="0"/>
          <w:marBottom w:val="0"/>
          <w:divBdr>
            <w:top w:val="none" w:sz="0" w:space="0" w:color="auto"/>
            <w:left w:val="none" w:sz="0" w:space="0" w:color="auto"/>
            <w:bottom w:val="none" w:sz="0" w:space="0" w:color="auto"/>
            <w:right w:val="none" w:sz="0" w:space="0" w:color="auto"/>
          </w:divBdr>
          <w:divsChild>
            <w:div w:id="2123960777">
              <w:marLeft w:val="0"/>
              <w:marRight w:val="0"/>
              <w:marTop w:val="0"/>
              <w:marBottom w:val="0"/>
              <w:divBdr>
                <w:top w:val="none" w:sz="0" w:space="0" w:color="auto"/>
                <w:left w:val="none" w:sz="0" w:space="0" w:color="auto"/>
                <w:bottom w:val="none" w:sz="0" w:space="0" w:color="auto"/>
                <w:right w:val="none" w:sz="0" w:space="0" w:color="auto"/>
              </w:divBdr>
              <w:divsChild>
                <w:div w:id="273366350">
                  <w:marLeft w:val="0"/>
                  <w:marRight w:val="0"/>
                  <w:marTop w:val="0"/>
                  <w:marBottom w:val="0"/>
                  <w:divBdr>
                    <w:top w:val="none" w:sz="0" w:space="0" w:color="auto"/>
                    <w:left w:val="none" w:sz="0" w:space="0" w:color="auto"/>
                    <w:bottom w:val="none" w:sz="0" w:space="0" w:color="auto"/>
                    <w:right w:val="none" w:sz="0" w:space="0" w:color="auto"/>
                  </w:divBdr>
                  <w:divsChild>
                    <w:div w:id="1513569331">
                      <w:marLeft w:val="0"/>
                      <w:marRight w:val="0"/>
                      <w:marTop w:val="0"/>
                      <w:marBottom w:val="0"/>
                      <w:divBdr>
                        <w:top w:val="none" w:sz="0" w:space="0" w:color="auto"/>
                        <w:left w:val="none" w:sz="0" w:space="0" w:color="auto"/>
                        <w:bottom w:val="none" w:sz="0" w:space="0" w:color="auto"/>
                        <w:right w:val="none" w:sz="0" w:space="0" w:color="auto"/>
                      </w:divBdr>
                      <w:divsChild>
                        <w:div w:id="14354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720142">
          <w:marLeft w:val="0"/>
          <w:marRight w:val="0"/>
          <w:marTop w:val="0"/>
          <w:marBottom w:val="0"/>
          <w:divBdr>
            <w:top w:val="none" w:sz="0" w:space="0" w:color="auto"/>
            <w:left w:val="none" w:sz="0" w:space="0" w:color="auto"/>
            <w:bottom w:val="none" w:sz="0" w:space="0" w:color="auto"/>
            <w:right w:val="none" w:sz="0" w:space="0" w:color="auto"/>
          </w:divBdr>
          <w:divsChild>
            <w:div w:id="146866748">
              <w:marLeft w:val="0"/>
              <w:marRight w:val="0"/>
              <w:marTop w:val="0"/>
              <w:marBottom w:val="0"/>
              <w:divBdr>
                <w:top w:val="none" w:sz="0" w:space="0" w:color="auto"/>
                <w:left w:val="none" w:sz="0" w:space="0" w:color="auto"/>
                <w:bottom w:val="none" w:sz="0" w:space="0" w:color="auto"/>
                <w:right w:val="none" w:sz="0" w:space="0" w:color="auto"/>
              </w:divBdr>
              <w:divsChild>
                <w:div w:id="7245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5686">
          <w:marLeft w:val="0"/>
          <w:marRight w:val="0"/>
          <w:marTop w:val="0"/>
          <w:marBottom w:val="0"/>
          <w:divBdr>
            <w:top w:val="none" w:sz="0" w:space="0" w:color="auto"/>
            <w:left w:val="none" w:sz="0" w:space="0" w:color="auto"/>
            <w:bottom w:val="none" w:sz="0" w:space="0" w:color="auto"/>
            <w:right w:val="none" w:sz="0" w:space="0" w:color="auto"/>
          </w:divBdr>
          <w:divsChild>
            <w:div w:id="2368860">
              <w:marLeft w:val="0"/>
              <w:marRight w:val="0"/>
              <w:marTop w:val="0"/>
              <w:marBottom w:val="0"/>
              <w:divBdr>
                <w:top w:val="none" w:sz="0" w:space="0" w:color="auto"/>
                <w:left w:val="none" w:sz="0" w:space="0" w:color="auto"/>
                <w:bottom w:val="none" w:sz="0" w:space="0" w:color="auto"/>
                <w:right w:val="none" w:sz="0" w:space="0" w:color="auto"/>
              </w:divBdr>
              <w:divsChild>
                <w:div w:id="12145813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76220277">
      <w:bodyDiv w:val="1"/>
      <w:marLeft w:val="0"/>
      <w:marRight w:val="0"/>
      <w:marTop w:val="0"/>
      <w:marBottom w:val="0"/>
      <w:divBdr>
        <w:top w:val="none" w:sz="0" w:space="0" w:color="auto"/>
        <w:left w:val="none" w:sz="0" w:space="0" w:color="auto"/>
        <w:bottom w:val="none" w:sz="0" w:space="0" w:color="auto"/>
        <w:right w:val="none" w:sz="0" w:space="0" w:color="auto"/>
      </w:divBdr>
    </w:div>
    <w:div w:id="15005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4t_W3LCWzH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udioboom.com/posts/8451079-supreme-court-rules-on-shock-in-clinical-negligence-cas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2.safelinks.protection.outlook.com/?url=https%3A%2F%2Fcontentstore.cla.co.uk%2Fsecure%2Flink%3Fid%3D0dcea6d4-c4b8-f011-b412-af662fb14ccd&amp;data=05%7C02%7Cj.letwin%40lancaster.ac.uk%7C825295eeb24a468ef97208de1ae964f1%7C9c9bcd11977a4e9ca9a0bc734090164a%7C0%7C0%7C638977786873247993%7CUnknown%7CTWFpbGZsb3d8eyJFbXB0eU1hcGkiOnRydWUsIlYiOiIwLjAuMDAwMCIsIlAiOiJXaW4zMiIsIkFOIjoiTWFpbCIsIldUIjoyfQ%3D%3D%7C0%7C%7C%7C&amp;sdata=VI92%2Fl6UFs7%2B9dmlv9SvAw%2Bw5BvgLEkIaABSJl193EU%3D&amp;reserved=0"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ingschambers.com/kings-chambers-debrief-s2-e1-secondary-victims-in-clinical-negligence-thus-far-and-absolutely-no-fur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7" ma:contentTypeDescription="Create a new document." ma:contentTypeScope="" ma:versionID="b771b457e615fe5d2a2055591f9d34e5">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a50be4b93f2bef9a96fda66cbb4806b8"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61563D-0931-40CE-A622-C6174560C1BA}">
  <ds:schemaRefs>
    <ds:schemaRef ds:uri="http://schemas.openxmlformats.org/officeDocument/2006/bibliography"/>
  </ds:schemaRefs>
</ds:datastoreItem>
</file>

<file path=customXml/itemProps2.xml><?xml version="1.0" encoding="utf-8"?>
<ds:datastoreItem xmlns:ds="http://schemas.openxmlformats.org/officeDocument/2006/customXml" ds:itemID="{FAD8EE5F-DA8D-4B4A-8BBE-F2372F0A3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093d1-3ffd-4cb5-81a7-333380151176"/>
    <ds:schemaRef ds:uri="dab24798-d3b6-4f34-9d9a-4183cf311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433423-E81C-4776-B99E-F4C0FC417D44}">
  <ds:schemaRefs>
    <ds:schemaRef ds:uri="http://schemas.microsoft.com/sharepoint/v3/contenttype/forms"/>
  </ds:schemaRefs>
</ds:datastoreItem>
</file>

<file path=customXml/itemProps4.xml><?xml version="1.0" encoding="utf-8"?>
<ds:datastoreItem xmlns:ds="http://schemas.openxmlformats.org/officeDocument/2006/customXml" ds:itemID="{DE5B8F9A-E16E-4B3C-BEC1-30ECEE15CF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Mc Grath</dc:creator>
  <cp:keywords/>
  <dc:description/>
  <cp:lastModifiedBy>Letwin, Jeremy</cp:lastModifiedBy>
  <cp:revision>195</cp:revision>
  <dcterms:created xsi:type="dcterms:W3CDTF">2021-03-01T11:34:00Z</dcterms:created>
  <dcterms:modified xsi:type="dcterms:W3CDTF">2025-11-03T15:07:00Z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ies>
</file>