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C1F28" w14:textId="1E19250C" w:rsidR="001B7FB8" w:rsidRDefault="00732614" w:rsidP="001B7FB8">
      <w:pPr>
        <w:jc w:val="center"/>
        <w:rPr>
          <w:rFonts w:ascii="Palatino Linotype" w:hAnsi="Palatino Linotype"/>
          <w:b/>
        </w:rPr>
      </w:pPr>
      <w:r w:rsidRPr="00732614">
        <w:rPr>
          <w:rFonts w:ascii="Palatino Linotype" w:hAnsi="Palatino Linotype"/>
          <w:b/>
          <w:u w:val="single"/>
        </w:rPr>
        <w:t xml:space="preserve">WEEK </w:t>
      </w:r>
      <w:r w:rsidR="001166B6">
        <w:rPr>
          <w:rFonts w:ascii="Palatino Linotype" w:hAnsi="Palatino Linotype"/>
          <w:b/>
          <w:u w:val="single"/>
        </w:rPr>
        <w:t>8</w:t>
      </w:r>
    </w:p>
    <w:p w14:paraId="3E0E395A" w14:textId="42BAFD86" w:rsidR="00732614" w:rsidRDefault="00732614" w:rsidP="001B7FB8">
      <w:pPr>
        <w:jc w:val="center"/>
        <w:rPr>
          <w:rFonts w:ascii="Palatino Linotype" w:hAnsi="Palatino Linotype"/>
          <w:b/>
        </w:rPr>
      </w:pPr>
    </w:p>
    <w:p w14:paraId="1A9CD0A1" w14:textId="1BF91918" w:rsidR="00732614" w:rsidRPr="0019314B" w:rsidRDefault="000E5657" w:rsidP="001B7FB8">
      <w:pPr>
        <w:jc w:val="center"/>
        <w:rPr>
          <w:rFonts w:ascii="Palatino Linotype" w:hAnsi="Palatino Linotype"/>
          <w:b/>
        </w:rPr>
      </w:pPr>
      <w:r>
        <w:rPr>
          <w:rFonts w:ascii="Palatino Linotype" w:hAnsi="Palatino Linotype"/>
          <w:b/>
        </w:rPr>
        <w:t>SPECIAL DUTY PROBLEMS: OMISSIONS</w:t>
      </w:r>
      <w:r w:rsidR="008F1086">
        <w:rPr>
          <w:rFonts w:ascii="Palatino Linotype" w:hAnsi="Palatino Linotype"/>
          <w:b/>
        </w:rPr>
        <w:t>, THIRD PARTIES,</w:t>
      </w:r>
      <w:r>
        <w:rPr>
          <w:rFonts w:ascii="Palatino Linotype" w:hAnsi="Palatino Linotype"/>
          <w:b/>
        </w:rPr>
        <w:t xml:space="preserve"> AND PUBLIC AUTHORITIES</w:t>
      </w:r>
    </w:p>
    <w:p w14:paraId="4A1A6446" w14:textId="77777777" w:rsidR="001B7FB8" w:rsidRPr="0019314B" w:rsidRDefault="001B7FB8" w:rsidP="001B7FB8">
      <w:pPr>
        <w:rPr>
          <w:rFonts w:ascii="Palatino Linotype" w:hAnsi="Palatino Linotype" w:cs="Palatino Linotype"/>
          <w:b/>
          <w:smallCaps/>
          <w:color w:val="FF0000"/>
          <w:sz w:val="28"/>
          <w:u w:val="single"/>
        </w:rPr>
      </w:pPr>
    </w:p>
    <w:p w14:paraId="0B38B06E" w14:textId="776A18CC" w:rsidR="002B5317" w:rsidRDefault="00BE6D9D" w:rsidP="00A020E1">
      <w:pPr>
        <w:widowControl w:val="0"/>
        <w:autoSpaceDE w:val="0"/>
        <w:autoSpaceDN w:val="0"/>
        <w:adjustRightInd w:val="0"/>
        <w:jc w:val="both"/>
        <w:rPr>
          <w:rFonts w:ascii="Palatino Linotype" w:hAnsi="Palatino Linotype" w:cs="Palatino Linotype"/>
          <w:color w:val="000000" w:themeColor="text1"/>
        </w:rPr>
      </w:pPr>
      <w:r>
        <w:rPr>
          <w:rFonts w:ascii="Palatino Linotype" w:hAnsi="Palatino Linotype" w:cs="Palatino Linotype"/>
          <w:color w:val="000000" w:themeColor="text1"/>
        </w:rPr>
        <w:t>Th</w:t>
      </w:r>
      <w:r w:rsidR="002B5317">
        <w:rPr>
          <w:rFonts w:ascii="Palatino Linotype" w:hAnsi="Palatino Linotype" w:cs="Palatino Linotype"/>
          <w:color w:val="000000" w:themeColor="text1"/>
        </w:rPr>
        <w:t xml:space="preserve">is week we turn to </w:t>
      </w:r>
      <w:r w:rsidR="001166B6">
        <w:rPr>
          <w:rFonts w:ascii="Palatino Linotype" w:hAnsi="Palatino Linotype" w:cs="Palatino Linotype"/>
          <w:color w:val="000000" w:themeColor="text1"/>
        </w:rPr>
        <w:t>another</w:t>
      </w:r>
      <w:r w:rsidR="002B5317">
        <w:rPr>
          <w:rFonts w:ascii="Palatino Linotype" w:hAnsi="Palatino Linotype" w:cs="Palatino Linotype"/>
          <w:color w:val="000000" w:themeColor="text1"/>
        </w:rPr>
        <w:t xml:space="preserve"> problematic ‘duty of care’ situation: omissions. Unlike </w:t>
      </w:r>
      <w:r w:rsidR="001166B6">
        <w:rPr>
          <w:rFonts w:ascii="Palatino Linotype" w:hAnsi="Palatino Linotype" w:cs="Palatino Linotype"/>
          <w:color w:val="000000" w:themeColor="text1"/>
        </w:rPr>
        <w:t xml:space="preserve">the </w:t>
      </w:r>
      <w:r w:rsidR="002B5317">
        <w:rPr>
          <w:rFonts w:ascii="Palatino Linotype" w:hAnsi="Palatino Linotype" w:cs="Palatino Linotype"/>
          <w:color w:val="000000" w:themeColor="text1"/>
        </w:rPr>
        <w:t>last</w:t>
      </w:r>
      <w:r w:rsidR="001166B6">
        <w:rPr>
          <w:rFonts w:ascii="Palatino Linotype" w:hAnsi="Palatino Linotype" w:cs="Palatino Linotype"/>
          <w:color w:val="000000" w:themeColor="text1"/>
        </w:rPr>
        <w:t xml:space="preserve"> two</w:t>
      </w:r>
      <w:r w:rsidR="002B5317">
        <w:rPr>
          <w:rFonts w:ascii="Palatino Linotype" w:hAnsi="Palatino Linotype" w:cs="Palatino Linotype"/>
          <w:color w:val="000000" w:themeColor="text1"/>
        </w:rPr>
        <w:t xml:space="preserve"> week</w:t>
      </w:r>
      <w:r w:rsidR="001166B6">
        <w:rPr>
          <w:rFonts w:ascii="Palatino Linotype" w:hAnsi="Palatino Linotype" w:cs="Palatino Linotype"/>
          <w:color w:val="000000" w:themeColor="text1"/>
        </w:rPr>
        <w:t>s</w:t>
      </w:r>
      <w:r w:rsidR="002B5317">
        <w:rPr>
          <w:rFonts w:ascii="Palatino Linotype" w:hAnsi="Palatino Linotype" w:cs="Palatino Linotype"/>
          <w:color w:val="000000" w:themeColor="text1"/>
        </w:rPr>
        <w:t xml:space="preserve">, the issue here is </w:t>
      </w:r>
      <w:r w:rsidR="002B5317" w:rsidRPr="002B5317">
        <w:rPr>
          <w:rFonts w:ascii="Palatino Linotype" w:hAnsi="Palatino Linotype" w:cs="Palatino Linotype"/>
          <w:i/>
          <w:iCs/>
          <w:color w:val="000000" w:themeColor="text1"/>
        </w:rPr>
        <w:t>not</w:t>
      </w:r>
      <w:r w:rsidR="002B5317">
        <w:rPr>
          <w:rFonts w:ascii="Palatino Linotype" w:hAnsi="Palatino Linotype" w:cs="Palatino Linotype"/>
          <w:color w:val="000000" w:themeColor="text1"/>
        </w:rPr>
        <w:t xml:space="preserve"> caused by the fact that the ‘type of damage’ is ranked lower in the hierarchy of human interests than the core types of damage with which negligence is concerned — physical injury and property damage. Rather, the issue this week is that the negligence arises out of an omission rather than an act. However, similar to last week, the law generally does not recognise a duty of care for omissions, and does so only when one of the specific </w:t>
      </w:r>
      <w:r w:rsidR="00F6317B">
        <w:rPr>
          <w:rFonts w:ascii="Palatino Linotype" w:hAnsi="Palatino Linotype" w:cs="Palatino Linotype"/>
          <w:color w:val="000000" w:themeColor="text1"/>
        </w:rPr>
        <w:t>exceptions</w:t>
      </w:r>
      <w:r w:rsidR="002B5317">
        <w:rPr>
          <w:rFonts w:ascii="Palatino Linotype" w:hAnsi="Palatino Linotype" w:cs="Palatino Linotype"/>
          <w:color w:val="000000" w:themeColor="text1"/>
        </w:rPr>
        <w:t xml:space="preserve"> set out in </w:t>
      </w:r>
      <w:r w:rsidR="002B5317">
        <w:rPr>
          <w:rFonts w:ascii="Palatino Linotype" w:hAnsi="Palatino Linotype" w:cs="Palatino Linotype"/>
          <w:i/>
          <w:iCs/>
          <w:color w:val="000000" w:themeColor="text1"/>
        </w:rPr>
        <w:t xml:space="preserve">N v Poole BC </w:t>
      </w:r>
      <w:r w:rsidR="002B5317">
        <w:rPr>
          <w:rFonts w:ascii="Palatino Linotype" w:hAnsi="Palatino Linotype" w:cs="Palatino Linotype"/>
          <w:color w:val="000000" w:themeColor="text1"/>
        </w:rPr>
        <w:t xml:space="preserve">applies.  </w:t>
      </w:r>
    </w:p>
    <w:p w14:paraId="27AC9927" w14:textId="77777777" w:rsidR="00F6317B" w:rsidRDefault="00F6317B" w:rsidP="00A020E1">
      <w:pPr>
        <w:widowControl w:val="0"/>
        <w:autoSpaceDE w:val="0"/>
        <w:autoSpaceDN w:val="0"/>
        <w:adjustRightInd w:val="0"/>
        <w:jc w:val="both"/>
        <w:rPr>
          <w:rFonts w:ascii="Palatino Linotype" w:hAnsi="Palatino Linotype" w:cs="Palatino Linotype"/>
          <w:color w:val="000000" w:themeColor="text1"/>
        </w:rPr>
      </w:pPr>
    </w:p>
    <w:p w14:paraId="15D98D7D" w14:textId="639E3DD0" w:rsidR="006E44F2" w:rsidRDefault="00F6317B" w:rsidP="00700C85">
      <w:pPr>
        <w:widowControl w:val="0"/>
        <w:autoSpaceDE w:val="0"/>
        <w:autoSpaceDN w:val="0"/>
        <w:adjustRightInd w:val="0"/>
        <w:jc w:val="both"/>
        <w:rPr>
          <w:rFonts w:ascii="Palatino Linotype" w:hAnsi="Palatino Linotype"/>
        </w:rPr>
      </w:pPr>
      <w:r>
        <w:rPr>
          <w:rFonts w:ascii="Palatino Linotype" w:hAnsi="Palatino Linotype" w:cs="Palatino Linotype"/>
          <w:color w:val="000000" w:themeColor="text1"/>
        </w:rPr>
        <w:t>This topic is really about omissions. The two sub-topics — third parties, and public authorities — are just applications of the basic rules about omissions</w:t>
      </w:r>
      <w:r w:rsidR="006E44F2">
        <w:rPr>
          <w:rFonts w:ascii="Palatino Linotype" w:hAnsi="Palatino Linotype" w:cs="Palatino Linotype"/>
          <w:color w:val="000000" w:themeColor="text1"/>
        </w:rPr>
        <w:t xml:space="preserve"> in specific circumstances. For example, </w:t>
      </w:r>
      <w:r w:rsidR="006E44F2">
        <w:rPr>
          <w:rFonts w:ascii="Palatino Linotype" w:hAnsi="Palatino Linotype"/>
        </w:rPr>
        <w:t>p</w:t>
      </w:r>
      <w:r w:rsidR="00700C85" w:rsidRPr="00700C85">
        <w:rPr>
          <w:rFonts w:ascii="Palatino Linotype" w:hAnsi="Palatino Linotype"/>
        </w:rPr>
        <w:t>ublic authorities are often charged with regulating a</w:t>
      </w:r>
      <w:r w:rsidR="006E44F2">
        <w:rPr>
          <w:rFonts w:ascii="Palatino Linotype" w:hAnsi="Palatino Linotype"/>
        </w:rPr>
        <w:t xml:space="preserve">n </w:t>
      </w:r>
      <w:r w:rsidR="00700C85" w:rsidRPr="00700C85">
        <w:rPr>
          <w:rFonts w:ascii="Palatino Linotype" w:hAnsi="Palatino Linotype"/>
        </w:rPr>
        <w:t>area of life and must make choice</w:t>
      </w:r>
      <w:r w:rsidR="006E44F2">
        <w:rPr>
          <w:rFonts w:ascii="Palatino Linotype" w:hAnsi="Palatino Linotype"/>
        </w:rPr>
        <w:t xml:space="preserve">s </w:t>
      </w:r>
      <w:r w:rsidR="00700C85" w:rsidRPr="00700C85">
        <w:rPr>
          <w:rFonts w:ascii="Palatino Linotype" w:hAnsi="Palatino Linotype"/>
        </w:rPr>
        <w:t xml:space="preserve">about whether to deploy their limited </w:t>
      </w:r>
      <w:r w:rsidR="006E44F2">
        <w:rPr>
          <w:rFonts w:ascii="Palatino Linotype" w:hAnsi="Palatino Linotype"/>
        </w:rPr>
        <w:t>resources</w:t>
      </w:r>
      <w:r w:rsidR="00700C85" w:rsidRPr="00700C85">
        <w:rPr>
          <w:rFonts w:ascii="Palatino Linotype" w:hAnsi="Palatino Linotype"/>
        </w:rPr>
        <w:t xml:space="preserve">. </w:t>
      </w:r>
      <w:r w:rsidR="006E44F2">
        <w:rPr>
          <w:rFonts w:ascii="Palatino Linotype" w:hAnsi="Palatino Linotype"/>
        </w:rPr>
        <w:t>So, the jurisprudence on ‘omissions’ is especially relevant to them.</w:t>
      </w:r>
      <w:r w:rsidR="00A93A9D">
        <w:rPr>
          <w:rFonts w:ascii="Palatino Linotype" w:hAnsi="Palatino Linotype"/>
        </w:rPr>
        <w:t xml:space="preserve"> </w:t>
      </w:r>
      <w:r w:rsidR="006E44F2">
        <w:rPr>
          <w:rFonts w:ascii="Palatino Linotype" w:hAnsi="Palatino Linotype"/>
        </w:rPr>
        <w:t xml:space="preserve"> </w:t>
      </w:r>
    </w:p>
    <w:p w14:paraId="4E914EFA" w14:textId="77777777" w:rsidR="006E44F2" w:rsidRDefault="006E44F2" w:rsidP="00700C85">
      <w:pPr>
        <w:widowControl w:val="0"/>
        <w:autoSpaceDE w:val="0"/>
        <w:autoSpaceDN w:val="0"/>
        <w:adjustRightInd w:val="0"/>
        <w:jc w:val="both"/>
        <w:rPr>
          <w:rFonts w:ascii="Palatino Linotype" w:hAnsi="Palatino Linotype"/>
        </w:rPr>
      </w:pPr>
    </w:p>
    <w:p w14:paraId="1B6CC4EA" w14:textId="16DB4E92" w:rsidR="006E44F2" w:rsidRPr="00CE7293" w:rsidRDefault="006E44F2" w:rsidP="00700C85">
      <w:pPr>
        <w:widowControl w:val="0"/>
        <w:autoSpaceDE w:val="0"/>
        <w:autoSpaceDN w:val="0"/>
        <w:adjustRightInd w:val="0"/>
        <w:jc w:val="both"/>
        <w:rPr>
          <w:rFonts w:ascii="Palatino Linotype" w:hAnsi="Palatino Linotype"/>
        </w:rPr>
      </w:pPr>
      <w:r>
        <w:rPr>
          <w:rFonts w:ascii="Palatino Linotype" w:hAnsi="Palatino Linotype"/>
        </w:rPr>
        <w:t xml:space="preserve">Start your reading with the cases of </w:t>
      </w:r>
      <w:r>
        <w:rPr>
          <w:rFonts w:ascii="Palatino Linotype" w:hAnsi="Palatino Linotype"/>
          <w:i/>
          <w:iCs/>
        </w:rPr>
        <w:t xml:space="preserve">Michael </w:t>
      </w:r>
      <w:r>
        <w:rPr>
          <w:rFonts w:ascii="Palatino Linotype" w:hAnsi="Palatino Linotype"/>
        </w:rPr>
        <w:t xml:space="preserve">and </w:t>
      </w:r>
      <w:r>
        <w:rPr>
          <w:rFonts w:ascii="Palatino Linotype" w:hAnsi="Palatino Linotype"/>
          <w:i/>
          <w:iCs/>
        </w:rPr>
        <w:t>N v Poole</w:t>
      </w:r>
      <w:r w:rsidR="009E1B0A">
        <w:rPr>
          <w:rFonts w:ascii="Palatino Linotype" w:hAnsi="Palatino Linotype"/>
          <w:i/>
          <w:iCs/>
        </w:rPr>
        <w:t xml:space="preserve"> BC</w:t>
      </w:r>
      <w:r>
        <w:rPr>
          <w:rFonts w:ascii="Palatino Linotype" w:hAnsi="Palatino Linotype"/>
          <w:i/>
          <w:iCs/>
        </w:rPr>
        <w:t xml:space="preserve">. </w:t>
      </w:r>
      <w:r>
        <w:rPr>
          <w:rFonts w:ascii="Palatino Linotype" w:hAnsi="Palatino Linotype"/>
        </w:rPr>
        <w:t>They show that there is no special set of rules which apply to public authorities different to private persons, and they make clear the correct, modern, approach to omissions. Be careful</w:t>
      </w:r>
      <w:r w:rsidR="00C958E3">
        <w:rPr>
          <w:rFonts w:ascii="Palatino Linotype" w:hAnsi="Palatino Linotype"/>
        </w:rPr>
        <w:t xml:space="preserve"> with using old books.</w:t>
      </w:r>
      <w:r>
        <w:rPr>
          <w:rFonts w:ascii="Palatino Linotype" w:hAnsi="Palatino Linotype"/>
        </w:rPr>
        <w:t xml:space="preserve"> </w:t>
      </w:r>
      <w:r w:rsidR="00C958E3">
        <w:rPr>
          <w:rFonts w:ascii="Palatino Linotype" w:hAnsi="Palatino Linotype"/>
        </w:rPr>
        <w:t>Until the most recent edition (the 9</w:t>
      </w:r>
      <w:r w:rsidR="00C958E3" w:rsidRPr="00C958E3">
        <w:rPr>
          <w:rFonts w:ascii="Palatino Linotype" w:hAnsi="Palatino Linotype"/>
          <w:vertAlign w:val="superscript"/>
        </w:rPr>
        <w:t>th</w:t>
      </w:r>
      <w:r w:rsidR="00C958E3">
        <w:rPr>
          <w:rFonts w:ascii="Palatino Linotype" w:hAnsi="Palatino Linotype"/>
        </w:rPr>
        <w:t xml:space="preserve"> edition) H&amp;R was</w:t>
      </w:r>
      <w:r>
        <w:rPr>
          <w:rFonts w:ascii="Palatino Linotype" w:hAnsi="Palatino Linotype"/>
        </w:rPr>
        <w:t xml:space="preserve"> still stuck in the past here, and </w:t>
      </w:r>
      <w:r w:rsidR="00C958E3">
        <w:rPr>
          <w:rFonts w:ascii="Palatino Linotype" w:hAnsi="Palatino Linotype"/>
        </w:rPr>
        <w:t>had</w:t>
      </w:r>
      <w:r>
        <w:rPr>
          <w:rFonts w:ascii="Palatino Linotype" w:hAnsi="Palatino Linotype"/>
        </w:rPr>
        <w:t xml:space="preserve"> not fully appreciated the radical effect of </w:t>
      </w:r>
      <w:r w:rsidR="00AD0B39" w:rsidRPr="00AD0B39">
        <w:rPr>
          <w:rFonts w:ascii="Palatino Linotype" w:hAnsi="Palatino Linotype"/>
          <w:i/>
          <w:iCs/>
        </w:rPr>
        <w:t>Robinson</w:t>
      </w:r>
      <w:r w:rsidR="00AD0B39">
        <w:rPr>
          <w:rFonts w:ascii="Palatino Linotype" w:hAnsi="Palatino Linotype"/>
        </w:rPr>
        <w:t xml:space="preserve">, </w:t>
      </w:r>
      <w:r w:rsidRPr="00AD0B39">
        <w:rPr>
          <w:rFonts w:ascii="Palatino Linotype" w:hAnsi="Palatino Linotype"/>
          <w:i/>
          <w:iCs/>
        </w:rPr>
        <w:t>Michael</w:t>
      </w:r>
      <w:r w:rsidR="003F7D2B">
        <w:rPr>
          <w:rFonts w:ascii="Palatino Linotype" w:hAnsi="Palatino Linotype"/>
          <w:i/>
          <w:iCs/>
        </w:rPr>
        <w:t xml:space="preserve">, </w:t>
      </w:r>
      <w:r>
        <w:rPr>
          <w:rFonts w:ascii="Palatino Linotype" w:hAnsi="Palatino Linotype"/>
          <w:i/>
          <w:iCs/>
        </w:rPr>
        <w:t>N</w:t>
      </w:r>
      <w:r w:rsidR="003F7D2B">
        <w:rPr>
          <w:rFonts w:ascii="Palatino Linotype" w:hAnsi="Palatino Linotype"/>
          <w:i/>
          <w:iCs/>
        </w:rPr>
        <w:t xml:space="preserve"> v Poole, </w:t>
      </w:r>
      <w:r w:rsidR="00CE7293">
        <w:rPr>
          <w:rFonts w:ascii="Palatino Linotype" w:hAnsi="Palatino Linotype"/>
          <w:i/>
          <w:iCs/>
        </w:rPr>
        <w:t>HXA</w:t>
      </w:r>
      <w:r w:rsidR="00FE6210">
        <w:rPr>
          <w:rFonts w:ascii="Palatino Linotype" w:hAnsi="Palatino Linotype"/>
        </w:rPr>
        <w:t>,</w:t>
      </w:r>
      <w:r w:rsidR="00CE7293">
        <w:rPr>
          <w:rFonts w:ascii="Palatino Linotype" w:hAnsi="Palatino Linotype"/>
          <w:i/>
          <w:iCs/>
        </w:rPr>
        <w:t xml:space="preserve"> </w:t>
      </w:r>
      <w:r w:rsidR="00CE7293">
        <w:rPr>
          <w:rFonts w:ascii="Palatino Linotype" w:hAnsi="Palatino Linotype"/>
        </w:rPr>
        <w:t xml:space="preserve">and </w:t>
      </w:r>
      <w:r w:rsidR="00CE7293">
        <w:rPr>
          <w:rFonts w:ascii="Palatino Linotype" w:hAnsi="Palatino Linotype"/>
          <w:i/>
          <w:iCs/>
        </w:rPr>
        <w:t>Tindall</w:t>
      </w:r>
      <w:r w:rsidR="00CE7293">
        <w:rPr>
          <w:rFonts w:ascii="Palatino Linotype" w:hAnsi="Palatino Linotype"/>
        </w:rPr>
        <w:t xml:space="preserve">. </w:t>
      </w:r>
    </w:p>
    <w:p w14:paraId="5FAB239C" w14:textId="57012EE9" w:rsidR="00804A4E" w:rsidRPr="0019314B" w:rsidRDefault="00804A4E" w:rsidP="0069375F">
      <w:pPr>
        <w:jc w:val="both"/>
        <w:rPr>
          <w:rFonts w:ascii="Palatino Linotype" w:hAnsi="Palatino Linotype" w:cs="Palatino Linotype"/>
          <w:color w:val="FF0000"/>
        </w:rPr>
      </w:pPr>
    </w:p>
    <w:p w14:paraId="597CD0AE" w14:textId="6324B6ED" w:rsidR="00A00151" w:rsidRPr="0019314B" w:rsidRDefault="00A00151" w:rsidP="0069375F">
      <w:pPr>
        <w:jc w:val="both"/>
        <w:rPr>
          <w:rFonts w:ascii="Palatino Linotype" w:hAnsi="Palatino Linotype" w:cs="Palatino Linotype"/>
          <w:b/>
          <w:bCs/>
          <w:color w:val="000000" w:themeColor="text1"/>
        </w:rPr>
      </w:pPr>
      <w:r w:rsidRPr="0019314B">
        <w:rPr>
          <w:rFonts w:ascii="Palatino Linotype" w:hAnsi="Palatino Linotype" w:cs="Palatino Linotype"/>
          <w:b/>
          <w:bCs/>
          <w:color w:val="000000" w:themeColor="text1"/>
        </w:rPr>
        <w:t>Textbook</w:t>
      </w:r>
      <w:r w:rsidR="0004734B" w:rsidRPr="0019314B">
        <w:rPr>
          <w:rFonts w:ascii="Palatino Linotype" w:hAnsi="Palatino Linotype" w:cs="Palatino Linotype"/>
          <w:b/>
          <w:bCs/>
          <w:color w:val="000000" w:themeColor="text1"/>
        </w:rPr>
        <w:t>s</w:t>
      </w:r>
    </w:p>
    <w:p w14:paraId="5B3AC001" w14:textId="77777777" w:rsidR="00D76873" w:rsidRDefault="00A00151" w:rsidP="0069375F">
      <w:pPr>
        <w:jc w:val="both"/>
        <w:rPr>
          <w:rFonts w:ascii="Palatino Linotype" w:hAnsi="Palatino Linotype" w:cs="Palatino Linotype"/>
          <w:b/>
          <w:bCs/>
          <w:color w:val="0070C0"/>
        </w:rPr>
      </w:pPr>
      <w:r w:rsidRPr="0019314B">
        <w:rPr>
          <w:rFonts w:ascii="Palatino Linotype" w:hAnsi="Palatino Linotype" w:cs="Palatino Linotype"/>
          <w:b/>
          <w:bCs/>
          <w:color w:val="0070C0"/>
        </w:rPr>
        <w:t>H&amp;R, Ch</w:t>
      </w:r>
      <w:r w:rsidR="000E5657">
        <w:rPr>
          <w:rFonts w:ascii="Palatino Linotype" w:hAnsi="Palatino Linotype" w:cs="Palatino Linotype"/>
          <w:b/>
          <w:bCs/>
          <w:color w:val="0070C0"/>
        </w:rPr>
        <w:t xml:space="preserve">s.4 </w:t>
      </w:r>
      <w:r w:rsidR="000E5657" w:rsidRPr="000E5657">
        <w:rPr>
          <w:rFonts w:ascii="Palatino Linotype" w:hAnsi="Palatino Linotype" w:cs="Palatino Linotype"/>
          <w:b/>
          <w:bCs/>
          <w:color w:val="0070C0"/>
          <w:u w:val="single"/>
        </w:rPr>
        <w:t>and</w:t>
      </w:r>
      <w:r w:rsidR="000E5657">
        <w:rPr>
          <w:rFonts w:ascii="Palatino Linotype" w:hAnsi="Palatino Linotype" w:cs="Palatino Linotype"/>
          <w:b/>
          <w:bCs/>
          <w:color w:val="0070C0"/>
        </w:rPr>
        <w:t xml:space="preserve"> 6</w:t>
      </w:r>
      <w:r w:rsidRPr="0019314B">
        <w:rPr>
          <w:rFonts w:ascii="Palatino Linotype" w:hAnsi="Palatino Linotype" w:cs="Palatino Linotype"/>
          <w:b/>
          <w:bCs/>
          <w:color w:val="0070C0"/>
        </w:rPr>
        <w:t xml:space="preserve"> – </w:t>
      </w:r>
      <w:r w:rsidR="000E5657">
        <w:rPr>
          <w:rFonts w:ascii="Palatino Linotype" w:hAnsi="Palatino Linotype" w:cs="Palatino Linotype"/>
          <w:b/>
          <w:bCs/>
          <w:color w:val="0070C0"/>
        </w:rPr>
        <w:t>‘Special duty problems: omissions and acts of third parties’ and ‘Special duty problems: public bodies’</w:t>
      </w:r>
      <w:r w:rsidR="005F4E63">
        <w:rPr>
          <w:rFonts w:ascii="Palatino Linotype" w:hAnsi="Palatino Linotype" w:cs="Palatino Linotype"/>
          <w:b/>
          <w:bCs/>
          <w:color w:val="0070C0"/>
        </w:rPr>
        <w:t xml:space="preserve"> </w:t>
      </w:r>
    </w:p>
    <w:p w14:paraId="5A3EAED6" w14:textId="41A0CF1B" w:rsidR="003C5EEE" w:rsidRPr="003C2663" w:rsidRDefault="005F4E63" w:rsidP="00D76873">
      <w:pPr>
        <w:ind w:left="720"/>
        <w:jc w:val="both"/>
        <w:rPr>
          <w:rFonts w:ascii="Palatino Linotype" w:hAnsi="Palatino Linotype" w:cs="Palatino Linotype"/>
          <w:b/>
          <w:bCs/>
          <w:color w:val="0070C0"/>
        </w:rPr>
      </w:pPr>
      <w:r>
        <w:rPr>
          <w:rFonts w:ascii="Palatino Linotype" w:hAnsi="Palatino Linotype" w:cs="Palatino Linotype"/>
          <w:b/>
          <w:bCs/>
          <w:color w:val="0070C0"/>
        </w:rPr>
        <w:t>MAKE SURE THIS IS THE 9</w:t>
      </w:r>
      <w:r w:rsidRPr="005F4E63">
        <w:rPr>
          <w:rFonts w:ascii="Palatino Linotype" w:hAnsi="Palatino Linotype" w:cs="Palatino Linotype"/>
          <w:b/>
          <w:bCs/>
          <w:color w:val="0070C0"/>
          <w:vertAlign w:val="superscript"/>
        </w:rPr>
        <w:t>TH</w:t>
      </w:r>
      <w:r>
        <w:rPr>
          <w:rFonts w:ascii="Palatino Linotype" w:hAnsi="Palatino Linotype" w:cs="Palatino Linotype"/>
          <w:b/>
          <w:bCs/>
          <w:color w:val="0070C0"/>
        </w:rPr>
        <w:t xml:space="preserve"> EDITION</w:t>
      </w:r>
      <w:r w:rsidR="00FB0309">
        <w:rPr>
          <w:rFonts w:ascii="Palatino Linotype" w:hAnsi="Palatino Linotype" w:cs="Palatino Linotype"/>
          <w:b/>
          <w:bCs/>
          <w:color w:val="0070C0"/>
        </w:rPr>
        <w:t xml:space="preserve"> </w:t>
      </w:r>
      <w:r w:rsidR="00D76873">
        <w:rPr>
          <w:rFonts w:ascii="Palatino Linotype" w:hAnsi="Palatino Linotype" w:cs="Palatino Linotype"/>
          <w:b/>
          <w:bCs/>
          <w:color w:val="0070C0"/>
        </w:rPr>
        <w:t xml:space="preserve">– THE OLD </w:t>
      </w:r>
      <w:r w:rsidR="00FB0309">
        <w:rPr>
          <w:rFonts w:ascii="Palatino Linotype" w:hAnsi="Palatino Linotype" w:cs="Palatino Linotype"/>
          <w:b/>
          <w:bCs/>
          <w:color w:val="0070C0"/>
        </w:rPr>
        <w:t>EDITION</w:t>
      </w:r>
      <w:r w:rsidR="00D76873">
        <w:rPr>
          <w:rFonts w:ascii="Palatino Linotype" w:hAnsi="Palatino Linotype" w:cs="Palatino Linotype"/>
          <w:b/>
          <w:bCs/>
          <w:color w:val="0070C0"/>
        </w:rPr>
        <w:t xml:space="preserve"> IS </w:t>
      </w:r>
      <w:r w:rsidR="00FB0309">
        <w:rPr>
          <w:rFonts w:ascii="Palatino Linotype" w:hAnsi="Palatino Linotype" w:cs="Palatino Linotype"/>
          <w:b/>
          <w:bCs/>
          <w:color w:val="0070C0"/>
        </w:rPr>
        <w:t>WRONG</w:t>
      </w:r>
    </w:p>
    <w:p w14:paraId="308BFED8" w14:textId="77777777" w:rsidR="00D10FED" w:rsidRPr="0019314B" w:rsidRDefault="00D10FED" w:rsidP="001B7FB8">
      <w:pPr>
        <w:jc w:val="both"/>
        <w:rPr>
          <w:rFonts w:ascii="Palatino Linotype" w:hAnsi="Palatino Linotype"/>
          <w:b/>
          <w:color w:val="000000" w:themeColor="text1"/>
        </w:rPr>
      </w:pPr>
    </w:p>
    <w:p w14:paraId="3935A06C" w14:textId="1120C0AA" w:rsidR="00462CB5" w:rsidRPr="0019314B" w:rsidRDefault="00462CB5" w:rsidP="001B7FB8">
      <w:pPr>
        <w:jc w:val="both"/>
        <w:rPr>
          <w:rFonts w:ascii="Palatino Linotype" w:hAnsi="Palatino Linotype"/>
          <w:b/>
          <w:color w:val="000000" w:themeColor="text1"/>
        </w:rPr>
      </w:pPr>
      <w:r w:rsidRPr="0019314B">
        <w:rPr>
          <w:rFonts w:ascii="Palatino Linotype" w:hAnsi="Palatino Linotype"/>
          <w:b/>
          <w:color w:val="000000" w:themeColor="text1"/>
        </w:rPr>
        <w:t>Core cases</w:t>
      </w:r>
    </w:p>
    <w:p w14:paraId="10F149C4" w14:textId="569D0366" w:rsidR="00C55E4F" w:rsidRPr="00DB1B6E" w:rsidRDefault="00C55E4F" w:rsidP="00C55E4F">
      <w:pPr>
        <w:ind w:right="26"/>
        <w:jc w:val="both"/>
        <w:rPr>
          <w:rFonts w:ascii="Palatino Linotype" w:hAnsi="Palatino Linotype"/>
          <w:bCs/>
          <w:iCs/>
          <w:color w:val="000000" w:themeColor="text1"/>
        </w:rPr>
      </w:pPr>
      <w:r w:rsidRPr="00DB1B6E">
        <w:rPr>
          <w:rFonts w:ascii="Palatino Linotype" w:hAnsi="Palatino Linotype"/>
          <w:bCs/>
          <w:i/>
          <w:color w:val="000000" w:themeColor="text1"/>
        </w:rPr>
        <w:t>N v Poole Borough Council</w:t>
      </w:r>
      <w:r w:rsidRPr="00DB1B6E">
        <w:rPr>
          <w:rFonts w:ascii="Palatino Linotype" w:hAnsi="Palatino Linotype"/>
          <w:bCs/>
          <w:iCs/>
          <w:color w:val="000000" w:themeColor="text1"/>
        </w:rPr>
        <w:t xml:space="preserve"> [2019] UKSC 25</w:t>
      </w:r>
    </w:p>
    <w:p w14:paraId="2D84EC98" w14:textId="60984668" w:rsidR="0083247A" w:rsidRPr="00DB1B6E" w:rsidRDefault="0083247A" w:rsidP="0083247A">
      <w:pPr>
        <w:jc w:val="both"/>
        <w:rPr>
          <w:rFonts w:ascii="Palatino Linotype" w:hAnsi="Palatino Linotype"/>
          <w:bCs/>
          <w:iCs/>
          <w:color w:val="000000" w:themeColor="text1"/>
        </w:rPr>
      </w:pPr>
      <w:r w:rsidRPr="00DB1B6E">
        <w:rPr>
          <w:rFonts w:ascii="Palatino Linotype" w:hAnsi="Palatino Linotype"/>
          <w:bCs/>
          <w:i/>
          <w:color w:val="000000" w:themeColor="text1"/>
        </w:rPr>
        <w:t xml:space="preserve">Tindall v CC of Thames Valley Police </w:t>
      </w:r>
      <w:r w:rsidRPr="00DB1B6E">
        <w:rPr>
          <w:rFonts w:ascii="Palatino Linotype" w:hAnsi="Palatino Linotype"/>
          <w:bCs/>
          <w:iCs/>
          <w:color w:val="000000" w:themeColor="text1"/>
        </w:rPr>
        <w:t>[2024] UKSC 33</w:t>
      </w:r>
    </w:p>
    <w:p w14:paraId="4CF2089C" w14:textId="4CD1E244" w:rsidR="0034721D" w:rsidRPr="00DB1B6E" w:rsidRDefault="0034721D" w:rsidP="0034721D">
      <w:pPr>
        <w:ind w:right="26"/>
        <w:jc w:val="both"/>
        <w:rPr>
          <w:rFonts w:ascii="Palatino Linotype" w:hAnsi="Palatino Linotype"/>
          <w:bCs/>
          <w:i/>
          <w:color w:val="000000" w:themeColor="text1"/>
        </w:rPr>
      </w:pPr>
      <w:r w:rsidRPr="00DB1B6E">
        <w:rPr>
          <w:rFonts w:ascii="Palatino Linotype" w:hAnsi="Palatino Linotype"/>
          <w:bCs/>
          <w:i/>
          <w:color w:val="000000" w:themeColor="text1"/>
        </w:rPr>
        <w:t xml:space="preserve">Mitchell v Glasgow City Council </w:t>
      </w:r>
      <w:r w:rsidRPr="00DB1B6E">
        <w:rPr>
          <w:rFonts w:ascii="Palatino Linotype" w:hAnsi="Palatino Linotype"/>
          <w:bCs/>
          <w:iCs/>
          <w:color w:val="000000" w:themeColor="text1"/>
        </w:rPr>
        <w:t>[2009] UKHL 11</w:t>
      </w:r>
    </w:p>
    <w:p w14:paraId="69C4293C" w14:textId="2AE2266B" w:rsidR="00736224" w:rsidRPr="00DB1B6E" w:rsidRDefault="00736224" w:rsidP="0034721D">
      <w:pPr>
        <w:ind w:right="26"/>
        <w:jc w:val="both"/>
        <w:rPr>
          <w:rFonts w:ascii="Palatino Linotype" w:hAnsi="Palatino Linotype"/>
          <w:bCs/>
          <w:i/>
          <w:color w:val="000000" w:themeColor="text1"/>
        </w:rPr>
      </w:pPr>
      <w:r w:rsidRPr="00DB1B6E">
        <w:rPr>
          <w:rFonts w:ascii="Palatino Linotype" w:hAnsi="Palatino Linotype"/>
          <w:bCs/>
          <w:i/>
          <w:color w:val="000000" w:themeColor="text1"/>
        </w:rPr>
        <w:t>Michael v Chief Constable of South Wales Police</w:t>
      </w:r>
      <w:r w:rsidRPr="00DB1B6E">
        <w:rPr>
          <w:rFonts w:ascii="Palatino Linotype" w:hAnsi="Palatino Linotype"/>
          <w:bCs/>
          <w:iCs/>
          <w:color w:val="000000" w:themeColor="text1"/>
        </w:rPr>
        <w:t xml:space="preserve"> [2015] UKSC 2</w:t>
      </w:r>
    </w:p>
    <w:p w14:paraId="5F63EE95" w14:textId="40E896EF" w:rsidR="0060540D" w:rsidRPr="00DB1B6E" w:rsidRDefault="0060540D" w:rsidP="0060540D">
      <w:pPr>
        <w:rPr>
          <w:rFonts w:ascii="Palatino Linotype" w:hAnsi="Palatino Linotype" w:cs="Palatino Linotype"/>
          <w:bCs/>
          <w:color w:val="000000" w:themeColor="text1"/>
        </w:rPr>
      </w:pPr>
      <w:r w:rsidRPr="00DB1B6E">
        <w:rPr>
          <w:rFonts w:ascii="Palatino Linotype" w:hAnsi="Palatino Linotype" w:cs="Palatino Linotype"/>
          <w:bCs/>
          <w:i/>
          <w:iCs/>
          <w:color w:val="000000" w:themeColor="text1"/>
        </w:rPr>
        <w:t>Robinson v Chief Constable of West Yorkshire Police</w:t>
      </w:r>
      <w:r w:rsidRPr="00DB1B6E">
        <w:rPr>
          <w:rFonts w:ascii="Palatino Linotype" w:hAnsi="Palatino Linotype"/>
          <w:bCs/>
          <w:color w:val="000000" w:themeColor="text1"/>
        </w:rPr>
        <w:t xml:space="preserve"> </w:t>
      </w:r>
      <w:r w:rsidRPr="00DB1B6E">
        <w:rPr>
          <w:rFonts w:ascii="Palatino Linotype" w:hAnsi="Palatino Linotype" w:cs="Palatino Linotype"/>
          <w:bCs/>
          <w:iCs/>
          <w:color w:val="000000" w:themeColor="text1"/>
        </w:rPr>
        <w:t xml:space="preserve">[2018] UKSC 4 </w:t>
      </w:r>
    </w:p>
    <w:p w14:paraId="6952F40E" w14:textId="77777777" w:rsidR="00230F7F" w:rsidRPr="0019314B" w:rsidRDefault="00230F7F" w:rsidP="49DE6236">
      <w:pPr>
        <w:ind w:right="26"/>
        <w:jc w:val="both"/>
        <w:rPr>
          <w:rFonts w:ascii="Palatino Linotype" w:hAnsi="Palatino Linotype"/>
          <w:i/>
          <w:iCs/>
        </w:rPr>
      </w:pPr>
    </w:p>
    <w:p w14:paraId="2EC55F1B" w14:textId="05EBE8DC" w:rsidR="001B2CE3" w:rsidRPr="0019314B" w:rsidRDefault="001B2CE3" w:rsidP="001B2CE3">
      <w:pPr>
        <w:jc w:val="both"/>
        <w:rPr>
          <w:rFonts w:ascii="Palatino Linotype" w:hAnsi="Palatino Linotype"/>
          <w:b/>
        </w:rPr>
      </w:pPr>
      <w:r w:rsidRPr="0019314B">
        <w:rPr>
          <w:rFonts w:ascii="Palatino Linotype" w:hAnsi="Palatino Linotype"/>
          <w:b/>
        </w:rPr>
        <w:t>Additional cases</w:t>
      </w:r>
    </w:p>
    <w:p w14:paraId="1A102274" w14:textId="77777777" w:rsidR="00B805E6" w:rsidRDefault="00A746C0" w:rsidP="001B7FB8">
      <w:pPr>
        <w:jc w:val="both"/>
        <w:rPr>
          <w:rFonts w:ascii="Palatino Linotype" w:hAnsi="Palatino Linotype"/>
          <w:bCs/>
          <w:iCs/>
        </w:rPr>
      </w:pPr>
      <w:r w:rsidRPr="005D522D">
        <w:rPr>
          <w:rFonts w:ascii="Palatino Linotype" w:hAnsi="Palatino Linotype"/>
          <w:bCs/>
          <w:i/>
        </w:rPr>
        <w:t xml:space="preserve">HXA v Surrey CC </w:t>
      </w:r>
      <w:r w:rsidRPr="005D522D">
        <w:rPr>
          <w:rFonts w:ascii="Palatino Linotype" w:hAnsi="Palatino Linotype"/>
          <w:bCs/>
          <w:iCs/>
        </w:rPr>
        <w:t>[202</w:t>
      </w:r>
      <w:r>
        <w:rPr>
          <w:rFonts w:ascii="Palatino Linotype" w:hAnsi="Palatino Linotype"/>
          <w:bCs/>
          <w:iCs/>
        </w:rPr>
        <w:t>3</w:t>
      </w:r>
      <w:r w:rsidRPr="005D522D">
        <w:rPr>
          <w:rFonts w:ascii="Palatino Linotype" w:hAnsi="Palatino Linotype"/>
          <w:bCs/>
          <w:iCs/>
        </w:rPr>
        <w:t xml:space="preserve">] </w:t>
      </w:r>
      <w:r>
        <w:rPr>
          <w:rFonts w:ascii="Palatino Linotype" w:hAnsi="Palatino Linotype"/>
          <w:bCs/>
          <w:iCs/>
        </w:rPr>
        <w:t>UKSC 52</w:t>
      </w:r>
    </w:p>
    <w:p w14:paraId="2E917A4F" w14:textId="1BBC18CD" w:rsidR="001D5B5F" w:rsidRDefault="005D522D" w:rsidP="001B7FB8">
      <w:pPr>
        <w:jc w:val="both"/>
        <w:rPr>
          <w:rFonts w:ascii="Palatino Linotype" w:hAnsi="Palatino Linotype"/>
          <w:bCs/>
          <w:iCs/>
        </w:rPr>
      </w:pPr>
      <w:r w:rsidRPr="005D522D">
        <w:rPr>
          <w:rFonts w:ascii="Palatino Linotype" w:hAnsi="Palatino Linotype"/>
          <w:bCs/>
          <w:i/>
        </w:rPr>
        <w:t xml:space="preserve">Sumner v Colborne </w:t>
      </w:r>
      <w:r w:rsidRPr="005D522D">
        <w:rPr>
          <w:rFonts w:ascii="Palatino Linotype" w:hAnsi="Palatino Linotype"/>
          <w:bCs/>
          <w:iCs/>
        </w:rPr>
        <w:t xml:space="preserve">[2018] EWCA </w:t>
      </w:r>
      <w:proofErr w:type="spellStart"/>
      <w:r w:rsidRPr="005D522D">
        <w:rPr>
          <w:rFonts w:ascii="Palatino Linotype" w:hAnsi="Palatino Linotype"/>
          <w:bCs/>
          <w:iCs/>
        </w:rPr>
        <w:t>Civ</w:t>
      </w:r>
      <w:proofErr w:type="spellEnd"/>
      <w:r w:rsidRPr="005D522D">
        <w:rPr>
          <w:rFonts w:ascii="Palatino Linotype" w:hAnsi="Palatino Linotype"/>
          <w:bCs/>
          <w:iCs/>
        </w:rPr>
        <w:t xml:space="preserve"> 1006</w:t>
      </w:r>
    </w:p>
    <w:p w14:paraId="20DE30B3" w14:textId="77777777" w:rsidR="005D522D" w:rsidRPr="005D522D" w:rsidRDefault="005D522D" w:rsidP="005D522D">
      <w:pPr>
        <w:jc w:val="both"/>
        <w:rPr>
          <w:rFonts w:ascii="Palatino Linotype" w:hAnsi="Palatino Linotype"/>
          <w:bCs/>
          <w:i/>
        </w:rPr>
      </w:pPr>
      <w:r w:rsidRPr="005D522D">
        <w:rPr>
          <w:rFonts w:ascii="Palatino Linotype" w:hAnsi="Palatino Linotype"/>
          <w:bCs/>
          <w:i/>
        </w:rPr>
        <w:lastRenderedPageBreak/>
        <w:t xml:space="preserve">Kent v Griffiths </w:t>
      </w:r>
      <w:r w:rsidRPr="005D522D">
        <w:rPr>
          <w:rFonts w:ascii="Palatino Linotype" w:hAnsi="Palatino Linotype"/>
          <w:bCs/>
          <w:iCs/>
        </w:rPr>
        <w:t>[2001] QB 36</w:t>
      </w:r>
      <w:r w:rsidRPr="005D522D">
        <w:rPr>
          <w:rFonts w:ascii="Palatino Linotype" w:hAnsi="Palatino Linotype"/>
          <w:bCs/>
          <w:i/>
        </w:rPr>
        <w:t xml:space="preserve"> </w:t>
      </w:r>
    </w:p>
    <w:p w14:paraId="01C17C52" w14:textId="77777777" w:rsidR="005D522D" w:rsidRDefault="005D522D" w:rsidP="005D522D">
      <w:pPr>
        <w:jc w:val="both"/>
        <w:rPr>
          <w:rFonts w:ascii="Palatino Linotype" w:hAnsi="Palatino Linotype"/>
          <w:bCs/>
          <w:iCs/>
        </w:rPr>
      </w:pPr>
      <w:r w:rsidRPr="005D522D">
        <w:rPr>
          <w:rFonts w:ascii="Palatino Linotype" w:hAnsi="Palatino Linotype"/>
          <w:bCs/>
          <w:i/>
        </w:rPr>
        <w:t xml:space="preserve">Reeves v Commissioner of Police for the Metropolis </w:t>
      </w:r>
      <w:r w:rsidRPr="005D522D">
        <w:rPr>
          <w:rFonts w:ascii="Palatino Linotype" w:hAnsi="Palatino Linotype"/>
          <w:bCs/>
          <w:iCs/>
        </w:rPr>
        <w:t>[2000] 1 AC 360</w:t>
      </w:r>
    </w:p>
    <w:p w14:paraId="1EDFE657" w14:textId="5FB7F2A4" w:rsidR="0083247A" w:rsidRPr="0083247A" w:rsidRDefault="0083247A" w:rsidP="0083247A">
      <w:pPr>
        <w:ind w:right="26"/>
        <w:jc w:val="both"/>
        <w:rPr>
          <w:rFonts w:ascii="Palatino Linotype" w:hAnsi="Palatino Linotype"/>
          <w:bCs/>
          <w:i/>
          <w:color w:val="000000" w:themeColor="text1"/>
        </w:rPr>
      </w:pPr>
      <w:r w:rsidRPr="0083247A">
        <w:rPr>
          <w:rFonts w:ascii="Palatino Linotype" w:hAnsi="Palatino Linotype"/>
          <w:bCs/>
          <w:i/>
          <w:color w:val="000000" w:themeColor="text1"/>
        </w:rPr>
        <w:t xml:space="preserve">Gorringe v Calderdale Metropolitan Borough Council </w:t>
      </w:r>
      <w:r w:rsidRPr="0083247A">
        <w:rPr>
          <w:rFonts w:ascii="Palatino Linotype" w:hAnsi="Palatino Linotype"/>
          <w:bCs/>
          <w:iCs/>
          <w:color w:val="000000" w:themeColor="text1"/>
        </w:rPr>
        <w:t>[2004] 1 WLR 1057</w:t>
      </w:r>
    </w:p>
    <w:p w14:paraId="76CAF927" w14:textId="77777777" w:rsidR="005D522D" w:rsidRPr="005D522D" w:rsidRDefault="005D522D" w:rsidP="005D522D">
      <w:pPr>
        <w:jc w:val="both"/>
        <w:rPr>
          <w:rFonts w:ascii="Palatino Linotype" w:hAnsi="Palatino Linotype"/>
          <w:bCs/>
          <w:i/>
        </w:rPr>
      </w:pPr>
      <w:r w:rsidRPr="005D522D">
        <w:rPr>
          <w:rFonts w:ascii="Palatino Linotype" w:hAnsi="Palatino Linotype"/>
          <w:bCs/>
          <w:i/>
        </w:rPr>
        <w:t xml:space="preserve">Phelps v Hillingdon London Borough Council </w:t>
      </w:r>
      <w:r w:rsidRPr="005D522D">
        <w:rPr>
          <w:rFonts w:ascii="Palatino Linotype" w:hAnsi="Palatino Linotype"/>
          <w:bCs/>
          <w:iCs/>
        </w:rPr>
        <w:t>[2000] 3 WLR 776</w:t>
      </w:r>
      <w:r w:rsidRPr="005D522D">
        <w:rPr>
          <w:rFonts w:ascii="Palatino Linotype" w:hAnsi="Palatino Linotype"/>
          <w:bCs/>
          <w:i/>
        </w:rPr>
        <w:t xml:space="preserve"> </w:t>
      </w:r>
    </w:p>
    <w:p w14:paraId="63C5432E" w14:textId="77777777" w:rsidR="005D522D" w:rsidRPr="005D522D" w:rsidRDefault="005D522D" w:rsidP="005D522D">
      <w:pPr>
        <w:jc w:val="both"/>
        <w:rPr>
          <w:rFonts w:ascii="Palatino Linotype" w:hAnsi="Palatino Linotype"/>
          <w:bCs/>
          <w:i/>
        </w:rPr>
      </w:pPr>
      <w:r w:rsidRPr="005D522D">
        <w:rPr>
          <w:rFonts w:ascii="Palatino Linotype" w:hAnsi="Palatino Linotype"/>
          <w:bCs/>
          <w:i/>
        </w:rPr>
        <w:t xml:space="preserve">Barrett v Enfield London Borough Council </w:t>
      </w:r>
      <w:r w:rsidRPr="005D522D">
        <w:rPr>
          <w:rFonts w:ascii="Palatino Linotype" w:hAnsi="Palatino Linotype"/>
          <w:bCs/>
          <w:iCs/>
        </w:rPr>
        <w:t>[2001] 2 AC 550</w:t>
      </w:r>
    </w:p>
    <w:p w14:paraId="21AF2FC7" w14:textId="77777777" w:rsidR="005D522D" w:rsidRDefault="005D522D" w:rsidP="005D522D">
      <w:pPr>
        <w:jc w:val="both"/>
        <w:rPr>
          <w:rFonts w:ascii="Palatino Linotype" w:hAnsi="Palatino Linotype"/>
          <w:bCs/>
          <w:iCs/>
        </w:rPr>
      </w:pPr>
      <w:r w:rsidRPr="005D522D">
        <w:rPr>
          <w:rFonts w:ascii="Palatino Linotype" w:hAnsi="Palatino Linotype"/>
          <w:bCs/>
          <w:i/>
        </w:rPr>
        <w:t xml:space="preserve">Sherratt v Chief Constable of Greater Manchester Police </w:t>
      </w:r>
      <w:r w:rsidRPr="005D522D">
        <w:rPr>
          <w:rFonts w:ascii="Palatino Linotype" w:hAnsi="Palatino Linotype"/>
          <w:bCs/>
          <w:iCs/>
        </w:rPr>
        <w:t>[2018] EWHC 1746 (QB)</w:t>
      </w:r>
    </w:p>
    <w:p w14:paraId="12BA67D3" w14:textId="39C8EC25" w:rsidR="0083247A" w:rsidRDefault="0083247A" w:rsidP="0083247A">
      <w:pPr>
        <w:ind w:right="26"/>
        <w:jc w:val="both"/>
        <w:rPr>
          <w:rFonts w:ascii="Palatino Linotype" w:hAnsi="Palatino Linotype"/>
          <w:bCs/>
          <w:iCs/>
          <w:color w:val="000000" w:themeColor="text1"/>
        </w:rPr>
      </w:pPr>
      <w:r w:rsidRPr="0083247A">
        <w:rPr>
          <w:rFonts w:ascii="Palatino Linotype" w:hAnsi="Palatino Linotype"/>
          <w:bCs/>
          <w:i/>
          <w:color w:val="000000" w:themeColor="text1"/>
        </w:rPr>
        <w:t xml:space="preserve">Capital and Counties plc v Hampshire County Council </w:t>
      </w:r>
      <w:r w:rsidRPr="0083247A">
        <w:rPr>
          <w:rFonts w:ascii="Palatino Linotype" w:hAnsi="Palatino Linotype"/>
          <w:bCs/>
          <w:iCs/>
          <w:color w:val="000000" w:themeColor="text1"/>
        </w:rPr>
        <w:t xml:space="preserve">[1997] QB 1004  </w:t>
      </w:r>
    </w:p>
    <w:p w14:paraId="67E75B1D" w14:textId="52590D22" w:rsidR="0083247A" w:rsidRPr="0083247A" w:rsidRDefault="0083247A" w:rsidP="0083247A">
      <w:pPr>
        <w:ind w:right="26"/>
        <w:jc w:val="both"/>
        <w:rPr>
          <w:rFonts w:ascii="Palatino Linotype" w:hAnsi="Palatino Linotype"/>
          <w:bCs/>
          <w:i/>
          <w:color w:val="000000" w:themeColor="text1"/>
        </w:rPr>
      </w:pPr>
      <w:r w:rsidRPr="0083247A">
        <w:rPr>
          <w:rFonts w:ascii="Palatino Linotype" w:hAnsi="Palatino Linotype"/>
          <w:bCs/>
          <w:i/>
          <w:color w:val="000000" w:themeColor="text1"/>
        </w:rPr>
        <w:t xml:space="preserve">Stovin v Wise </w:t>
      </w:r>
      <w:r w:rsidRPr="0083247A">
        <w:rPr>
          <w:rFonts w:ascii="Palatino Linotype" w:hAnsi="Palatino Linotype"/>
          <w:bCs/>
          <w:iCs/>
          <w:color w:val="000000" w:themeColor="text1"/>
        </w:rPr>
        <w:t>[1996] AC 923</w:t>
      </w:r>
    </w:p>
    <w:p w14:paraId="39EE228A" w14:textId="77777777" w:rsidR="005D522D" w:rsidRPr="005D522D" w:rsidRDefault="005D522D" w:rsidP="005D522D">
      <w:pPr>
        <w:jc w:val="both"/>
        <w:rPr>
          <w:rFonts w:ascii="Palatino Linotype" w:hAnsi="Palatino Linotype"/>
          <w:bCs/>
          <w:i/>
        </w:rPr>
      </w:pPr>
      <w:r w:rsidRPr="005D522D">
        <w:rPr>
          <w:rFonts w:ascii="Palatino Linotype" w:hAnsi="Palatino Linotype"/>
          <w:bCs/>
          <w:i/>
        </w:rPr>
        <w:t xml:space="preserve">Hill v Chief Constable of West Yorkshire </w:t>
      </w:r>
      <w:r w:rsidRPr="005D522D">
        <w:rPr>
          <w:rFonts w:ascii="Palatino Linotype" w:hAnsi="Palatino Linotype"/>
          <w:bCs/>
          <w:iCs/>
        </w:rPr>
        <w:t>[1989] AC 53</w:t>
      </w:r>
    </w:p>
    <w:p w14:paraId="71DF25E7" w14:textId="7FAFD95A" w:rsidR="005D522D" w:rsidRDefault="005D522D" w:rsidP="005D522D">
      <w:pPr>
        <w:jc w:val="both"/>
        <w:rPr>
          <w:rFonts w:ascii="Palatino Linotype" w:hAnsi="Palatino Linotype"/>
          <w:bCs/>
          <w:i/>
        </w:rPr>
      </w:pPr>
      <w:r w:rsidRPr="005D522D">
        <w:rPr>
          <w:rFonts w:ascii="Palatino Linotype" w:hAnsi="Palatino Linotype"/>
          <w:bCs/>
          <w:i/>
        </w:rPr>
        <w:t xml:space="preserve">X (minors) v Bedfordshire County Council </w:t>
      </w:r>
      <w:r w:rsidRPr="005D522D">
        <w:rPr>
          <w:rFonts w:ascii="Palatino Linotype" w:hAnsi="Palatino Linotype"/>
          <w:bCs/>
          <w:iCs/>
        </w:rPr>
        <w:t>[1995] 2 AC 633</w:t>
      </w:r>
    </w:p>
    <w:p w14:paraId="6CA2772A" w14:textId="77777777" w:rsidR="005D522D" w:rsidRPr="0019314B" w:rsidRDefault="005D522D" w:rsidP="001B7FB8">
      <w:pPr>
        <w:jc w:val="both"/>
        <w:rPr>
          <w:rFonts w:ascii="Palatino Linotype" w:hAnsi="Palatino Linotype"/>
        </w:rPr>
      </w:pPr>
    </w:p>
    <w:p w14:paraId="3BC1A75E" w14:textId="7FA23609" w:rsidR="00AB104A" w:rsidRDefault="003B5D89" w:rsidP="001B7FB8">
      <w:pPr>
        <w:jc w:val="both"/>
        <w:rPr>
          <w:rFonts w:ascii="Palatino Linotype" w:hAnsi="Palatino Linotype"/>
          <w:b/>
          <w:bCs/>
        </w:rPr>
      </w:pPr>
      <w:r>
        <w:rPr>
          <w:rFonts w:ascii="Palatino Linotype" w:hAnsi="Palatino Linotype"/>
          <w:b/>
          <w:bCs/>
        </w:rPr>
        <w:t>Further reading</w:t>
      </w:r>
    </w:p>
    <w:p w14:paraId="5D87DEF6" w14:textId="4C9203A0" w:rsidR="006301EC" w:rsidRPr="006301EC" w:rsidRDefault="006301EC" w:rsidP="001B7FB8">
      <w:pPr>
        <w:jc w:val="both"/>
        <w:rPr>
          <w:rFonts w:ascii="Palatino Linotype" w:hAnsi="Palatino Linotype"/>
        </w:rPr>
      </w:pPr>
      <w:r>
        <w:rPr>
          <w:rFonts w:ascii="Palatino Linotype" w:hAnsi="Palatino Linotype"/>
        </w:rPr>
        <w:t>J Letwin and F Dixon, ‘</w:t>
      </w:r>
      <w:r w:rsidRPr="006301EC">
        <w:rPr>
          <w:rFonts w:ascii="Palatino Linotype" w:hAnsi="Palatino Linotype"/>
        </w:rPr>
        <w:t xml:space="preserve">Unforeseeably Making Matters Worse: An Issue </w:t>
      </w:r>
      <w:r>
        <w:rPr>
          <w:rFonts w:ascii="Palatino Linotype" w:hAnsi="Palatino Linotype"/>
        </w:rPr>
        <w:t>o</w:t>
      </w:r>
      <w:r w:rsidRPr="006301EC">
        <w:rPr>
          <w:rFonts w:ascii="Palatino Linotype" w:hAnsi="Palatino Linotype"/>
        </w:rPr>
        <w:t xml:space="preserve">f Notional </w:t>
      </w:r>
      <w:r>
        <w:rPr>
          <w:rFonts w:ascii="Palatino Linotype" w:hAnsi="Palatino Linotype"/>
        </w:rPr>
        <w:t>o</w:t>
      </w:r>
      <w:r w:rsidRPr="006301EC">
        <w:rPr>
          <w:rFonts w:ascii="Palatino Linotype" w:hAnsi="Palatino Linotype"/>
        </w:rPr>
        <w:t>r Factual Duty?</w:t>
      </w:r>
      <w:r>
        <w:rPr>
          <w:rFonts w:ascii="Palatino Linotype" w:hAnsi="Palatino Linotype"/>
        </w:rPr>
        <w:t xml:space="preserve">’ (2025) 84(1) </w:t>
      </w:r>
      <w:r w:rsidRPr="006301EC">
        <w:rPr>
          <w:rFonts w:ascii="Palatino Linotype" w:hAnsi="Palatino Linotype"/>
          <w:i/>
          <w:iCs/>
        </w:rPr>
        <w:t>Cambridge Law Journal</w:t>
      </w:r>
      <w:r>
        <w:rPr>
          <w:rFonts w:ascii="Palatino Linotype" w:hAnsi="Palatino Linotype"/>
          <w:i/>
          <w:iCs/>
        </w:rPr>
        <w:t xml:space="preserve"> </w:t>
      </w:r>
      <w:r>
        <w:rPr>
          <w:rFonts w:ascii="Palatino Linotype" w:hAnsi="Palatino Linotype"/>
        </w:rPr>
        <w:t>23-26</w:t>
      </w:r>
      <w:r w:rsidR="006756D2">
        <w:rPr>
          <w:rFonts w:ascii="Palatino Linotype" w:hAnsi="Palatino Linotype"/>
        </w:rPr>
        <w:t xml:space="preserve"> [</w:t>
      </w:r>
      <w:hyperlink r:id="rId11" w:history="1">
        <w:r w:rsidR="006756D2" w:rsidRPr="006756D2">
          <w:rPr>
            <w:rStyle w:val="Hyperlink"/>
            <w:rFonts w:ascii="Palatino Linotype" w:hAnsi="Palatino Linotype"/>
          </w:rPr>
          <w:t>link</w:t>
        </w:r>
      </w:hyperlink>
      <w:r w:rsidR="006756D2">
        <w:rPr>
          <w:rFonts w:ascii="Palatino Linotype" w:hAnsi="Palatino Linotype"/>
        </w:rPr>
        <w:t>]</w:t>
      </w:r>
    </w:p>
    <w:p w14:paraId="57ED77FD" w14:textId="30FBC13D" w:rsidR="003B5D89" w:rsidRPr="003B5D89" w:rsidRDefault="003B5D89" w:rsidP="0069375F">
      <w:pPr>
        <w:jc w:val="both"/>
        <w:rPr>
          <w:rStyle w:val="IntenseEmphasis"/>
          <w:rFonts w:ascii="Palatino Linotype" w:hAnsi="Palatino Linotype"/>
          <w:b w:val="0"/>
          <w:bCs/>
          <w:i w:val="0"/>
          <w:iCs w:val="0"/>
          <w:color w:val="000000" w:themeColor="text1"/>
        </w:rPr>
      </w:pPr>
      <w:r>
        <w:rPr>
          <w:rStyle w:val="IntenseEmphasis"/>
          <w:rFonts w:ascii="Palatino Linotype" w:hAnsi="Palatino Linotype"/>
          <w:b w:val="0"/>
          <w:bCs/>
          <w:i w:val="0"/>
          <w:iCs w:val="0"/>
          <w:color w:val="000000" w:themeColor="text1"/>
        </w:rPr>
        <w:t xml:space="preserve">S Steel, </w:t>
      </w:r>
      <w:r>
        <w:rPr>
          <w:rStyle w:val="IntenseEmphasis"/>
          <w:rFonts w:ascii="Palatino Linotype" w:hAnsi="Palatino Linotype"/>
          <w:b w:val="0"/>
          <w:bCs/>
          <w:color w:val="000000" w:themeColor="text1"/>
        </w:rPr>
        <w:t xml:space="preserve">Omissions in Tort Law </w:t>
      </w:r>
      <w:r>
        <w:rPr>
          <w:rStyle w:val="IntenseEmphasis"/>
          <w:rFonts w:ascii="Palatino Linotype" w:hAnsi="Palatino Linotype"/>
          <w:b w:val="0"/>
          <w:bCs/>
          <w:i w:val="0"/>
          <w:iCs w:val="0"/>
          <w:color w:val="000000" w:themeColor="text1"/>
        </w:rPr>
        <w:t>(OUP, 2024)</w:t>
      </w:r>
    </w:p>
    <w:p w14:paraId="63B64BE8" w14:textId="72C3ADBF" w:rsidR="00804A4E" w:rsidRPr="003B5D89" w:rsidRDefault="00804A4E" w:rsidP="0069375F">
      <w:pPr>
        <w:jc w:val="both"/>
        <w:rPr>
          <w:rStyle w:val="IntenseEmphasis"/>
          <w:rFonts w:ascii="Palatino Linotype" w:hAnsi="Palatino Linotype"/>
          <w:b w:val="0"/>
          <w:bCs/>
          <w:i w:val="0"/>
          <w:iCs w:val="0"/>
          <w:color w:val="000000" w:themeColor="text1"/>
        </w:rPr>
      </w:pPr>
      <w:r w:rsidRPr="003B5D89">
        <w:rPr>
          <w:rStyle w:val="IntenseEmphasis"/>
          <w:rFonts w:ascii="Palatino Linotype" w:hAnsi="Palatino Linotype"/>
          <w:b w:val="0"/>
          <w:bCs/>
          <w:i w:val="0"/>
          <w:iCs w:val="0"/>
          <w:color w:val="000000" w:themeColor="text1"/>
        </w:rPr>
        <w:t xml:space="preserve">S </w:t>
      </w:r>
      <w:proofErr w:type="spellStart"/>
      <w:r w:rsidRPr="003B5D89">
        <w:rPr>
          <w:rStyle w:val="IntenseEmphasis"/>
          <w:rFonts w:ascii="Palatino Linotype" w:hAnsi="Palatino Linotype"/>
          <w:b w:val="0"/>
          <w:bCs/>
          <w:i w:val="0"/>
          <w:iCs w:val="0"/>
          <w:color w:val="000000" w:themeColor="text1"/>
        </w:rPr>
        <w:t>Tofaris</w:t>
      </w:r>
      <w:proofErr w:type="spellEnd"/>
      <w:r w:rsidRPr="003B5D89">
        <w:rPr>
          <w:rStyle w:val="IntenseEmphasis"/>
          <w:rFonts w:ascii="Palatino Linotype" w:hAnsi="Palatino Linotype"/>
          <w:b w:val="0"/>
          <w:bCs/>
          <w:i w:val="0"/>
          <w:iCs w:val="0"/>
          <w:color w:val="000000" w:themeColor="text1"/>
        </w:rPr>
        <w:t xml:space="preserve"> &amp; S Steel, ‘Negligence liability for omissions and the police’ [2016] 75 </w:t>
      </w:r>
      <w:r w:rsidRPr="003B5D89">
        <w:rPr>
          <w:rStyle w:val="IntenseEmphasis"/>
          <w:rFonts w:ascii="Palatino Linotype" w:hAnsi="Palatino Linotype"/>
          <w:b w:val="0"/>
          <w:bCs/>
          <w:color w:val="000000" w:themeColor="text1"/>
        </w:rPr>
        <w:t>CLJ</w:t>
      </w:r>
      <w:r w:rsidRPr="003B5D89">
        <w:rPr>
          <w:rStyle w:val="IntenseEmphasis"/>
          <w:rFonts w:ascii="Palatino Linotype" w:hAnsi="Palatino Linotype"/>
          <w:b w:val="0"/>
          <w:bCs/>
          <w:i w:val="0"/>
          <w:iCs w:val="0"/>
          <w:color w:val="000000" w:themeColor="text1"/>
        </w:rPr>
        <w:t xml:space="preserve"> 128 </w:t>
      </w:r>
    </w:p>
    <w:p w14:paraId="3DC848F9" w14:textId="1C8FBEAC" w:rsidR="00211956" w:rsidRDefault="00EF1240" w:rsidP="0069375F">
      <w:pPr>
        <w:jc w:val="both"/>
        <w:rPr>
          <w:rStyle w:val="IntenseEmphasis"/>
          <w:rFonts w:ascii="Palatino Linotype" w:hAnsi="Palatino Linotype"/>
          <w:b w:val="0"/>
          <w:bCs/>
          <w:i w:val="0"/>
          <w:iCs w:val="0"/>
          <w:color w:val="000000" w:themeColor="text1"/>
        </w:rPr>
      </w:pPr>
      <w:r w:rsidRPr="00EF1240">
        <w:rPr>
          <w:rStyle w:val="IntenseEmphasis"/>
          <w:rFonts w:ascii="Palatino Linotype" w:hAnsi="Palatino Linotype"/>
          <w:b w:val="0"/>
          <w:bCs/>
          <w:i w:val="0"/>
          <w:iCs w:val="0"/>
          <w:color w:val="000000" w:themeColor="text1"/>
        </w:rPr>
        <w:t xml:space="preserve">J Morgan, ‘Nonfeasance and the end of policy? Reflections on the revolution in public authority liability’ (2019) 35 </w:t>
      </w:r>
      <w:r w:rsidRPr="00EF1240">
        <w:rPr>
          <w:rStyle w:val="IntenseEmphasis"/>
          <w:rFonts w:ascii="Palatino Linotype" w:hAnsi="Palatino Linotype"/>
          <w:b w:val="0"/>
          <w:bCs/>
          <w:color w:val="000000" w:themeColor="text1"/>
        </w:rPr>
        <w:t>Journal of Professional Negligence</w:t>
      </w:r>
      <w:r w:rsidRPr="00EF1240">
        <w:rPr>
          <w:rStyle w:val="IntenseEmphasis"/>
          <w:rFonts w:ascii="Palatino Linotype" w:hAnsi="Palatino Linotype"/>
          <w:b w:val="0"/>
          <w:bCs/>
          <w:i w:val="0"/>
          <w:iCs w:val="0"/>
          <w:color w:val="000000" w:themeColor="text1"/>
        </w:rPr>
        <w:t xml:space="preserve"> 32, pp 41–53</w:t>
      </w:r>
    </w:p>
    <w:p w14:paraId="7FE16864" w14:textId="5A4C78ED" w:rsidR="005D522D" w:rsidRDefault="005D522D" w:rsidP="0069375F">
      <w:pPr>
        <w:jc w:val="both"/>
        <w:rPr>
          <w:rStyle w:val="IntenseEmphasis"/>
          <w:rFonts w:ascii="Palatino Linotype" w:hAnsi="Palatino Linotype"/>
          <w:b w:val="0"/>
          <w:bCs/>
          <w:i w:val="0"/>
          <w:iCs w:val="0"/>
          <w:color w:val="000000" w:themeColor="text1"/>
        </w:rPr>
      </w:pPr>
      <w:r w:rsidRPr="005D522D">
        <w:rPr>
          <w:rStyle w:val="IntenseEmphasis"/>
          <w:rFonts w:ascii="Palatino Linotype" w:hAnsi="Palatino Linotype"/>
          <w:b w:val="0"/>
          <w:bCs/>
          <w:i w:val="0"/>
          <w:iCs w:val="0"/>
          <w:color w:val="000000" w:themeColor="text1"/>
        </w:rPr>
        <w:t xml:space="preserve">E Weinrib, ‘The Case for a Duty to Rescue’ (1980) 90 </w:t>
      </w:r>
      <w:r w:rsidRPr="005D522D">
        <w:rPr>
          <w:rStyle w:val="IntenseEmphasis"/>
          <w:rFonts w:ascii="Palatino Linotype" w:hAnsi="Palatino Linotype"/>
          <w:b w:val="0"/>
          <w:bCs/>
          <w:color w:val="000000" w:themeColor="text1"/>
        </w:rPr>
        <w:t>Yale Law Journal</w:t>
      </w:r>
      <w:r w:rsidRPr="005D522D">
        <w:rPr>
          <w:rStyle w:val="IntenseEmphasis"/>
          <w:rFonts w:ascii="Palatino Linotype" w:hAnsi="Palatino Linotype"/>
          <w:b w:val="0"/>
          <w:bCs/>
          <w:i w:val="0"/>
          <w:iCs w:val="0"/>
          <w:color w:val="000000" w:themeColor="text1"/>
        </w:rPr>
        <w:t xml:space="preserve"> 247</w:t>
      </w:r>
    </w:p>
    <w:p w14:paraId="4725E75D" w14:textId="6604B633" w:rsidR="00797B0A" w:rsidRDefault="00797B0A" w:rsidP="0069375F">
      <w:pPr>
        <w:jc w:val="both"/>
        <w:rPr>
          <w:rStyle w:val="IntenseEmphasis"/>
          <w:rFonts w:ascii="Palatino Linotype" w:hAnsi="Palatino Linotype"/>
          <w:b w:val="0"/>
          <w:bCs/>
          <w:i w:val="0"/>
          <w:iCs w:val="0"/>
          <w:color w:val="000000" w:themeColor="text1"/>
        </w:rPr>
      </w:pPr>
      <w:r>
        <w:rPr>
          <w:rStyle w:val="IntenseEmphasis"/>
          <w:rFonts w:ascii="Palatino Linotype" w:hAnsi="Palatino Linotype"/>
          <w:b w:val="0"/>
          <w:bCs/>
          <w:i w:val="0"/>
          <w:iCs w:val="0"/>
          <w:color w:val="000000" w:themeColor="text1"/>
        </w:rPr>
        <w:t xml:space="preserve">(Bonus: Peter Singer, ‘Famine, Affluence, and Morality’ (1977) 1(3) </w:t>
      </w:r>
      <w:r w:rsidRPr="00797B0A">
        <w:rPr>
          <w:rStyle w:val="IntenseEmphasis"/>
          <w:rFonts w:ascii="Palatino Linotype" w:hAnsi="Palatino Linotype"/>
          <w:b w:val="0"/>
          <w:bCs/>
          <w:color w:val="000000" w:themeColor="text1"/>
        </w:rPr>
        <w:t>Philosophy &amp; Public Affairs</w:t>
      </w:r>
      <w:r>
        <w:rPr>
          <w:rStyle w:val="IntenseEmphasis"/>
          <w:rFonts w:ascii="Palatino Linotype" w:hAnsi="Palatino Linotype"/>
          <w:b w:val="0"/>
          <w:bCs/>
          <w:i w:val="0"/>
          <w:iCs w:val="0"/>
          <w:color w:val="000000" w:themeColor="text1"/>
        </w:rPr>
        <w:t xml:space="preserve"> </w:t>
      </w:r>
      <w:r w:rsidRPr="00797B0A">
        <w:rPr>
          <w:rStyle w:val="IntenseEmphasis"/>
          <w:rFonts w:ascii="Palatino Linotype" w:hAnsi="Palatino Linotype"/>
          <w:b w:val="0"/>
          <w:bCs/>
          <w:i w:val="0"/>
          <w:iCs w:val="0"/>
          <w:color w:val="000000" w:themeColor="text1"/>
        </w:rPr>
        <w:t>229</w:t>
      </w:r>
      <w:r w:rsidR="008F1709">
        <w:rPr>
          <w:rStyle w:val="IntenseEmphasis"/>
          <w:rFonts w:ascii="Palatino Linotype" w:hAnsi="Palatino Linotype"/>
          <w:b w:val="0"/>
          <w:bCs/>
          <w:i w:val="0"/>
          <w:iCs w:val="0"/>
          <w:color w:val="000000" w:themeColor="text1"/>
        </w:rPr>
        <w:t>)</w:t>
      </w:r>
    </w:p>
    <w:p w14:paraId="022AB3E6" w14:textId="77777777" w:rsidR="00211956" w:rsidRDefault="00211956" w:rsidP="00211956">
      <w:pPr>
        <w:rPr>
          <w:rFonts w:ascii="Palatino Linotype" w:hAnsi="Palatino Linotype" w:cs="Palatino Linotype"/>
          <w:b/>
          <w:bCs/>
          <w:u w:val="single"/>
        </w:rPr>
      </w:pPr>
    </w:p>
    <w:p w14:paraId="3B443241" w14:textId="77777777" w:rsidR="00211956"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b/>
          <w:bCs/>
          <w:u w:val="single"/>
        </w:rPr>
      </w:pPr>
      <w:r>
        <w:rPr>
          <w:rFonts w:ascii="Palatino Linotype" w:hAnsi="Palatino Linotype" w:cs="Palatino Linotype"/>
          <w:b/>
          <w:bCs/>
          <w:u w:val="single"/>
        </w:rPr>
        <w:t>Beyond tort</w:t>
      </w:r>
    </w:p>
    <w:p w14:paraId="4248CE31" w14:textId="77777777" w:rsidR="00211956"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b/>
          <w:bCs/>
          <w:u w:val="single"/>
        </w:rPr>
      </w:pPr>
    </w:p>
    <w:p w14:paraId="7E1B11D4" w14:textId="208097F3" w:rsidR="00211956" w:rsidRPr="00465674"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r>
        <w:rPr>
          <w:rFonts w:ascii="Palatino Linotype" w:hAnsi="Palatino Linotype" w:cs="Palatino Linotype"/>
        </w:rPr>
        <w:t>Read:</w:t>
      </w:r>
      <w:r w:rsidR="00007DAB">
        <w:rPr>
          <w:rFonts w:ascii="Palatino Linotype" w:hAnsi="Palatino Linotype" w:cs="Palatino Linotype"/>
        </w:rPr>
        <w:t xml:space="preserve"> Yevgeny Zamyatin</w:t>
      </w:r>
      <w:r w:rsidR="00465674">
        <w:rPr>
          <w:rFonts w:ascii="Palatino Linotype" w:hAnsi="Palatino Linotype" w:cs="Palatino Linotype"/>
        </w:rPr>
        <w:t xml:space="preserve">, </w:t>
      </w:r>
      <w:r w:rsidR="00465674">
        <w:rPr>
          <w:rFonts w:ascii="Palatino Linotype" w:hAnsi="Palatino Linotype" w:cs="Palatino Linotype"/>
          <w:i/>
          <w:iCs/>
        </w:rPr>
        <w:t>We</w:t>
      </w:r>
      <w:r w:rsidR="00465674">
        <w:rPr>
          <w:rFonts w:ascii="Palatino Linotype" w:hAnsi="Palatino Linotype" w:cs="Palatino Linotype"/>
        </w:rPr>
        <w:t xml:space="preserve">. </w:t>
      </w:r>
      <w:r w:rsidR="00BE1337" w:rsidRPr="00BE1337">
        <w:rPr>
          <w:rFonts w:ascii="Palatino Linotype" w:hAnsi="Palatino Linotype" w:cs="Palatino Linotype"/>
        </w:rPr>
        <w:t>In my view, this is the finest work of dystopian fiction ever written</w:t>
      </w:r>
      <w:r w:rsidR="000B0A67">
        <w:rPr>
          <w:rFonts w:ascii="Palatino Linotype" w:hAnsi="Palatino Linotype" w:cs="Palatino Linotype"/>
        </w:rPr>
        <w:t>.</w:t>
      </w:r>
      <w:r w:rsidR="00BE1337" w:rsidRPr="00BE1337">
        <w:rPr>
          <w:rFonts w:ascii="Palatino Linotype" w:hAnsi="Palatino Linotype" w:cs="Palatino Linotype"/>
        </w:rPr>
        <w:t xml:space="preserve"> It provided the inspiration for Orwell’s </w:t>
      </w:r>
      <w:r w:rsidR="00BE1337" w:rsidRPr="00BE1337">
        <w:rPr>
          <w:rFonts w:ascii="Palatino Linotype" w:hAnsi="Palatino Linotype" w:cs="Palatino Linotype"/>
          <w:i/>
          <w:iCs/>
        </w:rPr>
        <w:t>1984</w:t>
      </w:r>
      <w:r w:rsidR="00BE1337" w:rsidRPr="00BE1337">
        <w:rPr>
          <w:rFonts w:ascii="Palatino Linotype" w:hAnsi="Palatino Linotype" w:cs="Palatino Linotype"/>
        </w:rPr>
        <w:t xml:space="preserve"> (in fact, </w:t>
      </w:r>
      <w:r w:rsidR="00BE1337" w:rsidRPr="00BE1337">
        <w:rPr>
          <w:rFonts w:ascii="Palatino Linotype" w:hAnsi="Palatino Linotype" w:cs="Palatino Linotype"/>
          <w:i/>
          <w:iCs/>
        </w:rPr>
        <w:t>1984</w:t>
      </w:r>
      <w:r w:rsidR="00BE1337" w:rsidRPr="00BE1337">
        <w:rPr>
          <w:rFonts w:ascii="Palatino Linotype" w:hAnsi="Palatino Linotype" w:cs="Palatino Linotype"/>
        </w:rPr>
        <w:t xml:space="preserve"> is a pale imitation of </w:t>
      </w:r>
      <w:r w:rsidR="00BE1337" w:rsidRPr="00964506">
        <w:rPr>
          <w:rFonts w:ascii="Palatino Linotype" w:hAnsi="Palatino Linotype" w:cs="Palatino Linotype"/>
          <w:i/>
          <w:iCs/>
        </w:rPr>
        <w:t>We</w:t>
      </w:r>
      <w:r w:rsidR="00BE1337" w:rsidRPr="00BE1337">
        <w:rPr>
          <w:rFonts w:ascii="Palatino Linotype" w:hAnsi="Palatino Linotype" w:cs="Palatino Linotype"/>
        </w:rPr>
        <w:t>).</w:t>
      </w:r>
    </w:p>
    <w:p w14:paraId="6F87DEA9" w14:textId="77777777" w:rsidR="00211956"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b/>
          <w:bCs/>
          <w:u w:val="single"/>
        </w:rPr>
      </w:pPr>
    </w:p>
    <w:p w14:paraId="4A75E1EB" w14:textId="2BB0C011" w:rsidR="00211956" w:rsidRPr="00AE6E1E"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r>
        <w:rPr>
          <w:rFonts w:ascii="Palatino Linotype" w:hAnsi="Palatino Linotype" w:cs="Palatino Linotype"/>
        </w:rPr>
        <w:t xml:space="preserve">Watch: </w:t>
      </w:r>
      <w:r w:rsidR="00AE6E1E">
        <w:rPr>
          <w:rFonts w:ascii="Palatino Linotype" w:hAnsi="Palatino Linotype" w:cs="Palatino Linotype"/>
          <w:i/>
          <w:iCs/>
        </w:rPr>
        <w:t>My Cousin Vinny</w:t>
      </w:r>
      <w:r w:rsidR="00AE6E1E">
        <w:rPr>
          <w:rFonts w:ascii="Palatino Linotype" w:hAnsi="Palatino Linotype" w:cs="Palatino Linotype"/>
        </w:rPr>
        <w:t xml:space="preserve">. This film is a work of pure genius </w:t>
      </w:r>
      <w:r w:rsidR="00991AA2">
        <w:rPr>
          <w:rFonts w:ascii="Palatino Linotype" w:hAnsi="Palatino Linotype" w:cs="Palatino Linotype"/>
        </w:rPr>
        <w:t>and</w:t>
      </w:r>
      <w:r w:rsidR="00AE6E1E">
        <w:rPr>
          <w:rFonts w:ascii="Palatino Linotype" w:hAnsi="Palatino Linotype" w:cs="Palatino Linotype"/>
        </w:rPr>
        <w:t xml:space="preserve"> completely hilarious. </w:t>
      </w:r>
      <w:r w:rsidR="00166856">
        <w:rPr>
          <w:rFonts w:ascii="Palatino Linotype" w:hAnsi="Palatino Linotype" w:cs="Palatino Linotype"/>
        </w:rPr>
        <w:t>It is</w:t>
      </w:r>
      <w:r w:rsidR="00AE6E1E">
        <w:rPr>
          <w:rFonts w:ascii="Palatino Linotype" w:hAnsi="Palatino Linotype" w:cs="Palatino Linotype"/>
        </w:rPr>
        <w:t xml:space="preserve"> used for teaching in American law schools and rightly so. You’ll get the benefit of learning what a brilliant cross-examination looks like, while also having a very good time.</w:t>
      </w:r>
    </w:p>
    <w:p w14:paraId="2768DD33" w14:textId="77777777" w:rsidR="00211956"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p>
    <w:p w14:paraId="7F7CE4B6" w14:textId="6575763A" w:rsidR="00AA6E1A" w:rsidRPr="00AA6E1A" w:rsidRDefault="00211956" w:rsidP="00AA6E1A">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r>
        <w:rPr>
          <w:rFonts w:ascii="Palatino Linotype" w:hAnsi="Palatino Linotype" w:cs="Palatino Linotype"/>
        </w:rPr>
        <w:t>Listen:</w:t>
      </w:r>
      <w:r w:rsidR="00811751">
        <w:rPr>
          <w:rFonts w:ascii="Palatino Linotype" w:hAnsi="Palatino Linotype" w:cs="Palatino Linotype"/>
        </w:rPr>
        <w:t xml:space="preserve"> Joey Bada$$, </w:t>
      </w:r>
      <w:r w:rsidR="00811751">
        <w:rPr>
          <w:rFonts w:ascii="Palatino Linotype" w:hAnsi="Palatino Linotype" w:cs="Palatino Linotype"/>
          <w:i/>
          <w:iCs/>
        </w:rPr>
        <w:t xml:space="preserve">1999. </w:t>
      </w:r>
      <w:r w:rsidR="00AA6E1A">
        <w:rPr>
          <w:rFonts w:ascii="Palatino Linotype" w:hAnsi="Palatino Linotype" w:cs="Palatino Linotype"/>
        </w:rPr>
        <w:t>“</w:t>
      </w:r>
      <w:r w:rsidR="00AA6E1A" w:rsidRPr="00AA6E1A">
        <w:rPr>
          <w:rFonts w:ascii="Palatino Linotype" w:hAnsi="Palatino Linotype" w:cs="Palatino Linotype"/>
        </w:rPr>
        <w:t xml:space="preserve">Say, Brain—what do you </w:t>
      </w:r>
      <w:proofErr w:type="spellStart"/>
      <w:r w:rsidR="00AA6E1A" w:rsidRPr="00AA6E1A">
        <w:rPr>
          <w:rFonts w:ascii="Palatino Linotype" w:hAnsi="Palatino Linotype" w:cs="Palatino Linotype"/>
        </w:rPr>
        <w:t>wanna</w:t>
      </w:r>
      <w:proofErr w:type="spellEnd"/>
      <w:r w:rsidR="00AA6E1A" w:rsidRPr="00AA6E1A">
        <w:rPr>
          <w:rFonts w:ascii="Palatino Linotype" w:hAnsi="Palatino Linotype" w:cs="Palatino Linotype"/>
        </w:rPr>
        <w:t xml:space="preserve"> do tonight?</w:t>
      </w:r>
    </w:p>
    <w:p w14:paraId="7CFAA56C" w14:textId="41BA2BC8" w:rsidR="00211956" w:rsidRPr="00811751" w:rsidRDefault="00AA6E1A" w:rsidP="00AA6E1A">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r w:rsidRPr="00AA6E1A">
        <w:rPr>
          <w:rFonts w:ascii="Palatino Linotype" w:hAnsi="Palatino Linotype" w:cs="Palatino Linotype"/>
        </w:rPr>
        <w:t>The same thing we do every night, Pinky: try to take over the world!</w:t>
      </w:r>
      <w:r>
        <w:rPr>
          <w:rFonts w:ascii="Palatino Linotype" w:hAnsi="Palatino Linotype" w:cs="Palatino Linotype"/>
        </w:rPr>
        <w:t>”</w:t>
      </w:r>
    </w:p>
    <w:p w14:paraId="5CB4C47E" w14:textId="77777777" w:rsidR="00736711" w:rsidRPr="0019314B" w:rsidRDefault="00736711" w:rsidP="0069375F">
      <w:pPr>
        <w:jc w:val="both"/>
        <w:rPr>
          <w:rStyle w:val="IntenseEmphasis"/>
          <w:rFonts w:ascii="Palatino Linotype" w:hAnsi="Palatino Linotype"/>
          <w:b w:val="0"/>
          <w:bCs/>
          <w:i w:val="0"/>
          <w:iCs w:val="0"/>
          <w:color w:val="000000" w:themeColor="text1"/>
        </w:rPr>
      </w:pPr>
    </w:p>
    <w:p w14:paraId="28653652" w14:textId="77777777" w:rsidR="00507B1A" w:rsidRPr="0019314B" w:rsidRDefault="00507B1A" w:rsidP="49DE6236">
      <w:pPr>
        <w:pStyle w:val="Title"/>
        <w:jc w:val="both"/>
        <w:rPr>
          <w:rFonts w:ascii="Palatino Linotype" w:hAnsi="Palatino Linotype"/>
          <w:i/>
          <w:iCs/>
          <w:color w:val="000000" w:themeColor="text1"/>
        </w:rPr>
      </w:pPr>
    </w:p>
    <w:p w14:paraId="0ACE794F" w14:textId="31C4E49A" w:rsidR="0087097F" w:rsidRPr="0019314B" w:rsidRDefault="0087097F" w:rsidP="0087097F">
      <w:pPr>
        <w:rPr>
          <w:rStyle w:val="IntenseEmphasis"/>
          <w:rFonts w:ascii="Palatino Linotype" w:hAnsi="Palatino Linotype"/>
          <w:b w:val="0"/>
          <w:bCs/>
          <w:i w:val="0"/>
          <w:iCs w:val="0"/>
          <w:color w:val="000000" w:themeColor="text1"/>
        </w:rPr>
      </w:pPr>
    </w:p>
    <w:sectPr w:rsidR="0087097F" w:rsidRPr="0019314B" w:rsidSect="00187EE7">
      <w:footerReference w:type="even" r:id="rId12"/>
      <w:footerReference w:type="default" r:id="rId13"/>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429E4" w14:textId="77777777" w:rsidR="003775BA" w:rsidRDefault="003775BA" w:rsidP="00832E5F">
      <w:r>
        <w:separator/>
      </w:r>
    </w:p>
  </w:endnote>
  <w:endnote w:type="continuationSeparator" w:id="0">
    <w:p w14:paraId="1F2F5817" w14:textId="77777777" w:rsidR="003775BA" w:rsidRDefault="003775BA" w:rsidP="00832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ings Caslon Text">
    <w:altName w:val="Calibri"/>
    <w:panose1 w:val="020B0604020202020204"/>
    <w:charset w:val="00"/>
    <w:family w:val="auto"/>
    <w:pitch w:val="variable"/>
    <w:sig w:usb0="A00000AF" w:usb1="5000205B"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95824" w14:textId="08E75313" w:rsidR="00832E5F" w:rsidRDefault="00832E5F" w:rsidP="000322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401967A1" w14:textId="77777777" w:rsidR="00832E5F" w:rsidRDefault="00832E5F" w:rsidP="00832E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4106893"/>
      <w:docPartObj>
        <w:docPartGallery w:val="Page Numbers (Bottom of Page)"/>
        <w:docPartUnique/>
      </w:docPartObj>
    </w:sdtPr>
    <w:sdtContent>
      <w:p w14:paraId="0E594693" w14:textId="598ACD9D" w:rsidR="00832E5F" w:rsidRDefault="00832E5F" w:rsidP="000322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5438C">
          <w:rPr>
            <w:rStyle w:val="PageNumber"/>
            <w:noProof/>
          </w:rPr>
          <w:t>1</w:t>
        </w:r>
        <w:r>
          <w:rPr>
            <w:rStyle w:val="PageNumber"/>
          </w:rPr>
          <w:fldChar w:fldCharType="end"/>
        </w:r>
      </w:p>
    </w:sdtContent>
  </w:sdt>
  <w:p w14:paraId="5612126A" w14:textId="77777777" w:rsidR="00832E5F" w:rsidRDefault="00832E5F" w:rsidP="00832E5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F17A2" w14:textId="77777777" w:rsidR="003775BA" w:rsidRDefault="003775BA" w:rsidP="00832E5F">
      <w:r>
        <w:separator/>
      </w:r>
    </w:p>
  </w:footnote>
  <w:footnote w:type="continuationSeparator" w:id="0">
    <w:p w14:paraId="0DFC06DD" w14:textId="77777777" w:rsidR="003775BA" w:rsidRDefault="003775BA" w:rsidP="00832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1F1C67"/>
    <w:multiLevelType w:val="multilevel"/>
    <w:tmpl w:val="E278C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0C37BF"/>
    <w:multiLevelType w:val="hybridMultilevel"/>
    <w:tmpl w:val="792873A8"/>
    <w:lvl w:ilvl="0" w:tplc="9A24C636">
      <w:start w:val="500"/>
      <w:numFmt w:val="bullet"/>
      <w:lvlText w:val="-"/>
      <w:lvlJc w:val="left"/>
      <w:pPr>
        <w:ind w:left="720" w:hanging="360"/>
      </w:pPr>
      <w:rPr>
        <w:rFonts w:ascii="Kings Caslon Text" w:eastAsia="Times New Roman" w:hAnsi="Kings Caslon T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48C3BFF"/>
    <w:multiLevelType w:val="hybridMultilevel"/>
    <w:tmpl w:val="1BDE5E78"/>
    <w:lvl w:ilvl="0" w:tplc="8474D5C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E1862A3"/>
    <w:multiLevelType w:val="hybridMultilevel"/>
    <w:tmpl w:val="31107BB8"/>
    <w:lvl w:ilvl="0" w:tplc="03E47C62">
      <w:start w:val="14"/>
      <w:numFmt w:val="bullet"/>
      <w:lvlText w:val="-"/>
      <w:lvlJc w:val="left"/>
      <w:pPr>
        <w:ind w:left="720" w:hanging="360"/>
      </w:pPr>
      <w:rPr>
        <w:rFonts w:ascii="Palatino Linotype" w:eastAsia="Times New Roman" w:hAnsi="Palatino Linotype" w:cs="Palatino Linotype" w:hint="default"/>
        <w:color w:val="000000" w:themeColor="text1"/>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7846366">
    <w:abstractNumId w:val="1"/>
  </w:num>
  <w:num w:numId="2" w16cid:durableId="497622135">
    <w:abstractNumId w:val="3"/>
  </w:num>
  <w:num w:numId="3" w16cid:durableId="1713189468">
    <w:abstractNumId w:val="2"/>
  </w:num>
  <w:num w:numId="4" w16cid:durableId="1945068170">
    <w:abstractNumId w:val="0"/>
  </w:num>
  <w:num w:numId="5" w16cid:durableId="1453608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FB8"/>
    <w:rsid w:val="000019BA"/>
    <w:rsid w:val="00007DAB"/>
    <w:rsid w:val="00012B37"/>
    <w:rsid w:val="00023C84"/>
    <w:rsid w:val="00036784"/>
    <w:rsid w:val="000415AD"/>
    <w:rsid w:val="0004734B"/>
    <w:rsid w:val="0008617A"/>
    <w:rsid w:val="00090478"/>
    <w:rsid w:val="00097D31"/>
    <w:rsid w:val="000B0A67"/>
    <w:rsid w:val="000D4D43"/>
    <w:rsid w:val="000D4E41"/>
    <w:rsid w:val="000E5657"/>
    <w:rsid w:val="000F7394"/>
    <w:rsid w:val="000F7AFF"/>
    <w:rsid w:val="00101628"/>
    <w:rsid w:val="00104A32"/>
    <w:rsid w:val="001166B6"/>
    <w:rsid w:val="00134224"/>
    <w:rsid w:val="001464C6"/>
    <w:rsid w:val="00160C28"/>
    <w:rsid w:val="00166856"/>
    <w:rsid w:val="00187EE7"/>
    <w:rsid w:val="0019314B"/>
    <w:rsid w:val="00193C52"/>
    <w:rsid w:val="001B0737"/>
    <w:rsid w:val="001B2CE3"/>
    <w:rsid w:val="001B7FB8"/>
    <w:rsid w:val="001D5B5F"/>
    <w:rsid w:val="001E0470"/>
    <w:rsid w:val="001F516D"/>
    <w:rsid w:val="0020408F"/>
    <w:rsid w:val="002049B6"/>
    <w:rsid w:val="002106AF"/>
    <w:rsid w:val="00211956"/>
    <w:rsid w:val="00225493"/>
    <w:rsid w:val="00230F7F"/>
    <w:rsid w:val="00267A25"/>
    <w:rsid w:val="00280741"/>
    <w:rsid w:val="00286397"/>
    <w:rsid w:val="002A5468"/>
    <w:rsid w:val="002B5317"/>
    <w:rsid w:val="002B5BD2"/>
    <w:rsid w:val="002F57AE"/>
    <w:rsid w:val="00314DB8"/>
    <w:rsid w:val="00333845"/>
    <w:rsid w:val="00344FF9"/>
    <w:rsid w:val="0034721D"/>
    <w:rsid w:val="00353CEC"/>
    <w:rsid w:val="003775BA"/>
    <w:rsid w:val="00391BA0"/>
    <w:rsid w:val="00396F57"/>
    <w:rsid w:val="003A13A3"/>
    <w:rsid w:val="003A2F14"/>
    <w:rsid w:val="003B5D89"/>
    <w:rsid w:val="003C2663"/>
    <w:rsid w:val="003C5EEE"/>
    <w:rsid w:val="003E78D5"/>
    <w:rsid w:val="003F23A7"/>
    <w:rsid w:val="003F7D2B"/>
    <w:rsid w:val="0040792E"/>
    <w:rsid w:val="00443809"/>
    <w:rsid w:val="004533C0"/>
    <w:rsid w:val="00462CB5"/>
    <w:rsid w:val="00465674"/>
    <w:rsid w:val="004753E7"/>
    <w:rsid w:val="0048091F"/>
    <w:rsid w:val="00483C65"/>
    <w:rsid w:val="004B54B6"/>
    <w:rsid w:val="004D0218"/>
    <w:rsid w:val="004D2670"/>
    <w:rsid w:val="004E3E26"/>
    <w:rsid w:val="004F61AF"/>
    <w:rsid w:val="004F7835"/>
    <w:rsid w:val="00507B1A"/>
    <w:rsid w:val="00511B74"/>
    <w:rsid w:val="00511B94"/>
    <w:rsid w:val="00525525"/>
    <w:rsid w:val="00551F33"/>
    <w:rsid w:val="00554A90"/>
    <w:rsid w:val="005617C8"/>
    <w:rsid w:val="00563FF2"/>
    <w:rsid w:val="00567847"/>
    <w:rsid w:val="00587769"/>
    <w:rsid w:val="005D0230"/>
    <w:rsid w:val="005D522D"/>
    <w:rsid w:val="005E3AA4"/>
    <w:rsid w:val="005E718B"/>
    <w:rsid w:val="005F4E63"/>
    <w:rsid w:val="00601A37"/>
    <w:rsid w:val="0060540D"/>
    <w:rsid w:val="00613077"/>
    <w:rsid w:val="006206F6"/>
    <w:rsid w:val="006301EC"/>
    <w:rsid w:val="00647FCE"/>
    <w:rsid w:val="00665F13"/>
    <w:rsid w:val="00670EE1"/>
    <w:rsid w:val="00672BC1"/>
    <w:rsid w:val="006756D2"/>
    <w:rsid w:val="0069298B"/>
    <w:rsid w:val="0069375F"/>
    <w:rsid w:val="006A46D7"/>
    <w:rsid w:val="006B2A33"/>
    <w:rsid w:val="006C5EC0"/>
    <w:rsid w:val="006E14F7"/>
    <w:rsid w:val="006E44F2"/>
    <w:rsid w:val="006F548F"/>
    <w:rsid w:val="00700C85"/>
    <w:rsid w:val="00727BFA"/>
    <w:rsid w:val="00732614"/>
    <w:rsid w:val="00736224"/>
    <w:rsid w:val="00736711"/>
    <w:rsid w:val="007818B7"/>
    <w:rsid w:val="0078520F"/>
    <w:rsid w:val="00790C5E"/>
    <w:rsid w:val="00797B0A"/>
    <w:rsid w:val="007E7128"/>
    <w:rsid w:val="007F4107"/>
    <w:rsid w:val="007F476B"/>
    <w:rsid w:val="00804A4E"/>
    <w:rsid w:val="00811537"/>
    <w:rsid w:val="00811751"/>
    <w:rsid w:val="00823095"/>
    <w:rsid w:val="0083247A"/>
    <w:rsid w:val="00832E5F"/>
    <w:rsid w:val="0084775B"/>
    <w:rsid w:val="0087097F"/>
    <w:rsid w:val="00875216"/>
    <w:rsid w:val="00896050"/>
    <w:rsid w:val="008C61A2"/>
    <w:rsid w:val="008D79F2"/>
    <w:rsid w:val="008F1086"/>
    <w:rsid w:val="008F1709"/>
    <w:rsid w:val="008F4B7B"/>
    <w:rsid w:val="008F5165"/>
    <w:rsid w:val="009300B8"/>
    <w:rsid w:val="00952E8A"/>
    <w:rsid w:val="0095438C"/>
    <w:rsid w:val="00957676"/>
    <w:rsid w:val="009637DC"/>
    <w:rsid w:val="00964506"/>
    <w:rsid w:val="00974F4C"/>
    <w:rsid w:val="00991AA2"/>
    <w:rsid w:val="009B7CBE"/>
    <w:rsid w:val="009E0A2B"/>
    <w:rsid w:val="009E1B0A"/>
    <w:rsid w:val="00A00151"/>
    <w:rsid w:val="00A020E1"/>
    <w:rsid w:val="00A20F5C"/>
    <w:rsid w:val="00A4076E"/>
    <w:rsid w:val="00A6203C"/>
    <w:rsid w:val="00A6341D"/>
    <w:rsid w:val="00A746C0"/>
    <w:rsid w:val="00A858C3"/>
    <w:rsid w:val="00A93A9D"/>
    <w:rsid w:val="00AA6E1A"/>
    <w:rsid w:val="00AB104A"/>
    <w:rsid w:val="00AC096C"/>
    <w:rsid w:val="00AC0E15"/>
    <w:rsid w:val="00AC2062"/>
    <w:rsid w:val="00AD0B39"/>
    <w:rsid w:val="00AD4E90"/>
    <w:rsid w:val="00AD7188"/>
    <w:rsid w:val="00AD795A"/>
    <w:rsid w:val="00AE6E1E"/>
    <w:rsid w:val="00AF5811"/>
    <w:rsid w:val="00B30429"/>
    <w:rsid w:val="00B41453"/>
    <w:rsid w:val="00B43DD9"/>
    <w:rsid w:val="00B53FCD"/>
    <w:rsid w:val="00B57B69"/>
    <w:rsid w:val="00B805E6"/>
    <w:rsid w:val="00B949C8"/>
    <w:rsid w:val="00BD4F85"/>
    <w:rsid w:val="00BD4FF2"/>
    <w:rsid w:val="00BE1337"/>
    <w:rsid w:val="00BE6D9D"/>
    <w:rsid w:val="00C2139B"/>
    <w:rsid w:val="00C4028C"/>
    <w:rsid w:val="00C41966"/>
    <w:rsid w:val="00C525AB"/>
    <w:rsid w:val="00C54B7E"/>
    <w:rsid w:val="00C55E4F"/>
    <w:rsid w:val="00C723FD"/>
    <w:rsid w:val="00C85B08"/>
    <w:rsid w:val="00C92A4B"/>
    <w:rsid w:val="00C92B81"/>
    <w:rsid w:val="00C958E3"/>
    <w:rsid w:val="00CD0101"/>
    <w:rsid w:val="00CD5371"/>
    <w:rsid w:val="00CE7293"/>
    <w:rsid w:val="00CF6BE5"/>
    <w:rsid w:val="00CF7876"/>
    <w:rsid w:val="00D0580E"/>
    <w:rsid w:val="00D06AB5"/>
    <w:rsid w:val="00D10F23"/>
    <w:rsid w:val="00D10FED"/>
    <w:rsid w:val="00D11035"/>
    <w:rsid w:val="00D152E1"/>
    <w:rsid w:val="00D176C0"/>
    <w:rsid w:val="00D26D17"/>
    <w:rsid w:val="00D309A1"/>
    <w:rsid w:val="00D3271D"/>
    <w:rsid w:val="00D73E3D"/>
    <w:rsid w:val="00D76873"/>
    <w:rsid w:val="00D93B6A"/>
    <w:rsid w:val="00D97F77"/>
    <w:rsid w:val="00DA70CE"/>
    <w:rsid w:val="00DB1B6E"/>
    <w:rsid w:val="00DB2CFB"/>
    <w:rsid w:val="00DB6AA9"/>
    <w:rsid w:val="00DF3E62"/>
    <w:rsid w:val="00E14764"/>
    <w:rsid w:val="00E4052D"/>
    <w:rsid w:val="00E47634"/>
    <w:rsid w:val="00E61304"/>
    <w:rsid w:val="00E87C23"/>
    <w:rsid w:val="00E936C9"/>
    <w:rsid w:val="00EB4773"/>
    <w:rsid w:val="00EF1240"/>
    <w:rsid w:val="00F05C03"/>
    <w:rsid w:val="00F10E72"/>
    <w:rsid w:val="00F1362E"/>
    <w:rsid w:val="00F14403"/>
    <w:rsid w:val="00F27F64"/>
    <w:rsid w:val="00F45EB6"/>
    <w:rsid w:val="00F6317B"/>
    <w:rsid w:val="00F833A5"/>
    <w:rsid w:val="00FB0309"/>
    <w:rsid w:val="00FE6210"/>
    <w:rsid w:val="00FF047D"/>
    <w:rsid w:val="01596ED8"/>
    <w:rsid w:val="031B4C4F"/>
    <w:rsid w:val="13E5FD99"/>
    <w:rsid w:val="1425330C"/>
    <w:rsid w:val="175CA5E4"/>
    <w:rsid w:val="1D6C166A"/>
    <w:rsid w:val="22952F77"/>
    <w:rsid w:val="36AE170D"/>
    <w:rsid w:val="3A436724"/>
    <w:rsid w:val="49DE6236"/>
    <w:rsid w:val="7D97E0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53F18"/>
  <w15:chartTrackingRefBased/>
  <w15:docId w15:val="{6DB32C9A-E144-C043-B922-E5478C3EE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FB8"/>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sultsublistitem1">
    <w:name w:val="resultsublistitem1"/>
    <w:basedOn w:val="DefaultParagraphFont"/>
    <w:rsid w:val="001B7FB8"/>
    <w:rPr>
      <w:rFonts w:ascii="Arial" w:hAnsi="Arial" w:cs="Arial"/>
      <w:sz w:val="16"/>
      <w:szCs w:val="16"/>
    </w:rPr>
  </w:style>
  <w:style w:type="paragraph" w:styleId="Title">
    <w:name w:val="Title"/>
    <w:basedOn w:val="Normal"/>
    <w:link w:val="TitleChar"/>
    <w:qFormat/>
    <w:rsid w:val="001B7FB8"/>
    <w:pPr>
      <w:autoSpaceDE w:val="0"/>
      <w:autoSpaceDN w:val="0"/>
      <w:jc w:val="center"/>
    </w:pPr>
    <w:rPr>
      <w:b/>
      <w:bCs/>
    </w:rPr>
  </w:style>
  <w:style w:type="character" w:customStyle="1" w:styleId="TitleChar">
    <w:name w:val="Title Char"/>
    <w:basedOn w:val="DefaultParagraphFont"/>
    <w:link w:val="Title"/>
    <w:rsid w:val="001B7FB8"/>
    <w:rPr>
      <w:rFonts w:ascii="Times New Roman" w:eastAsia="Times New Roman" w:hAnsi="Times New Roman" w:cs="Times New Roman"/>
      <w:b/>
      <w:bCs/>
      <w:lang w:eastAsia="en-GB"/>
    </w:rPr>
  </w:style>
  <w:style w:type="paragraph" w:styleId="ListParagraph">
    <w:name w:val="List Paragraph"/>
    <w:basedOn w:val="Normal"/>
    <w:uiPriority w:val="34"/>
    <w:qFormat/>
    <w:rsid w:val="001B7FB8"/>
    <w:pPr>
      <w:ind w:left="720"/>
      <w:contextualSpacing/>
    </w:pPr>
  </w:style>
  <w:style w:type="paragraph" w:styleId="Footer">
    <w:name w:val="footer"/>
    <w:basedOn w:val="Normal"/>
    <w:link w:val="FooterChar"/>
    <w:uiPriority w:val="99"/>
    <w:unhideWhenUsed/>
    <w:rsid w:val="00832E5F"/>
    <w:pPr>
      <w:tabs>
        <w:tab w:val="center" w:pos="4680"/>
        <w:tab w:val="right" w:pos="9360"/>
      </w:tabs>
    </w:pPr>
  </w:style>
  <w:style w:type="character" w:customStyle="1" w:styleId="FooterChar">
    <w:name w:val="Footer Char"/>
    <w:basedOn w:val="DefaultParagraphFont"/>
    <w:link w:val="Footer"/>
    <w:uiPriority w:val="99"/>
    <w:rsid w:val="00832E5F"/>
    <w:rPr>
      <w:rFonts w:ascii="Times New Roman" w:eastAsia="Times New Roman" w:hAnsi="Times New Roman" w:cs="Times New Roman"/>
      <w:lang w:eastAsia="en-GB"/>
    </w:rPr>
  </w:style>
  <w:style w:type="character" w:styleId="PageNumber">
    <w:name w:val="page number"/>
    <w:basedOn w:val="DefaultParagraphFont"/>
    <w:uiPriority w:val="99"/>
    <w:semiHidden/>
    <w:unhideWhenUsed/>
    <w:rsid w:val="00832E5F"/>
  </w:style>
  <w:style w:type="paragraph" w:styleId="BalloonText">
    <w:name w:val="Balloon Text"/>
    <w:basedOn w:val="Normal"/>
    <w:link w:val="BalloonTextChar"/>
    <w:uiPriority w:val="99"/>
    <w:semiHidden/>
    <w:unhideWhenUsed/>
    <w:rsid w:val="00952E8A"/>
    <w:rPr>
      <w:sz w:val="18"/>
      <w:szCs w:val="18"/>
    </w:rPr>
  </w:style>
  <w:style w:type="character" w:customStyle="1" w:styleId="BalloonTextChar">
    <w:name w:val="Balloon Text Char"/>
    <w:basedOn w:val="DefaultParagraphFont"/>
    <w:link w:val="BalloonText"/>
    <w:uiPriority w:val="99"/>
    <w:semiHidden/>
    <w:rsid w:val="00952E8A"/>
    <w:rPr>
      <w:rFonts w:ascii="Times New Roman" w:eastAsia="Times New Roman" w:hAnsi="Times New Roman" w:cs="Times New Roman"/>
      <w:sz w:val="18"/>
      <w:szCs w:val="18"/>
      <w:lang w:eastAsia="en-GB"/>
    </w:rPr>
  </w:style>
  <w:style w:type="character" w:styleId="CommentReference">
    <w:name w:val="annotation reference"/>
    <w:basedOn w:val="DefaultParagraphFont"/>
    <w:uiPriority w:val="99"/>
    <w:semiHidden/>
    <w:unhideWhenUsed/>
    <w:rsid w:val="00B30429"/>
    <w:rPr>
      <w:sz w:val="16"/>
      <w:szCs w:val="16"/>
    </w:rPr>
  </w:style>
  <w:style w:type="paragraph" w:styleId="CommentText">
    <w:name w:val="annotation text"/>
    <w:basedOn w:val="Normal"/>
    <w:link w:val="CommentTextChar"/>
    <w:uiPriority w:val="99"/>
    <w:semiHidden/>
    <w:unhideWhenUsed/>
    <w:rsid w:val="00B30429"/>
    <w:rPr>
      <w:sz w:val="20"/>
      <w:szCs w:val="20"/>
    </w:rPr>
  </w:style>
  <w:style w:type="character" w:customStyle="1" w:styleId="CommentTextChar">
    <w:name w:val="Comment Text Char"/>
    <w:basedOn w:val="DefaultParagraphFont"/>
    <w:link w:val="CommentText"/>
    <w:uiPriority w:val="99"/>
    <w:semiHidden/>
    <w:rsid w:val="00B30429"/>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B30429"/>
    <w:rPr>
      <w:b/>
      <w:bCs/>
    </w:rPr>
  </w:style>
  <w:style w:type="character" w:customStyle="1" w:styleId="CommentSubjectChar">
    <w:name w:val="Comment Subject Char"/>
    <w:basedOn w:val="CommentTextChar"/>
    <w:link w:val="CommentSubject"/>
    <w:uiPriority w:val="99"/>
    <w:semiHidden/>
    <w:rsid w:val="00B30429"/>
    <w:rPr>
      <w:rFonts w:ascii="Times New Roman" w:eastAsia="Times New Roman" w:hAnsi="Times New Roman" w:cs="Times New Roman"/>
      <w:b/>
      <w:bCs/>
      <w:sz w:val="20"/>
      <w:szCs w:val="20"/>
      <w:lang w:eastAsia="en-GB"/>
    </w:rPr>
  </w:style>
  <w:style w:type="character" w:styleId="IntenseEmphasis">
    <w:name w:val="Intense Emphasis"/>
    <w:uiPriority w:val="21"/>
    <w:qFormat/>
    <w:rsid w:val="0069375F"/>
    <w:rPr>
      <w:rFonts w:ascii="Kings Caslon Text" w:hAnsi="Kings Caslon Text"/>
      <w:b/>
      <w:i/>
      <w:iCs/>
      <w:color w:val="0070C0"/>
    </w:rPr>
  </w:style>
  <w:style w:type="character" w:styleId="Hyperlink">
    <w:name w:val="Hyperlink"/>
    <w:basedOn w:val="DefaultParagraphFont"/>
    <w:uiPriority w:val="99"/>
    <w:unhideWhenUsed/>
    <w:rsid w:val="00823095"/>
    <w:rPr>
      <w:color w:val="0563C1" w:themeColor="hyperlink"/>
      <w:u w:val="single"/>
    </w:rPr>
  </w:style>
  <w:style w:type="character" w:styleId="UnresolvedMention">
    <w:name w:val="Unresolved Mention"/>
    <w:basedOn w:val="DefaultParagraphFont"/>
    <w:uiPriority w:val="99"/>
    <w:semiHidden/>
    <w:unhideWhenUsed/>
    <w:rsid w:val="00823095"/>
    <w:rPr>
      <w:color w:val="605E5C"/>
      <w:shd w:val="clear" w:color="auto" w:fill="E1DFDD"/>
    </w:rPr>
  </w:style>
  <w:style w:type="character" w:styleId="FollowedHyperlink">
    <w:name w:val="FollowedHyperlink"/>
    <w:basedOn w:val="DefaultParagraphFont"/>
    <w:uiPriority w:val="99"/>
    <w:semiHidden/>
    <w:unhideWhenUsed/>
    <w:rsid w:val="008230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13971">
      <w:bodyDiv w:val="1"/>
      <w:marLeft w:val="0"/>
      <w:marRight w:val="0"/>
      <w:marTop w:val="0"/>
      <w:marBottom w:val="0"/>
      <w:divBdr>
        <w:top w:val="none" w:sz="0" w:space="0" w:color="auto"/>
        <w:left w:val="none" w:sz="0" w:space="0" w:color="auto"/>
        <w:bottom w:val="none" w:sz="0" w:space="0" w:color="auto"/>
        <w:right w:val="none" w:sz="0" w:space="0" w:color="auto"/>
      </w:divBdr>
    </w:div>
    <w:div w:id="430663664">
      <w:bodyDiv w:val="1"/>
      <w:marLeft w:val="0"/>
      <w:marRight w:val="0"/>
      <w:marTop w:val="0"/>
      <w:marBottom w:val="0"/>
      <w:divBdr>
        <w:top w:val="none" w:sz="0" w:space="0" w:color="auto"/>
        <w:left w:val="none" w:sz="0" w:space="0" w:color="auto"/>
        <w:bottom w:val="none" w:sz="0" w:space="0" w:color="auto"/>
        <w:right w:val="none" w:sz="0" w:space="0" w:color="auto"/>
      </w:divBdr>
    </w:div>
    <w:div w:id="908341398">
      <w:bodyDiv w:val="1"/>
      <w:marLeft w:val="0"/>
      <w:marRight w:val="0"/>
      <w:marTop w:val="0"/>
      <w:marBottom w:val="0"/>
      <w:divBdr>
        <w:top w:val="none" w:sz="0" w:space="0" w:color="auto"/>
        <w:left w:val="none" w:sz="0" w:space="0" w:color="auto"/>
        <w:bottom w:val="none" w:sz="0" w:space="0" w:color="auto"/>
        <w:right w:val="none" w:sz="0" w:space="0" w:color="auto"/>
      </w:divBdr>
    </w:div>
    <w:div w:id="936787188">
      <w:bodyDiv w:val="1"/>
      <w:marLeft w:val="0"/>
      <w:marRight w:val="0"/>
      <w:marTop w:val="0"/>
      <w:marBottom w:val="0"/>
      <w:divBdr>
        <w:top w:val="none" w:sz="0" w:space="0" w:color="auto"/>
        <w:left w:val="none" w:sz="0" w:space="0" w:color="auto"/>
        <w:bottom w:val="none" w:sz="0" w:space="0" w:color="auto"/>
        <w:right w:val="none" w:sz="0" w:space="0" w:color="auto"/>
      </w:divBdr>
    </w:div>
    <w:div w:id="1115247646">
      <w:bodyDiv w:val="1"/>
      <w:marLeft w:val="0"/>
      <w:marRight w:val="0"/>
      <w:marTop w:val="0"/>
      <w:marBottom w:val="0"/>
      <w:divBdr>
        <w:top w:val="none" w:sz="0" w:space="0" w:color="auto"/>
        <w:left w:val="none" w:sz="0" w:space="0" w:color="auto"/>
        <w:bottom w:val="none" w:sz="0" w:space="0" w:color="auto"/>
        <w:right w:val="none" w:sz="0" w:space="0" w:color="auto"/>
      </w:divBdr>
    </w:div>
    <w:div w:id="1131091047">
      <w:bodyDiv w:val="1"/>
      <w:marLeft w:val="0"/>
      <w:marRight w:val="0"/>
      <w:marTop w:val="0"/>
      <w:marBottom w:val="0"/>
      <w:divBdr>
        <w:top w:val="none" w:sz="0" w:space="0" w:color="auto"/>
        <w:left w:val="none" w:sz="0" w:space="0" w:color="auto"/>
        <w:bottom w:val="none" w:sz="0" w:space="0" w:color="auto"/>
        <w:right w:val="none" w:sz="0" w:space="0" w:color="auto"/>
      </w:divBdr>
    </w:div>
    <w:div w:id="1476220277">
      <w:bodyDiv w:val="1"/>
      <w:marLeft w:val="0"/>
      <w:marRight w:val="0"/>
      <w:marTop w:val="0"/>
      <w:marBottom w:val="0"/>
      <w:divBdr>
        <w:top w:val="none" w:sz="0" w:space="0" w:color="auto"/>
        <w:left w:val="none" w:sz="0" w:space="0" w:color="auto"/>
        <w:bottom w:val="none" w:sz="0" w:space="0" w:color="auto"/>
        <w:right w:val="none" w:sz="0" w:space="0" w:color="auto"/>
      </w:divBdr>
    </w:div>
    <w:div w:id="1500537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ambridge.org/core/journals/cambridge-law-journal/article/abs/unforeseeably-making-matters-worse-an-issue-of-notional-or-factual-duty/5DAB649B72876BC755CD450D4160D729"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F8D05B25DBD65479F341CDCBA0DE3E0" ma:contentTypeVersion="7" ma:contentTypeDescription="Create a new document." ma:contentTypeScope="" ma:versionID="b771b457e615fe5d2a2055591f9d34e5">
  <xsd:schema xmlns:xsd="http://www.w3.org/2001/XMLSchema" xmlns:xs="http://www.w3.org/2001/XMLSchema" xmlns:p="http://schemas.microsoft.com/office/2006/metadata/properties" xmlns:ns2="c85093d1-3ffd-4cb5-81a7-333380151176" xmlns:ns3="dab24798-d3b6-4f34-9d9a-4183cf31177d" targetNamespace="http://schemas.microsoft.com/office/2006/metadata/properties" ma:root="true" ma:fieldsID="a50be4b93f2bef9a96fda66cbb4806b8" ns2:_="" ns3:_="">
    <xsd:import namespace="c85093d1-3ffd-4cb5-81a7-333380151176"/>
    <xsd:import namespace="dab24798-d3b6-4f34-9d9a-4183cf3117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5093d1-3ffd-4cb5-81a7-3333801511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b24798-d3b6-4f34-9d9a-4183cf31177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5B8F9A-E16E-4B3C-BEC1-30ECEE15CF7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261563D-0931-40CE-A622-C6174560C1BA}">
  <ds:schemaRefs>
    <ds:schemaRef ds:uri="http://schemas.openxmlformats.org/officeDocument/2006/bibliography"/>
  </ds:schemaRefs>
</ds:datastoreItem>
</file>

<file path=customXml/itemProps3.xml><?xml version="1.0" encoding="utf-8"?>
<ds:datastoreItem xmlns:ds="http://schemas.openxmlformats.org/officeDocument/2006/customXml" ds:itemID="{FAD8EE5F-DA8D-4B4A-8BBE-F2372F0A3F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5093d1-3ffd-4cb5-81a7-333380151176"/>
    <ds:schemaRef ds:uri="dab24798-d3b6-4f34-9d9a-4183cf3117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433423-E81C-4776-B99E-F4C0FC417D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Pages>
  <Words>618</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 Mc Grath</dc:creator>
  <cp:keywords/>
  <dc:description/>
  <cp:lastModifiedBy>Letwin, Jeremy</cp:lastModifiedBy>
  <cp:revision>164</cp:revision>
  <dcterms:created xsi:type="dcterms:W3CDTF">2021-03-01T11:34:00Z</dcterms:created>
  <dcterms:modified xsi:type="dcterms:W3CDTF">2025-11-13T14:49:00Z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0x0101000F8D05B25DBD65479F341CDCBA0DE3E0</vt:lpwstr>
  </property>
</Properties>
</file>