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EAB3C" w14:textId="7DBBEE30" w:rsidR="00B13AA7" w:rsidRPr="00B13AA7" w:rsidRDefault="00B13AA7" w:rsidP="00B13AA7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kern w:val="0"/>
          <w:sz w:val="27"/>
          <w:szCs w:val="27"/>
          <w14:ligatures w14:val="none"/>
        </w:rPr>
      </w:pPr>
      <w:r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Human Emotion AI Vision </w:t>
      </w:r>
      <w:r w:rsidRPr="00B13AA7">
        <w:rPr>
          <w:rFonts w:ascii="Tahoma" w:eastAsia="Times New Roman" w:hAnsi="Tahoma" w:cs="Tahoma"/>
          <w:kern w:val="0"/>
          <w:sz w:val="27"/>
          <w:szCs w:val="27"/>
          <w14:ligatures w14:val="none"/>
        </w:rPr>
        <w:t>– Update 13th June 2026</w:t>
      </w:r>
    </w:p>
    <w:p w14:paraId="639EC773" w14:textId="6F639602" w:rsidR="00B13AA7" w:rsidRPr="00B13AA7" w:rsidRDefault="00B13AA7" w:rsidP="00B13AA7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B13AA7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The Strategic Redefinition of Emotion Recognition</w:t>
      </w:r>
    </w:p>
    <w:p w14:paraId="5D568029" w14:textId="77777777" w:rsidR="00B13AA7" w:rsidRPr="00B13AA7" w:rsidRDefault="00B13AA7" w:rsidP="00B13AA7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Cs w:val="24"/>
          <w14:ligatures w14:val="none"/>
        </w:rPr>
      </w:pPr>
      <w:r w:rsidRPr="00B13AA7">
        <w:rPr>
          <w:rFonts w:ascii="Tahoma" w:eastAsia="Times New Roman" w:hAnsi="Tahoma" w:cs="Tahoma"/>
          <w:kern w:val="0"/>
          <w:szCs w:val="24"/>
          <w14:ligatures w14:val="none"/>
        </w:rPr>
        <w:t xml:space="preserve">Researchers are currently reframing the "Facial Emotion Recognition (FER) Crisis"—a period where models were criticized for technical fragility and a lack of scientific reliability. Top-tier research papers in 2026 are increasingly abandoning the term "emotion recognition" entirely. Instead, the field is adopting more precise labels such as </w:t>
      </w:r>
      <w:r w:rsidRPr="00B13AA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"affective state estimation"</w:t>
      </w:r>
      <w:r w:rsidRPr="00B13AA7">
        <w:rPr>
          <w:rFonts w:ascii="Tahoma" w:eastAsia="Times New Roman" w:hAnsi="Tahoma" w:cs="Tahoma"/>
          <w:kern w:val="0"/>
          <w:szCs w:val="24"/>
          <w14:ligatures w14:val="none"/>
        </w:rPr>
        <w:t xml:space="preserve"> or </w:t>
      </w:r>
      <w:r w:rsidRPr="00B13AA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"behavioral signal modeling"</w:t>
      </w:r>
      <w:r w:rsidRPr="00B13AA7">
        <w:rPr>
          <w:rFonts w:ascii="Tahoma" w:eastAsia="Times New Roman" w:hAnsi="Tahoma" w:cs="Tahoma"/>
          <w:kern w:val="0"/>
          <w:szCs w:val="24"/>
          <w14:ligatures w14:val="none"/>
        </w:rPr>
        <w:t>.</w:t>
      </w:r>
    </w:p>
    <w:p w14:paraId="5A7F889F" w14:textId="77777777" w:rsidR="00B13AA7" w:rsidRPr="00B13AA7" w:rsidRDefault="00B13AA7" w:rsidP="00B13AA7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Cs w:val="24"/>
          <w14:ligatures w14:val="none"/>
        </w:rPr>
      </w:pPr>
      <w:r w:rsidRPr="00B13AA7">
        <w:rPr>
          <w:rFonts w:ascii="Tahoma" w:eastAsia="Times New Roman" w:hAnsi="Tahoma" w:cs="Tahoma"/>
          <w:kern w:val="0"/>
          <w:szCs w:val="24"/>
          <w14:ligatures w14:val="none"/>
        </w:rPr>
        <w:t xml:space="preserve">Technically, this shift involves moving away from simple classification (labeling a face as "happy" or "sad") and toward </w:t>
      </w:r>
      <w:r w:rsidRPr="00B13AA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continuous affect modeling</w:t>
      </w:r>
      <w:r w:rsidRPr="00B13AA7">
        <w:rPr>
          <w:rFonts w:ascii="Tahoma" w:eastAsia="Times New Roman" w:hAnsi="Tahoma" w:cs="Tahoma"/>
          <w:kern w:val="0"/>
          <w:szCs w:val="24"/>
          <w14:ligatures w14:val="none"/>
        </w:rPr>
        <w:t xml:space="preserve">. This approach uses dimensional models focusing on </w:t>
      </w:r>
      <w:r w:rsidRPr="00B13AA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Valence</w:t>
      </w:r>
      <w:r w:rsidRPr="00B13AA7">
        <w:rPr>
          <w:rFonts w:ascii="Tahoma" w:eastAsia="Times New Roman" w:hAnsi="Tahoma" w:cs="Tahoma"/>
          <w:kern w:val="0"/>
          <w:szCs w:val="24"/>
          <w14:ligatures w14:val="none"/>
        </w:rPr>
        <w:t xml:space="preserve"> (the degree of positivity or negativity) and </w:t>
      </w:r>
      <w:r w:rsidRPr="00B13AA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Arousal</w:t>
      </w:r>
      <w:r w:rsidRPr="00B13AA7">
        <w:rPr>
          <w:rFonts w:ascii="Tahoma" w:eastAsia="Times New Roman" w:hAnsi="Tahoma" w:cs="Tahoma"/>
          <w:kern w:val="0"/>
          <w:szCs w:val="24"/>
          <w14:ligatures w14:val="none"/>
        </w:rPr>
        <w:t xml:space="preserve"> (the level of physical or emotional excitement). Furthermore, modern systems are now </w:t>
      </w:r>
      <w:r w:rsidRPr="00B13AA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uncertainty-aware</w:t>
      </w:r>
      <w:r w:rsidRPr="00B13AA7">
        <w:rPr>
          <w:rFonts w:ascii="Tahoma" w:eastAsia="Times New Roman" w:hAnsi="Tahoma" w:cs="Tahoma"/>
          <w:kern w:val="0"/>
          <w:szCs w:val="24"/>
          <w14:ligatures w14:val="none"/>
        </w:rPr>
        <w:t xml:space="preserve">; instead of providing a fixed label like "anger = 0.9," they output probability distributions or confidence intervals across a valence/arousal space. Despite these technical growing pains, the global market remains robust, projected to grow from USD 2.14 billion in 2024 to </w:t>
      </w:r>
      <w:r w:rsidRPr="00B13AA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USD 13.4 billion by 2033</w:t>
      </w:r>
      <w:r w:rsidRPr="00B13AA7">
        <w:rPr>
          <w:rFonts w:ascii="Tahoma" w:eastAsia="Times New Roman" w:hAnsi="Tahoma" w:cs="Tahoma"/>
          <w:kern w:val="0"/>
          <w:szCs w:val="24"/>
          <w14:ligatures w14:val="none"/>
        </w:rPr>
        <w:t>, a compound annual growth rate of 22.9%.</w:t>
      </w:r>
    </w:p>
    <w:p w14:paraId="69A932E5" w14:textId="77777777" w:rsidR="00B13AA7" w:rsidRPr="00B13AA7" w:rsidRDefault="00B13AA7" w:rsidP="00B13AA7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B13AA7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Multimodal Dominance and Technical Fusion</w:t>
      </w:r>
    </w:p>
    <w:p w14:paraId="1B12740E" w14:textId="77777777" w:rsidR="00B13AA7" w:rsidRPr="00B13AA7" w:rsidRDefault="00B13AA7" w:rsidP="00B13AA7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Cs w:val="24"/>
          <w14:ligatures w14:val="none"/>
        </w:rPr>
      </w:pPr>
      <w:r w:rsidRPr="00B13AA7">
        <w:rPr>
          <w:rFonts w:ascii="Tahoma" w:eastAsia="Times New Roman" w:hAnsi="Tahoma" w:cs="Tahoma"/>
          <w:kern w:val="0"/>
          <w:szCs w:val="24"/>
          <w14:ligatures w14:val="none"/>
        </w:rPr>
        <w:t xml:space="preserve">By mid-2026, multimodal systems have become the industry standard. These systems jointly process facial expressions, speech tone, and semantic meaning. A critical technical update is the shift from "late fusion"—where individual outputs from different signals are combined at the end—to </w:t>
      </w:r>
      <w:r w:rsidRPr="00B13AA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"cross-attention fusion"</w:t>
      </w:r>
      <w:r w:rsidRPr="00B13AA7">
        <w:rPr>
          <w:rFonts w:ascii="Tahoma" w:eastAsia="Times New Roman" w:hAnsi="Tahoma" w:cs="Tahoma"/>
          <w:kern w:val="0"/>
          <w:szCs w:val="24"/>
          <w14:ligatures w14:val="none"/>
        </w:rPr>
        <w:t xml:space="preserve">. In this new architecture, models align signals internally, allowing a system to interpret facial tension, voice pitch, and sentence meaning simultaneously to detect complex states like </w:t>
      </w:r>
      <w:r w:rsidRPr="00B13AA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sarcasm or suppressed frustration</w:t>
      </w:r>
      <w:r w:rsidRPr="00B13AA7">
        <w:rPr>
          <w:rFonts w:ascii="Tahoma" w:eastAsia="Times New Roman" w:hAnsi="Tahoma" w:cs="Tahoma"/>
          <w:kern w:val="0"/>
          <w:szCs w:val="24"/>
          <w14:ligatures w14:val="none"/>
        </w:rPr>
        <w:t>.</w:t>
      </w:r>
    </w:p>
    <w:p w14:paraId="2DFAF00A" w14:textId="77777777" w:rsidR="00B13AA7" w:rsidRPr="00B13AA7" w:rsidRDefault="00B13AA7" w:rsidP="00B13AA7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Cs w:val="24"/>
          <w14:ligatures w14:val="none"/>
        </w:rPr>
      </w:pPr>
      <w:r w:rsidRPr="00B13AA7">
        <w:rPr>
          <w:rFonts w:ascii="Tahoma" w:eastAsia="Times New Roman" w:hAnsi="Tahoma" w:cs="Tahoma"/>
          <w:kern w:val="0"/>
          <w:szCs w:val="24"/>
          <w14:ligatures w14:val="none"/>
        </w:rPr>
        <w:t xml:space="preserve">There is also a significant convergence toward </w:t>
      </w:r>
      <w:r w:rsidRPr="00B13AA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Edge AI</w:t>
      </w:r>
      <w:r w:rsidRPr="00B13AA7">
        <w:rPr>
          <w:rFonts w:ascii="Tahoma" w:eastAsia="Times New Roman" w:hAnsi="Tahoma" w:cs="Tahoma"/>
          <w:kern w:val="0"/>
          <w:szCs w:val="24"/>
          <w14:ligatures w14:val="none"/>
        </w:rPr>
        <w:t xml:space="preserve">. To comply with tightening privacy laws, developers are implementing on-device inference, federated learning, and </w:t>
      </w:r>
      <w:r w:rsidRPr="00B13AA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ephemeral processing</w:t>
      </w:r>
      <w:r w:rsidRPr="00B13AA7">
        <w:rPr>
          <w:rFonts w:ascii="Tahoma" w:eastAsia="Times New Roman" w:hAnsi="Tahoma" w:cs="Tahoma"/>
          <w:kern w:val="0"/>
          <w:szCs w:val="24"/>
          <w14:ligatures w14:val="none"/>
        </w:rPr>
        <w:t>, which ensures that data is processed in real-time without being stored or uploaded to the cloud. This makes privacy an architectural feature rather than just a legal requirement.</w:t>
      </w:r>
    </w:p>
    <w:p w14:paraId="0ED776E5" w14:textId="77777777" w:rsidR="00B13AA7" w:rsidRPr="00B13AA7" w:rsidRDefault="00B13AA7" w:rsidP="00B13AA7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B13AA7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Deepfake Detection and Forensic Specialization</w:t>
      </w:r>
    </w:p>
    <w:p w14:paraId="7AF8D8B3" w14:textId="77777777" w:rsidR="00B13AA7" w:rsidRPr="00B13AA7" w:rsidRDefault="00B13AA7" w:rsidP="00B13AA7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Cs w:val="24"/>
          <w14:ligatures w14:val="none"/>
        </w:rPr>
      </w:pPr>
      <w:r w:rsidRPr="00B13AA7">
        <w:rPr>
          <w:rFonts w:ascii="Tahoma" w:eastAsia="Times New Roman" w:hAnsi="Tahoma" w:cs="Tahoma"/>
          <w:kern w:val="0"/>
          <w:szCs w:val="24"/>
          <w14:ligatures w14:val="none"/>
        </w:rPr>
        <w:t xml:space="preserve">Deepfake detection has seen rapid acceleration in early 2026. A systematic review from </w:t>
      </w:r>
      <w:r w:rsidRPr="00B13AA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February 2026</w:t>
      </w:r>
      <w:r w:rsidRPr="00B13AA7">
        <w:rPr>
          <w:rFonts w:ascii="Tahoma" w:eastAsia="Times New Roman" w:hAnsi="Tahoma" w:cs="Tahoma"/>
          <w:kern w:val="0"/>
          <w:szCs w:val="24"/>
          <w14:ligatures w14:val="none"/>
        </w:rPr>
        <w:t xml:space="preserve"> confirmed that transformer-based architectures (Vision Transformers or ViTs) now significantly outperform traditional Convolutional Neural Networks (CNNs). While CNNs show a performance decline of over 15% when tested on new datasets, ViTs only show an </w:t>
      </w:r>
      <w:r w:rsidRPr="00B13AA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11.3% decline</w:t>
      </w:r>
      <w:r w:rsidRPr="00B13AA7">
        <w:rPr>
          <w:rFonts w:ascii="Tahoma" w:eastAsia="Times New Roman" w:hAnsi="Tahoma" w:cs="Tahoma"/>
          <w:kern w:val="0"/>
          <w:szCs w:val="24"/>
          <w14:ligatures w14:val="none"/>
        </w:rPr>
        <w:t>, although they require higher computational power.</w:t>
      </w:r>
    </w:p>
    <w:p w14:paraId="379E3CFE" w14:textId="77777777" w:rsidR="00B13AA7" w:rsidRPr="00B13AA7" w:rsidRDefault="00B13AA7" w:rsidP="00B13AA7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Cs w:val="24"/>
          <w14:ligatures w14:val="none"/>
        </w:rPr>
      </w:pPr>
      <w:r w:rsidRPr="00B13AA7">
        <w:rPr>
          <w:rFonts w:ascii="Tahoma" w:eastAsia="Times New Roman" w:hAnsi="Tahoma" w:cs="Tahoma"/>
          <w:kern w:val="0"/>
          <w:szCs w:val="24"/>
          <w14:ligatures w14:val="none"/>
        </w:rPr>
        <w:lastRenderedPageBreak/>
        <w:t xml:space="preserve">By </w:t>
      </w:r>
      <w:r w:rsidRPr="00B13AA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March 2026</w:t>
      </w:r>
      <w:r w:rsidRPr="00B13AA7">
        <w:rPr>
          <w:rFonts w:ascii="Tahoma" w:eastAsia="Times New Roman" w:hAnsi="Tahoma" w:cs="Tahoma"/>
          <w:kern w:val="0"/>
          <w:szCs w:val="24"/>
          <w14:ligatures w14:val="none"/>
        </w:rPr>
        <w:t xml:space="preserve">, a new trend emerged called </w:t>
      </w:r>
      <w:r w:rsidRPr="00B13AA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"forensic specialization"</w:t>
      </w:r>
      <w:r w:rsidRPr="00B13AA7">
        <w:rPr>
          <w:rFonts w:ascii="Tahoma" w:eastAsia="Times New Roman" w:hAnsi="Tahoma" w:cs="Tahoma"/>
          <w:kern w:val="0"/>
          <w:szCs w:val="24"/>
          <w14:ligatures w14:val="none"/>
        </w:rPr>
        <w:t xml:space="preserve">. Instead of using a generic AI backbone to catch all fakes, the strongest research now explicitly models specific cues such as gaze, facial anatomy, and part-level reasoning. Explainability has also become a priority, with papers like </w:t>
      </w:r>
      <w:r w:rsidRPr="00B13AA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MARE</w:t>
      </w:r>
      <w:r w:rsidRPr="00B13AA7">
        <w:rPr>
          <w:rFonts w:ascii="Tahoma" w:eastAsia="Times New Roman" w:hAnsi="Tahoma" w:cs="Tahoma"/>
          <w:kern w:val="0"/>
          <w:szCs w:val="24"/>
          <w14:ligatures w14:val="none"/>
        </w:rPr>
        <w:t xml:space="preserve"> and </w:t>
      </w:r>
      <w:r w:rsidRPr="00B13AA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EvolveReason</w:t>
      </w:r>
      <w:r w:rsidRPr="00B13AA7">
        <w:rPr>
          <w:rFonts w:ascii="Tahoma" w:eastAsia="Times New Roman" w:hAnsi="Tahoma" w:cs="Tahoma"/>
          <w:kern w:val="0"/>
          <w:szCs w:val="24"/>
          <w14:ligatures w14:val="none"/>
        </w:rPr>
        <w:t xml:space="preserve"> (presented at AAAI and CVPR 2026) using vision-language models to explain exactly </w:t>
      </w:r>
      <w:r w:rsidRPr="00B13AA7">
        <w:rPr>
          <w:rFonts w:ascii="Tahoma" w:eastAsia="Times New Roman" w:hAnsi="Tahoma" w:cs="Tahoma"/>
          <w:i/>
          <w:iCs/>
          <w:kern w:val="0"/>
          <w:szCs w:val="24"/>
          <w14:ligatures w14:val="none"/>
        </w:rPr>
        <w:t>why</w:t>
      </w:r>
      <w:r w:rsidRPr="00B13AA7">
        <w:rPr>
          <w:rFonts w:ascii="Tahoma" w:eastAsia="Times New Roman" w:hAnsi="Tahoma" w:cs="Tahoma"/>
          <w:kern w:val="0"/>
          <w:szCs w:val="24"/>
          <w14:ligatures w14:val="none"/>
        </w:rPr>
        <w:t xml:space="preserve"> an image is flagged as synthetic. Another major direction is </w:t>
      </w:r>
      <w:r w:rsidRPr="00B13AA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temporal coherence analysis</w:t>
      </w:r>
      <w:r w:rsidRPr="00B13AA7">
        <w:rPr>
          <w:rFonts w:ascii="Tahoma" w:eastAsia="Times New Roman" w:hAnsi="Tahoma" w:cs="Tahoma"/>
          <w:kern w:val="0"/>
          <w:szCs w:val="24"/>
          <w14:ligatures w14:val="none"/>
        </w:rPr>
        <w:t>, which tracks emotional consistency over time to find mismatches in micro-expression timing or transition smoothness.</w:t>
      </w:r>
    </w:p>
    <w:p w14:paraId="4C96C0C0" w14:textId="77777777" w:rsidR="00B13AA7" w:rsidRPr="00B13AA7" w:rsidRDefault="00B13AA7" w:rsidP="00B13AA7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B13AA7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Medical Diagnostics and Facial Biomarkers</w:t>
      </w:r>
    </w:p>
    <w:p w14:paraId="4E6D75D8" w14:textId="77777777" w:rsidR="00B13AA7" w:rsidRPr="00B13AA7" w:rsidRDefault="00B13AA7" w:rsidP="00B13AA7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Cs w:val="24"/>
          <w14:ligatures w14:val="none"/>
        </w:rPr>
      </w:pPr>
      <w:r w:rsidRPr="00B13AA7">
        <w:rPr>
          <w:rFonts w:ascii="Tahoma" w:eastAsia="Times New Roman" w:hAnsi="Tahoma" w:cs="Tahoma"/>
          <w:kern w:val="0"/>
          <w:szCs w:val="24"/>
          <w14:ligatures w14:val="none"/>
        </w:rPr>
        <w:t xml:space="preserve">The most significant scientific validation of 2026 occurred in the medical sector. In </w:t>
      </w:r>
      <w:r w:rsidRPr="00B13AA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April 2026</w:t>
      </w:r>
      <w:r w:rsidRPr="00B13AA7">
        <w:rPr>
          <w:rFonts w:ascii="Tahoma" w:eastAsia="Times New Roman" w:hAnsi="Tahoma" w:cs="Tahoma"/>
          <w:kern w:val="0"/>
          <w:szCs w:val="24"/>
          <w14:ligatures w14:val="none"/>
        </w:rPr>
        <w:t xml:space="preserve">, the Mass General Brigham FaceAge team published a landmark study in </w:t>
      </w:r>
      <w:r w:rsidRPr="00B13AA7">
        <w:rPr>
          <w:rFonts w:ascii="Tahoma" w:eastAsia="Times New Roman" w:hAnsi="Tahoma" w:cs="Tahoma"/>
          <w:i/>
          <w:iCs/>
          <w:kern w:val="0"/>
          <w:szCs w:val="24"/>
          <w14:ligatures w14:val="none"/>
        </w:rPr>
        <w:t>Nature Communications</w:t>
      </w:r>
      <w:r w:rsidRPr="00B13AA7">
        <w:rPr>
          <w:rFonts w:ascii="Tahoma" w:eastAsia="Times New Roman" w:hAnsi="Tahoma" w:cs="Tahoma"/>
          <w:kern w:val="0"/>
          <w:szCs w:val="24"/>
          <w14:ligatures w14:val="none"/>
        </w:rPr>
        <w:t xml:space="preserve"> involving 2,279 cancer patients. The study validated </w:t>
      </w:r>
      <w:r w:rsidRPr="00B13AA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Face Aging Rate (FAR)</w:t>
      </w:r>
      <w:r w:rsidRPr="00B13AA7">
        <w:rPr>
          <w:rFonts w:ascii="Tahoma" w:eastAsia="Times New Roman" w:hAnsi="Tahoma" w:cs="Tahoma"/>
          <w:kern w:val="0"/>
          <w:szCs w:val="24"/>
          <w14:ligatures w14:val="none"/>
        </w:rPr>
        <w:t>—the change in biological age between two serial photographs—as a noninvasive biomarker for cancer prognosis.</w:t>
      </w:r>
    </w:p>
    <w:p w14:paraId="584EAF1E" w14:textId="77777777" w:rsidR="00B13AA7" w:rsidRPr="00B13AA7" w:rsidRDefault="00B13AA7" w:rsidP="00B13AA7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Cs w:val="24"/>
          <w14:ligatures w14:val="none"/>
        </w:rPr>
      </w:pPr>
      <w:r w:rsidRPr="00B13AA7">
        <w:rPr>
          <w:rFonts w:ascii="Tahoma" w:eastAsia="Times New Roman" w:hAnsi="Tahoma" w:cs="Tahoma"/>
          <w:kern w:val="0"/>
          <w:szCs w:val="24"/>
          <w14:ligatures w14:val="none"/>
        </w:rPr>
        <w:t xml:space="preserve">Key findings from this study include the introduction of </w:t>
      </w:r>
      <w:r w:rsidRPr="00B13AA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FaceAge Deviation (FAD)</w:t>
      </w:r>
      <w:r w:rsidRPr="00B13AA7">
        <w:rPr>
          <w:rFonts w:ascii="Tahoma" w:eastAsia="Times New Roman" w:hAnsi="Tahoma" w:cs="Tahoma"/>
          <w:kern w:val="0"/>
          <w:szCs w:val="24"/>
          <w14:ligatures w14:val="none"/>
        </w:rPr>
        <w:t xml:space="preserve">, a metric estimating how old a patient looks relative to their chronological age. Researchers found that patients' facial aging outpaced their actual age by an average of </w:t>
      </w:r>
      <w:r w:rsidRPr="00B13AA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40%</w:t>
      </w:r>
      <w:r w:rsidRPr="00B13AA7">
        <w:rPr>
          <w:rFonts w:ascii="Tahoma" w:eastAsia="Times New Roman" w:hAnsi="Tahoma" w:cs="Tahoma"/>
          <w:kern w:val="0"/>
          <w:szCs w:val="24"/>
          <w14:ligatures w14:val="none"/>
        </w:rPr>
        <w:t xml:space="preserve">. The underlying </w:t>
      </w:r>
      <w:r w:rsidRPr="00B13AA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FAHR-Face foundation model</w:t>
      </w:r>
      <w:r w:rsidRPr="00B13AA7">
        <w:rPr>
          <w:rFonts w:ascii="Tahoma" w:eastAsia="Times New Roman" w:hAnsi="Tahoma" w:cs="Tahoma"/>
          <w:kern w:val="0"/>
          <w:szCs w:val="24"/>
          <w14:ligatures w14:val="none"/>
        </w:rPr>
        <w:t xml:space="preserve">, trained on 40 million images, revealed that patients who appeared five or more years older than their actual age faced a </w:t>
      </w:r>
      <w:r w:rsidRPr="00B13AA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21% higher mortality risk</w:t>
      </w:r>
      <w:r w:rsidRPr="00B13AA7">
        <w:rPr>
          <w:rFonts w:ascii="Tahoma" w:eastAsia="Times New Roman" w:hAnsi="Tahoma" w:cs="Tahoma"/>
          <w:kern w:val="0"/>
          <w:szCs w:val="24"/>
          <w14:ligatures w14:val="none"/>
        </w:rPr>
        <w:t>. These facial biomarkers are now being linked to systemic inflammation, hormonal stress, and even mental health relapse prediction.</w:t>
      </w:r>
    </w:p>
    <w:p w14:paraId="5DA0EEF5" w14:textId="77777777" w:rsidR="00B13AA7" w:rsidRPr="00B13AA7" w:rsidRDefault="00B13AA7" w:rsidP="00B13AA7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B13AA7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Ethics, Bias, and Cultural Modeling</w:t>
      </w:r>
    </w:p>
    <w:p w14:paraId="01FC1DC6" w14:textId="77777777" w:rsidR="00B13AA7" w:rsidRPr="00B13AA7" w:rsidRDefault="00B13AA7" w:rsidP="00B13AA7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Cs w:val="24"/>
          <w14:ligatures w14:val="none"/>
        </w:rPr>
      </w:pPr>
      <w:r w:rsidRPr="00B13AA7">
        <w:rPr>
          <w:rFonts w:ascii="Tahoma" w:eastAsia="Times New Roman" w:hAnsi="Tahoma" w:cs="Tahoma"/>
          <w:kern w:val="0"/>
          <w:szCs w:val="24"/>
          <w14:ligatures w14:val="none"/>
        </w:rPr>
        <w:t xml:space="preserve">There is a 2026 focus spike on correcting Western-centric biases. Researchers acknowledge that Western-trained systems often fail to detect </w:t>
      </w:r>
      <w:r w:rsidRPr="00B13AA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low-intensity expressions</w:t>
      </w:r>
      <w:r w:rsidRPr="00B13AA7">
        <w:rPr>
          <w:rFonts w:ascii="Tahoma" w:eastAsia="Times New Roman" w:hAnsi="Tahoma" w:cs="Tahoma"/>
          <w:kern w:val="0"/>
          <w:szCs w:val="24"/>
          <w14:ligatures w14:val="none"/>
        </w:rPr>
        <w:t xml:space="preserve"> common in many Asian cultures. Consequently, region-specific datasets for Southeast and East Asia are growing, and models are beginning to incorporate </w:t>
      </w:r>
      <w:r w:rsidRPr="00B13AA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cultural display rules</w:t>
      </w:r>
      <w:r w:rsidRPr="00B13AA7">
        <w:rPr>
          <w:rFonts w:ascii="Tahoma" w:eastAsia="Times New Roman" w:hAnsi="Tahoma" w:cs="Tahoma"/>
          <w:kern w:val="0"/>
          <w:szCs w:val="24"/>
          <w14:ligatures w14:val="none"/>
        </w:rPr>
        <w:t xml:space="preserve"> and context-aware interpretation.</w:t>
      </w:r>
    </w:p>
    <w:p w14:paraId="400EF691" w14:textId="77777777" w:rsidR="00B13AA7" w:rsidRPr="00B13AA7" w:rsidRDefault="00B13AA7" w:rsidP="00B13AA7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Cs w:val="24"/>
          <w14:ligatures w14:val="none"/>
        </w:rPr>
      </w:pPr>
      <w:r w:rsidRPr="00B13AA7">
        <w:rPr>
          <w:rFonts w:ascii="Tahoma" w:eastAsia="Times New Roman" w:hAnsi="Tahoma" w:cs="Tahoma"/>
          <w:kern w:val="0"/>
          <w:szCs w:val="24"/>
          <w14:ligatures w14:val="none"/>
        </w:rPr>
        <w:t xml:space="preserve">Additionally, the use of </w:t>
      </w:r>
      <w:r w:rsidRPr="00B13AA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synthetic affect datasets</w:t>
      </w:r>
      <w:r w:rsidRPr="00B13AA7">
        <w:rPr>
          <w:rFonts w:ascii="Tahoma" w:eastAsia="Times New Roman" w:hAnsi="Tahoma" w:cs="Tahoma"/>
          <w:kern w:val="0"/>
          <w:szCs w:val="24"/>
          <w14:ligatures w14:val="none"/>
        </w:rPr>
        <w:t xml:space="preserve"> has exploded to simulate rare emotions like grief or dissociation. However, this has created a new challenge known as </w:t>
      </w:r>
      <w:r w:rsidRPr="00B13AA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"synthetic bias amplification,"</w:t>
      </w:r>
      <w:r w:rsidRPr="00B13AA7">
        <w:rPr>
          <w:rFonts w:ascii="Tahoma" w:eastAsia="Times New Roman" w:hAnsi="Tahoma" w:cs="Tahoma"/>
          <w:kern w:val="0"/>
          <w:szCs w:val="24"/>
          <w14:ligatures w14:val="none"/>
        </w:rPr>
        <w:t xml:space="preserve"> where models inherit the clean but unrealistic patterns of the AI generators. The emerging solution is "human-in-the-loop calibration," which mixes synthetic data with sparse real-world annotations.</w:t>
      </w:r>
    </w:p>
    <w:p w14:paraId="1915F704" w14:textId="77777777" w:rsidR="00B13AA7" w:rsidRPr="00B13AA7" w:rsidRDefault="00B13AA7" w:rsidP="00B13AA7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B13AA7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Detailed Regulatory Timeline and Enforcement</w:t>
      </w:r>
    </w:p>
    <w:p w14:paraId="7AB212DD" w14:textId="77777777" w:rsidR="00B13AA7" w:rsidRPr="00B13AA7" w:rsidRDefault="00B13AA7" w:rsidP="00B13AA7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Cs w:val="24"/>
          <w14:ligatures w14:val="none"/>
        </w:rPr>
      </w:pPr>
      <w:r w:rsidRPr="00B13AA7">
        <w:rPr>
          <w:rFonts w:ascii="Tahoma" w:eastAsia="Times New Roman" w:hAnsi="Tahoma" w:cs="Tahoma"/>
          <w:kern w:val="0"/>
          <w:szCs w:val="24"/>
          <w14:ligatures w14:val="none"/>
        </w:rPr>
        <w:t>The regulatory landscape is undergoing a historic shift with the following key milestones:</w:t>
      </w:r>
    </w:p>
    <w:p w14:paraId="1C8AB441" w14:textId="77777777" w:rsidR="00B13AA7" w:rsidRPr="00B13AA7" w:rsidRDefault="00B13AA7" w:rsidP="00B13A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Cs w:val="24"/>
          <w14:ligatures w14:val="none"/>
        </w:rPr>
      </w:pPr>
      <w:r w:rsidRPr="00B13AA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lastRenderedPageBreak/>
        <w:t>February 2, 2025:</w:t>
      </w:r>
      <w:r w:rsidRPr="00B13AA7">
        <w:rPr>
          <w:rFonts w:ascii="Tahoma" w:eastAsia="Times New Roman" w:hAnsi="Tahoma" w:cs="Tahoma"/>
          <w:kern w:val="0"/>
          <w:szCs w:val="24"/>
          <w14:ligatures w14:val="none"/>
        </w:rPr>
        <w:t xml:space="preserve"> Core prohibitions under the EU AI Act took effect, including the ban on workplace and educational emotion recognition, as well as Clearview-style facial scraping.</w:t>
      </w:r>
    </w:p>
    <w:p w14:paraId="1031E0C8" w14:textId="77777777" w:rsidR="00B13AA7" w:rsidRPr="00B13AA7" w:rsidRDefault="00B13AA7" w:rsidP="00B13A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Cs w:val="24"/>
          <w14:ligatures w14:val="none"/>
        </w:rPr>
      </w:pPr>
      <w:r w:rsidRPr="00B13AA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Early 2026:</w:t>
      </w:r>
      <w:r w:rsidRPr="00B13AA7">
        <w:rPr>
          <w:rFonts w:ascii="Tahoma" w:eastAsia="Times New Roman" w:hAnsi="Tahoma" w:cs="Tahoma"/>
          <w:kern w:val="0"/>
          <w:szCs w:val="24"/>
          <w14:ligatures w14:val="none"/>
        </w:rPr>
        <w:t xml:space="preserve"> Major technical updates in explainability (MARE/EvolveReason) and deepfake detection (ViT validation) were published.</w:t>
      </w:r>
    </w:p>
    <w:p w14:paraId="648910DA" w14:textId="77777777" w:rsidR="00B13AA7" w:rsidRPr="00B13AA7" w:rsidRDefault="00B13AA7" w:rsidP="00B13A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Cs w:val="24"/>
          <w14:ligatures w14:val="none"/>
        </w:rPr>
      </w:pPr>
      <w:r w:rsidRPr="00B13AA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April 2026:</w:t>
      </w:r>
      <w:r w:rsidRPr="00B13AA7">
        <w:rPr>
          <w:rFonts w:ascii="Tahoma" w:eastAsia="Times New Roman" w:hAnsi="Tahoma" w:cs="Tahoma"/>
          <w:kern w:val="0"/>
          <w:szCs w:val="24"/>
          <w14:ligatures w14:val="none"/>
        </w:rPr>
        <w:t xml:space="preserve"> Publication of the </w:t>
      </w:r>
      <w:r w:rsidRPr="00B13AA7">
        <w:rPr>
          <w:rFonts w:ascii="Tahoma" w:eastAsia="Times New Roman" w:hAnsi="Tahoma" w:cs="Tahoma"/>
          <w:i/>
          <w:iCs/>
          <w:kern w:val="0"/>
          <w:szCs w:val="24"/>
          <w14:ligatures w14:val="none"/>
        </w:rPr>
        <w:t>Nature Communications</w:t>
      </w:r>
      <w:r w:rsidRPr="00B13AA7">
        <w:rPr>
          <w:rFonts w:ascii="Tahoma" w:eastAsia="Times New Roman" w:hAnsi="Tahoma" w:cs="Tahoma"/>
          <w:kern w:val="0"/>
          <w:szCs w:val="24"/>
          <w14:ligatures w14:val="none"/>
        </w:rPr>
        <w:t xml:space="preserve"> FaceAge study validating facial biomarkers for cancer.</w:t>
      </w:r>
    </w:p>
    <w:p w14:paraId="79585DDF" w14:textId="77777777" w:rsidR="00B13AA7" w:rsidRPr="00B13AA7" w:rsidRDefault="00B13AA7" w:rsidP="00B13A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Cs w:val="24"/>
          <w14:ligatures w14:val="none"/>
        </w:rPr>
      </w:pPr>
      <w:r w:rsidRPr="00B13AA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May 7, 2026:</w:t>
      </w:r>
      <w:r w:rsidRPr="00B13AA7">
        <w:rPr>
          <w:rFonts w:ascii="Tahoma" w:eastAsia="Times New Roman" w:hAnsi="Tahoma" w:cs="Tahoma"/>
          <w:kern w:val="0"/>
          <w:szCs w:val="24"/>
          <w14:ligatures w14:val="none"/>
        </w:rPr>
        <w:t xml:space="preserve"> The </w:t>
      </w:r>
      <w:r w:rsidRPr="00B13AA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EU AI Act Omnibus agreement</w:t>
      </w:r>
      <w:r w:rsidRPr="00B13AA7">
        <w:rPr>
          <w:rFonts w:ascii="Tahoma" w:eastAsia="Times New Roman" w:hAnsi="Tahoma" w:cs="Tahoma"/>
          <w:kern w:val="0"/>
          <w:szCs w:val="24"/>
          <w14:ligatures w14:val="none"/>
        </w:rPr>
        <w:t xml:space="preserve"> was reached, deferring compliance for "high-risk" Annex III systems (like recruitment and education tools) to </w:t>
      </w:r>
      <w:r w:rsidRPr="00B13AA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December 2, 2027</w:t>
      </w:r>
      <w:r w:rsidRPr="00B13AA7">
        <w:rPr>
          <w:rFonts w:ascii="Tahoma" w:eastAsia="Times New Roman" w:hAnsi="Tahoma" w:cs="Tahoma"/>
          <w:kern w:val="0"/>
          <w:szCs w:val="24"/>
          <w14:ligatures w14:val="none"/>
        </w:rPr>
        <w:t xml:space="preserve">, and product-embedded Annex I systems to </w:t>
      </w:r>
      <w:r w:rsidRPr="00B13AA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August 2, 2028</w:t>
      </w:r>
      <w:r w:rsidRPr="00B13AA7">
        <w:rPr>
          <w:rFonts w:ascii="Tahoma" w:eastAsia="Times New Roman" w:hAnsi="Tahoma" w:cs="Tahoma"/>
          <w:kern w:val="0"/>
          <w:szCs w:val="24"/>
          <w14:ligatures w14:val="none"/>
        </w:rPr>
        <w:t>.</w:t>
      </w:r>
    </w:p>
    <w:p w14:paraId="4E163CAE" w14:textId="77777777" w:rsidR="00B13AA7" w:rsidRPr="00B13AA7" w:rsidRDefault="00B13AA7" w:rsidP="00B13A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Cs w:val="24"/>
          <w14:ligatures w14:val="none"/>
        </w:rPr>
      </w:pPr>
      <w:r w:rsidRPr="00B13AA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August 2, 2026:</w:t>
      </w:r>
      <w:r w:rsidRPr="00B13AA7">
        <w:rPr>
          <w:rFonts w:ascii="Tahoma" w:eastAsia="Times New Roman" w:hAnsi="Tahoma" w:cs="Tahoma"/>
          <w:kern w:val="0"/>
          <w:szCs w:val="24"/>
          <w14:ligatures w14:val="none"/>
        </w:rPr>
        <w:t xml:space="preserve"> This is the next major enforcement deadline. It marks the activation of rules for police facial recognition, employment AI restrictions, and </w:t>
      </w:r>
      <w:r w:rsidRPr="00B13AA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Article 50 transparency obligations</w:t>
      </w:r>
      <w:r w:rsidRPr="00B13AA7">
        <w:rPr>
          <w:rFonts w:ascii="Tahoma" w:eastAsia="Times New Roman" w:hAnsi="Tahoma" w:cs="Tahoma"/>
          <w:kern w:val="0"/>
          <w:szCs w:val="24"/>
          <w14:ligatures w14:val="none"/>
        </w:rPr>
        <w:t>. These obligations mandate that any interactive AI, emotion recognition system, or deepfake must be explicitly disclosed to the user.</w:t>
      </w:r>
    </w:p>
    <w:p w14:paraId="4622C50A" w14:textId="77777777" w:rsidR="00B13AA7" w:rsidRPr="00B13AA7" w:rsidRDefault="00B13AA7" w:rsidP="00B13A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Cs w:val="24"/>
          <w14:ligatures w14:val="none"/>
        </w:rPr>
      </w:pPr>
      <w:r w:rsidRPr="00B13AA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Current Action (June 2026):</w:t>
      </w:r>
      <w:r w:rsidRPr="00B13AA7">
        <w:rPr>
          <w:rFonts w:ascii="Tahoma" w:eastAsia="Times New Roman" w:hAnsi="Tahoma" w:cs="Tahoma"/>
          <w:kern w:val="0"/>
          <w:szCs w:val="24"/>
          <w14:ligatures w14:val="none"/>
        </w:rPr>
        <w:t xml:space="preserve"> The European Commission's AI Office has already begun "technical compliance dialogues" with providers. Many companies are actively withdrawing emotion recognition features from the EU market or reframing them as </w:t>
      </w:r>
      <w:r w:rsidRPr="00B13AA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"user-state feedback tools"</w:t>
      </w:r>
      <w:r w:rsidRPr="00B13AA7">
        <w:rPr>
          <w:rFonts w:ascii="Tahoma" w:eastAsia="Times New Roman" w:hAnsi="Tahoma" w:cs="Tahoma"/>
          <w:kern w:val="0"/>
          <w:szCs w:val="24"/>
          <w14:ligatures w14:val="none"/>
        </w:rPr>
        <w:t xml:space="preserve"> for self-reflection rather than "inferential" surveillance systems.</w:t>
      </w:r>
    </w:p>
    <w:p w14:paraId="3EEDE4B4" w14:textId="77777777" w:rsidR="00B13AA7" w:rsidRPr="00B13AA7" w:rsidRDefault="00B13AA7" w:rsidP="00B13AA7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B13AA7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Assistive Technology and Permissible Uses</w:t>
      </w:r>
    </w:p>
    <w:p w14:paraId="476B9F96" w14:textId="77777777" w:rsidR="00B13AA7" w:rsidRPr="00B13AA7" w:rsidRDefault="00B13AA7" w:rsidP="00B13AA7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Cs w:val="24"/>
          <w14:ligatures w14:val="none"/>
        </w:rPr>
      </w:pPr>
      <w:r w:rsidRPr="00B13AA7">
        <w:rPr>
          <w:rFonts w:ascii="Tahoma" w:eastAsia="Times New Roman" w:hAnsi="Tahoma" w:cs="Tahoma"/>
          <w:kern w:val="0"/>
          <w:szCs w:val="24"/>
          <w14:ligatures w14:val="none"/>
        </w:rPr>
        <w:t xml:space="preserve">The distinction between prohibited commercial uses and </w:t>
      </w:r>
      <w:r w:rsidRPr="00B13AA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permissible assistive applications</w:t>
      </w:r>
      <w:r w:rsidRPr="00B13AA7">
        <w:rPr>
          <w:rFonts w:ascii="Tahoma" w:eastAsia="Times New Roman" w:hAnsi="Tahoma" w:cs="Tahoma"/>
          <w:kern w:val="0"/>
          <w:szCs w:val="24"/>
          <w14:ligatures w14:val="none"/>
        </w:rPr>
        <w:t xml:space="preserve"> is a critical nuance in 2026. For example, a </w:t>
      </w:r>
      <w:r w:rsidRPr="00B13AA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2026 King Saud University study</w:t>
      </w:r>
      <w:r w:rsidRPr="00B13AA7">
        <w:rPr>
          <w:rFonts w:ascii="Tahoma" w:eastAsia="Times New Roman" w:hAnsi="Tahoma" w:cs="Tahoma"/>
          <w:kern w:val="0"/>
          <w:szCs w:val="24"/>
          <w14:ligatures w14:val="none"/>
        </w:rPr>
        <w:t xml:space="preserve"> introduced a context-aware FER system specifically for hearing-impaired individuals, using LLMs and neural network-based feature fusion to assist with communication. Similar permissible uses include screening for pain in dementia patients or autism screening.</w:t>
      </w:r>
    </w:p>
    <w:p w14:paraId="257BDF68" w14:textId="77777777" w:rsidR="006A52B8" w:rsidRPr="00B13AA7" w:rsidRDefault="006A52B8">
      <w:pPr>
        <w:rPr>
          <w:rFonts w:ascii="Tahoma" w:hAnsi="Tahoma" w:cs="Tahoma"/>
        </w:rPr>
      </w:pPr>
    </w:p>
    <w:sectPr w:rsidR="006A52B8" w:rsidRPr="00B13A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5A18B3"/>
    <w:multiLevelType w:val="multilevel"/>
    <w:tmpl w:val="9664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801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AA7"/>
    <w:rsid w:val="003E799E"/>
    <w:rsid w:val="006A52B8"/>
    <w:rsid w:val="008519E9"/>
    <w:rsid w:val="00B13AA7"/>
    <w:rsid w:val="00E45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B0BB31"/>
  <w15:chartTrackingRefBased/>
  <w15:docId w15:val="{9707011A-8C2F-0946-A955-CAFA6B18F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3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3A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A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AA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AA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B13AA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A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A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A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A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A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A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13AA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13AA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13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AA7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A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A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A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AA7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A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13A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B13AA7"/>
    <w:rPr>
      <w:b/>
      <w:bCs/>
    </w:rPr>
  </w:style>
  <w:style w:type="character" w:styleId="Emphasis">
    <w:name w:val="Emphasis"/>
    <w:basedOn w:val="DefaultParagraphFont"/>
    <w:uiPriority w:val="20"/>
    <w:qFormat/>
    <w:rsid w:val="00B13AA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1038</Words>
  <Characters>5917</Characters>
  <Application>Microsoft Office Word</Application>
  <DocSecurity>0</DocSecurity>
  <Lines>49</Lines>
  <Paragraphs>13</Paragraphs>
  <ScaleCrop>false</ScaleCrop>
  <Company/>
  <LinksUpToDate>false</LinksUpToDate>
  <CharactersWithSpaces>6942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 Kullachart Ekvoratham</dc:creator>
  <cp:keywords/>
  <dc:description/>
  <cp:lastModifiedBy>Kai Kullachart Ekvoratham</cp:lastModifiedBy>
  <cp:revision>1</cp:revision>
  <dcterms:created xsi:type="dcterms:W3CDTF">2026-06-13T02:02:00Z</dcterms:created>
  <dcterms:modified xsi:type="dcterms:W3CDTF">2026-06-13T02:05:00Z</dcterms:modified>
</cp:coreProperties>
</file>