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A08CE" w14:textId="77777777" w:rsidR="004F7557" w:rsidRDefault="00000000">
      <w:pPr>
        <w:spacing w:before="800" w:after="100"/>
        <w:jc w:val="center"/>
      </w:pPr>
      <w:r>
        <w:rPr>
          <w:b/>
          <w:bCs/>
          <w:color w:val="1F3864"/>
          <w:sz w:val="48"/>
          <w:szCs w:val="48"/>
        </w:rPr>
        <w:t>Literature Review Notes</w:t>
      </w:r>
    </w:p>
    <w:p w14:paraId="435A08CF" w14:textId="77777777" w:rsidR="004F7557" w:rsidRDefault="00000000">
      <w:pPr>
        <w:spacing w:after="400"/>
        <w:jc w:val="center"/>
      </w:pPr>
      <w:r>
        <w:rPr>
          <w:color w:val="2E74B5"/>
          <w:sz w:val="28"/>
          <w:szCs w:val="28"/>
        </w:rPr>
        <w:t>Lessons Learned from CVPR 2026 Awarded Papers</w:t>
      </w:r>
    </w:p>
    <w:p w14:paraId="435A08D0" w14:textId="77777777" w:rsidR="004F7557" w:rsidRDefault="00000000">
      <w:pPr>
        <w:spacing w:after="400"/>
        <w:jc w:val="center"/>
      </w:pPr>
      <w:r>
        <w:rPr>
          <w:i/>
          <w:iCs/>
          <w:color w:val="555555"/>
        </w:rPr>
        <w:t>Compiled from personal reading notes on five awarded CVPR 2026 papers, covering per-paper summaries and a cross-paper thematic synthesis of research lessons.</w:t>
      </w:r>
    </w:p>
    <w:p w14:paraId="435A08D1" w14:textId="77777777" w:rsidR="004F7557" w:rsidRDefault="00000000">
      <w:r>
        <w:br w:type="page"/>
      </w:r>
    </w:p>
    <w:p w14:paraId="435A08D2" w14:textId="77777777" w:rsidR="004F7557" w:rsidRDefault="00000000">
      <w:pPr>
        <w:pStyle w:val="Heading1"/>
      </w:pPr>
      <w:r>
        <w:lastRenderedPageBreak/>
        <w:t>Contents</w:t>
      </w:r>
    </w:p>
    <w:p w14:paraId="435A08D3" w14:textId="77777777" w:rsidR="004F7557" w:rsidRDefault="00000000">
      <w:pPr>
        <w:spacing w:after="120"/>
      </w:pPr>
      <w:r>
        <w:t>Part I — Per-Paper Summaries</w:t>
      </w:r>
    </w:p>
    <w:p w14:paraId="435A08D4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1. SAM 3D: 3Dfy Anything in Images (Meta)</w:t>
      </w:r>
    </w:p>
    <w:p w14:paraId="435A08D5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2. </w:t>
      </w:r>
      <w:proofErr w:type="spellStart"/>
      <w:r>
        <w:t>ChordEdit</w:t>
      </w:r>
      <w:proofErr w:type="spellEnd"/>
      <w:r>
        <w:t>: Chord Control Field for One-Step Image Editing</w:t>
      </w:r>
    </w:p>
    <w:p w14:paraId="435A08D6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3. Native and Compact Structured </w:t>
      </w:r>
      <w:proofErr w:type="spellStart"/>
      <w:r>
        <w:t>Latents</w:t>
      </w:r>
      <w:proofErr w:type="spellEnd"/>
      <w:r>
        <w:t xml:space="preserve"> for 3D Generation (TRELLIS 2)</w:t>
      </w:r>
    </w:p>
    <w:p w14:paraId="435A08D7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4. NITROGEN: An Open Foundation Model for Generalist Gaming Agents</w:t>
      </w:r>
    </w:p>
    <w:p w14:paraId="435A08D8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5. Efficiently Reconstructing Dynamic Scenes One D4RT at a Time</w:t>
      </w:r>
    </w:p>
    <w:p w14:paraId="435A08D9" w14:textId="77777777" w:rsidR="004F7557" w:rsidRDefault="00000000">
      <w:pPr>
        <w:spacing w:after="120"/>
      </w:pPr>
      <w:r>
        <w:t>Part II — Cross-Paper Thematic Synthesis</w:t>
      </w:r>
    </w:p>
    <w:p w14:paraId="435A08DA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Theme 1: Reframe the Problem, Don't Just Optimize the Old One</w:t>
      </w:r>
    </w:p>
    <w:p w14:paraId="435A08DB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Theme 2: Solve the Data Bottleneck Creatively</w:t>
      </w:r>
    </w:p>
    <w:p w14:paraId="435A08DC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Theme 3: Decouple and Modularize Complex Systems</w:t>
      </w:r>
    </w:p>
    <w:p w14:paraId="435A08DD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Theme 4: Prioritize Efficiency Over Brute-Force Scaling</w:t>
      </w:r>
    </w:p>
    <w:p w14:paraId="435A08DE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Theme 5: Ground Empirical Wins in Theory and Ablations</w:t>
      </w:r>
    </w:p>
    <w:p w14:paraId="435A08DF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Theme 6: Build the Benchmark, Not Just the Model</w:t>
      </w:r>
    </w:p>
    <w:p w14:paraId="435A08E0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Theme 7: Borrow Proven Paradigms Across Domains</w:t>
      </w:r>
    </w:p>
    <w:p w14:paraId="435A08E1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Theme 8: Honesty About Limitations Builds Reviewer Trust</w:t>
      </w:r>
    </w:p>
    <w:p w14:paraId="435A08E2" w14:textId="77777777" w:rsidR="004F7557" w:rsidRDefault="00000000">
      <w:pPr>
        <w:spacing w:after="120"/>
      </w:pPr>
      <w:r>
        <w:t>Part III — Summary Comparison Table</w:t>
      </w:r>
    </w:p>
    <w:p w14:paraId="435A08E3" w14:textId="77777777" w:rsidR="004F7557" w:rsidRDefault="00000000">
      <w:r>
        <w:br w:type="page"/>
      </w:r>
    </w:p>
    <w:p w14:paraId="435A08E4" w14:textId="77777777" w:rsidR="004F7557" w:rsidRDefault="00000000">
      <w:pPr>
        <w:pStyle w:val="Heading1"/>
      </w:pPr>
      <w:r>
        <w:lastRenderedPageBreak/>
        <w:t>Part I — Per-Paper Summaries</w:t>
      </w:r>
    </w:p>
    <w:p w14:paraId="435A08E5" w14:textId="77777777" w:rsidR="004F7557" w:rsidRDefault="00000000">
      <w:pPr>
        <w:pStyle w:val="Heading2"/>
      </w:pPr>
      <w:r>
        <w:t>1. SAM 3D: 3Dfy Anything in Images</w:t>
      </w:r>
    </w:p>
    <w:p w14:paraId="435A08E6" w14:textId="77777777" w:rsidR="004F7557" w:rsidRDefault="00000000">
      <w:pPr>
        <w:spacing w:after="200"/>
      </w:pPr>
      <w:r>
        <w:rPr>
          <w:b/>
          <w:bCs/>
          <w:i/>
          <w:iCs/>
          <w:color w:val="555555"/>
        </w:rPr>
        <w:t xml:space="preserve">Organization: </w:t>
      </w:r>
      <w:r>
        <w:rPr>
          <w:i/>
          <w:iCs/>
          <w:color w:val="555555"/>
        </w:rPr>
        <w:t>Meta</w:t>
      </w:r>
    </w:p>
    <w:p w14:paraId="435A08E7" w14:textId="77777777" w:rsidR="004F7557" w:rsidRDefault="00000000">
      <w:pPr>
        <w:spacing w:after="200"/>
      </w:pPr>
      <w:r>
        <w:rPr>
          <w:b/>
          <w:bCs/>
          <w:i/>
          <w:iCs/>
          <w:color w:val="555555"/>
        </w:rPr>
        <w:t xml:space="preserve">Core Contribution: </w:t>
      </w:r>
      <w:r>
        <w:rPr>
          <w:i/>
          <w:iCs/>
          <w:color w:val="555555"/>
        </w:rPr>
        <w:t xml:space="preserve">Foundation model predicting 3D geometry, texture, and </w:t>
      </w:r>
      <w:proofErr w:type="gramStart"/>
      <w:r>
        <w:rPr>
          <w:i/>
          <w:iCs/>
          <w:color w:val="555555"/>
        </w:rPr>
        <w:t>pose</w:t>
      </w:r>
      <w:proofErr w:type="gramEnd"/>
      <w:r>
        <w:rPr>
          <w:i/>
          <w:iCs/>
          <w:color w:val="555555"/>
        </w:rPr>
        <w:t xml:space="preserve"> from a single real-world image, even in cluttered/occluded scenes</w:t>
      </w:r>
    </w:p>
    <w:p w14:paraId="435A08E8" w14:textId="77777777" w:rsidR="004F7557" w:rsidRDefault="00000000">
      <w:pPr>
        <w:pStyle w:val="Heading3"/>
      </w:pPr>
      <w:r>
        <w:t>Lessons Learnt</w:t>
      </w:r>
    </w:p>
    <w:p w14:paraId="435A08E9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Redesign impossible annotation tasks into simple human choices — let the AI generate proposals and re-role humans as curators/aligners rather than creators from scratch.</w:t>
      </w:r>
    </w:p>
    <w:p w14:paraId="435A08EA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Implement a “virtuous cycle” (Model-in-the-Loop): human corrections retrain the model, the better model improves baseline predictions, annotation speed rises, and data volume scales exponentially.</w:t>
      </w:r>
    </w:p>
    <w:p w14:paraId="435A08EB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Use tiered human expertise — route standard cases to generalist annotators and escalate only the hardest edge cases to expensive specialists (professional 3D artists).</w:t>
      </w:r>
    </w:p>
    <w:p w14:paraId="435A08EC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Borrow proven training paradigms from other domains — the multi-stage LLM training recipe (pretrain → mid-train → post-train) transfers to solve 3D data scarcity.</w:t>
      </w:r>
    </w:p>
    <w:p w14:paraId="435A08ED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Synthetic pretraining generalizes well to real-world data, provided a robust post-training/alignment phase follows.</w:t>
      </w:r>
    </w:p>
    <w:p w14:paraId="435A08EE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To lead a field, define how it's measured — building a rigorous benchmark is as valuable as the model itself.</w:t>
      </w:r>
    </w:p>
    <w:p w14:paraId="435A08EF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Accept information loss in ill-posed problems — shift from deterministic calculation to modeling a conditional probability distribution when key data (e.g. </w:t>
      </w:r>
      <w:proofErr w:type="gramStart"/>
      <w:r>
        <w:t>occluded</w:t>
      </w:r>
      <w:proofErr w:type="gramEnd"/>
      <w:r>
        <w:t xml:space="preserve"> geometry) is unrecoverable.</w:t>
      </w:r>
    </w:p>
    <w:p w14:paraId="435A08F0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Disentangle complex outputs into modular sub-properties (geometry, texture, pose) rather than generating everything jointly.</w:t>
      </w:r>
    </w:p>
    <w:p w14:paraId="435A08F1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Use explicit masks as conditioning signals to isolate the target object while still letting global image context inform lighting/scale/depth.</w:t>
      </w:r>
    </w:p>
    <w:p w14:paraId="435A08F2" w14:textId="77777777" w:rsidR="004F7557" w:rsidRDefault="00000000">
      <w:pPr>
        <w:pStyle w:val="Heading3"/>
      </w:pPr>
      <w:r>
        <w:t>Key Takeaways</w:t>
      </w:r>
    </w:p>
    <w:p w14:paraId="435A08F3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Solves the “data barrier” in 3D AI via a Model-in-the-Loop (MITL) data engine that scaled to ~1M real-world images and 3M+ </w:t>
      </w:r>
      <w:proofErr w:type="gramStart"/>
      <w:r>
        <w:t>meshes</w:t>
      </w:r>
      <w:proofErr w:type="gramEnd"/>
      <w:r>
        <w:t>, with the model eventually generating 80% of successful annotations.</w:t>
      </w:r>
    </w:p>
    <w:p w14:paraId="435A08F4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Adapts an LLM-style multi-stage recipe: supervised pretraining on synthetic data → mid-training on semi-synthetic composites → post-training/alignment on human-vetted real images.</w:t>
      </w:r>
    </w:p>
    <w:p w14:paraId="435A08F5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Achieved a 5:1 human preference win rate over prior state-of-the-art in blind tests.</w:t>
      </w:r>
    </w:p>
    <w:p w14:paraId="435A08F6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Released the SA-3DAO benchmark (1,000 real image–3D pairs, professional-artist quality) plus code, weights, and an interactive demo.</w:t>
      </w:r>
    </w:p>
    <w:p w14:paraId="435A08F7" w14:textId="77777777" w:rsidR="004F7557" w:rsidRDefault="00000000">
      <w:pPr>
        <w:pStyle w:val="Heading3"/>
      </w:pPr>
      <w:r>
        <w:t>Why the Paper Was Awarded</w:t>
      </w:r>
    </w:p>
    <w:p w14:paraId="435A08F8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Reframes 3D reconstruction as conditional probabilistic generation (via Latent Flow Matching) rather than deterministic geometric optimization — a genuine paradigm shift.</w:t>
      </w:r>
    </w:p>
    <w:p w14:paraId="435A08F9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A “masterclass in data engineering” — the MITL engine turns an intractable annotation problem into a scalable curation problem.</w:t>
      </w:r>
    </w:p>
    <w:p w14:paraId="435A08FA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Cross-disciplinary translation of LLM training alignment (pretrain → SFT → DPO) into 3D spatial geometry, including using DPO for visual self-correction.</w:t>
      </w:r>
    </w:p>
    <w:p w14:paraId="435A08FB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lastRenderedPageBreak/>
        <w:t>Resource-conscious architecture: an asymmetric split between a 1.2B-parameter Mixture-of-Transformers geometry model and a lighter 600M-parameter texture/refinement model.</w:t>
      </w:r>
    </w:p>
    <w:p w14:paraId="435A08FC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Strategic cost management — expensive artist time reserved for the final ~10% of edge-case refinement.</w:t>
      </w:r>
    </w:p>
    <w:p w14:paraId="435A08FD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Dual-context grounding — feeding the encoder </w:t>
      </w:r>
      <w:proofErr w:type="gramStart"/>
      <w:r>
        <w:t>both</w:t>
      </w:r>
      <w:proofErr w:type="gramEnd"/>
      <w:r>
        <w:t xml:space="preserve"> a tight object mask and the full scene for physically coherent reconstructions.</w:t>
      </w:r>
    </w:p>
    <w:p w14:paraId="435A08FE" w14:textId="77777777" w:rsidR="004F7557" w:rsidRDefault="004F7557">
      <w:pPr>
        <w:pBdr>
          <w:bottom w:val="single" w:sz="6" w:space="1" w:color="CCCCCC"/>
        </w:pBdr>
        <w:spacing w:after="300"/>
      </w:pPr>
    </w:p>
    <w:p w14:paraId="435A08FF" w14:textId="77777777" w:rsidR="004F7557" w:rsidRDefault="00000000">
      <w:pPr>
        <w:pStyle w:val="Heading2"/>
      </w:pPr>
      <w:r>
        <w:t xml:space="preserve">2. </w:t>
      </w:r>
      <w:proofErr w:type="spellStart"/>
      <w:r>
        <w:t>ChordEdit</w:t>
      </w:r>
      <w:proofErr w:type="spellEnd"/>
      <w:r>
        <w:t>: Chord Control Field for One-Step Image Editing</w:t>
      </w:r>
    </w:p>
    <w:p w14:paraId="435A0900" w14:textId="77777777" w:rsidR="004F7557" w:rsidRDefault="00000000">
      <w:pPr>
        <w:spacing w:after="200"/>
      </w:pPr>
      <w:r>
        <w:rPr>
          <w:b/>
          <w:bCs/>
          <w:i/>
          <w:iCs/>
          <w:color w:val="555555"/>
        </w:rPr>
        <w:t xml:space="preserve">Award: </w:t>
      </w:r>
      <w:r>
        <w:rPr>
          <w:i/>
          <w:iCs/>
          <w:color w:val="555555"/>
        </w:rPr>
        <w:t>Best Student Paper Honorable Mention</w:t>
      </w:r>
    </w:p>
    <w:p w14:paraId="435A0901" w14:textId="77777777" w:rsidR="004F7557" w:rsidRDefault="00000000">
      <w:pPr>
        <w:spacing w:after="200"/>
      </w:pPr>
      <w:r>
        <w:rPr>
          <w:b/>
          <w:bCs/>
          <w:i/>
          <w:iCs/>
          <w:color w:val="555555"/>
        </w:rPr>
        <w:t xml:space="preserve">Core Contribution: </w:t>
      </w:r>
      <w:r>
        <w:rPr>
          <w:i/>
          <w:iCs/>
          <w:color w:val="555555"/>
        </w:rPr>
        <w:t>Training-free, inversion-free, one-step text-guided image editing built on a theoretically grounded control field</w:t>
      </w:r>
    </w:p>
    <w:p w14:paraId="435A0902" w14:textId="77777777" w:rsidR="004F7557" w:rsidRDefault="00000000">
      <w:pPr>
        <w:pStyle w:val="Heading3"/>
      </w:pPr>
      <w:r>
        <w:t>Lessons Learnt</w:t>
      </w:r>
    </w:p>
    <w:p w14:paraId="435A0903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Dig into the root cause instead of applying heuristic band-aids — rather than adding masks or post-processing networks to fix distortion, the authors diagnosed that naive drift differencing produces a high-energy control field with large truncation error over one integration step.</w:t>
      </w:r>
    </w:p>
    <w:p w14:paraId="435A0904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Recast messy empirical deep-learning artifacts as classical mathematical problems — reframing editing as distribution estimation under </w:t>
      </w:r>
      <w:proofErr w:type="spellStart"/>
      <w:r>
        <w:t>Benamou</w:t>
      </w:r>
      <w:proofErr w:type="spellEnd"/>
      <w:r>
        <w:t>-Brenier dynamic Optimal Transport yielded a convex quadratic surrogate for a smooth, low-energy trajectory.</w:t>
      </w:r>
    </w:p>
    <w:p w14:paraId="435A0905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Reduce sampling variance through structural/geometric design rather than more </w:t>
      </w:r>
      <w:proofErr w:type="gramStart"/>
      <w:r>
        <w:t>compute —</w:t>
      </w:r>
      <w:proofErr w:type="gramEnd"/>
      <w:r>
        <w:t xml:space="preserve"> the Chord Control Field's temporal smoothing intrinsically lowers estimator variance, enabling a single noise sample (n = 1) instead of multiple.</w:t>
      </w:r>
    </w:p>
    <w:p w14:paraId="435A0906" w14:textId="77777777" w:rsidR="004F7557" w:rsidRDefault="00000000">
      <w:pPr>
        <w:pStyle w:val="Heading3"/>
      </w:pPr>
      <w:r>
        <w:t>Key Takeaways</w:t>
      </w:r>
    </w:p>
    <w:p w14:paraId="435A0907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Core innovation — the Chord Control Field (CCF) replaces the naive instantaneous drift difference with a causal, one-sided kernel-smoothing operator that time-averages proxy fields over a short window.</w:t>
      </w:r>
    </w:p>
    <w:p w14:paraId="435A0908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By Jensen's inequality, this averaging acts as an L²-contraction that suppresses high-energy spikes, shrinking truncation error and enabling a single large integration step (h = 1).</w:t>
      </w:r>
    </w:p>
    <w:p w14:paraId="435A0909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Two-stage modular design: structure-preserving transport (NFE = 1) followed by optional proximal refinement (NFE = 1) that amplifies target semantics without disturbing established geometry.</w:t>
      </w:r>
    </w:p>
    <w:p w14:paraId="435A090A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State-of-the-art efficiency — 0.38s runtime, under 7,000 MiB VRAM, less than half the VRAM of prior one-step competitors (e.g., </w:t>
      </w:r>
      <w:proofErr w:type="spellStart"/>
      <w:r>
        <w:t>SwiftEdit</w:t>
      </w:r>
      <w:proofErr w:type="spellEnd"/>
      <w:r>
        <w:t>).</w:t>
      </w:r>
    </w:p>
    <w:p w14:paraId="435A090B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Pareto-dominates naive baselines across multiple text-to-image backbones (</w:t>
      </w:r>
      <w:proofErr w:type="spellStart"/>
      <w:r>
        <w:t>InstaFlow</w:t>
      </w:r>
      <w:proofErr w:type="spellEnd"/>
      <w:r>
        <w:t>, SwiftBrush-v2, SD-Turbo), demonstrating model-agnostic robustness.</w:t>
      </w:r>
    </w:p>
    <w:p w14:paraId="435A090C" w14:textId="77777777" w:rsidR="004F7557" w:rsidRDefault="00000000">
      <w:pPr>
        <w:pStyle w:val="Heading3"/>
      </w:pPr>
      <w:r>
        <w:t>Why the Paper Was Awarded</w:t>
      </w:r>
    </w:p>
    <w:p w14:paraId="435A090D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Eliminated the historical editing trilemma by being simultaneously training-free, inversion-free, and one-step real-time capable.</w:t>
      </w:r>
    </w:p>
    <w:p w14:paraId="435A090E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True model agnosticism — treats target models as black-box velocity/noise queriers, so future faster backbones can adopt it without modification.</w:t>
      </w:r>
    </w:p>
    <w:p w14:paraId="435A090F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Theoretically sound — provides rigorous global error bounds and contraction proofs, bridging empirical results with mathematical theory.</w:t>
      </w:r>
    </w:p>
    <w:p w14:paraId="435A0910" w14:textId="77777777" w:rsidR="004F7557" w:rsidRDefault="004F7557">
      <w:pPr>
        <w:pBdr>
          <w:bottom w:val="single" w:sz="6" w:space="1" w:color="CCCCCC"/>
        </w:pBdr>
        <w:spacing w:after="300"/>
      </w:pPr>
    </w:p>
    <w:p w14:paraId="435A0911" w14:textId="77777777" w:rsidR="004F7557" w:rsidRDefault="00000000">
      <w:pPr>
        <w:pStyle w:val="Heading2"/>
      </w:pPr>
      <w:r>
        <w:lastRenderedPageBreak/>
        <w:t xml:space="preserve">3. Native and Compact Structured </w:t>
      </w:r>
      <w:proofErr w:type="spellStart"/>
      <w:r>
        <w:t>Latents</w:t>
      </w:r>
      <w:proofErr w:type="spellEnd"/>
      <w:r>
        <w:t xml:space="preserve"> for 3D Generation</w:t>
      </w:r>
    </w:p>
    <w:p w14:paraId="435A0912" w14:textId="77777777" w:rsidR="004F7557" w:rsidRDefault="00000000">
      <w:pPr>
        <w:spacing w:after="200"/>
      </w:pPr>
      <w:r>
        <w:rPr>
          <w:b/>
          <w:bCs/>
          <w:i/>
          <w:iCs/>
          <w:color w:val="555555"/>
        </w:rPr>
        <w:t xml:space="preserve">Framework Name: </w:t>
      </w:r>
      <w:r>
        <w:rPr>
          <w:i/>
          <w:iCs/>
          <w:color w:val="555555"/>
        </w:rPr>
        <w:t>TRELLIS 2</w:t>
      </w:r>
    </w:p>
    <w:p w14:paraId="435A0913" w14:textId="77777777" w:rsidR="004F7557" w:rsidRDefault="00000000">
      <w:pPr>
        <w:spacing w:after="200"/>
      </w:pPr>
      <w:r>
        <w:rPr>
          <w:b/>
          <w:bCs/>
          <w:i/>
          <w:iCs/>
          <w:color w:val="555555"/>
        </w:rPr>
        <w:t xml:space="preserve">Core Contribution: </w:t>
      </w:r>
      <w:r>
        <w:rPr>
          <w:i/>
          <w:iCs/>
          <w:color w:val="555555"/>
        </w:rPr>
        <w:t>A field-free, sparse structured latent representation (O-Voxel) and SC-VAE enabling large-scale, PBR-ready 3D generative modeling</w:t>
      </w:r>
    </w:p>
    <w:p w14:paraId="435A0914" w14:textId="77777777" w:rsidR="004F7557" w:rsidRDefault="00000000">
      <w:pPr>
        <w:pStyle w:val="Heading3"/>
      </w:pPr>
      <w:r>
        <w:t>Lessons Learnt</w:t>
      </w:r>
    </w:p>
    <w:p w14:paraId="435A0915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Match neural operations to data sparsity — dense 3D convolutions waste FLOPs on empty space; the Sparse Compression VAE (SC-VAE) uses sparse convolutions throughout and a Sparse Residual Autoencoding design to avoid the “dilation effect” during down/</w:t>
      </w:r>
      <w:proofErr w:type="spellStart"/>
      <w:r>
        <w:t>upsampling</w:t>
      </w:r>
      <w:proofErr w:type="spellEnd"/>
      <w:r>
        <w:t>.</w:t>
      </w:r>
    </w:p>
    <w:p w14:paraId="435A0916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Modernize residual blocks — replacing classic dual-convolution residual blocks with a single sparse convolution plus a wide pointwise MLP (mimicking a Transformer FFN) improves feature-transformation efficiency.</w:t>
      </w:r>
    </w:p>
    <w:p w14:paraId="435A0917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Decouple generation into progressive stages — generating structure, geometry, and material jointly destabilizes training; a three-stage pipeline (sparse structure → geometry → material) works best.</w:t>
      </w:r>
    </w:p>
    <w:p w14:paraId="435A0918" w14:textId="77777777" w:rsidR="004F7557" w:rsidRDefault="00000000">
      <w:pPr>
        <w:pStyle w:val="Heading3"/>
      </w:pPr>
      <w:r>
        <w:t>Key Takeaways</w:t>
      </w:r>
    </w:p>
    <w:p w14:paraId="435A0919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Shifts from implicit fields (</w:t>
      </w:r>
      <w:proofErr w:type="spellStart"/>
      <w:r>
        <w:t>NeRFs</w:t>
      </w:r>
      <w:proofErr w:type="spellEnd"/>
      <w:r>
        <w:t xml:space="preserve">, SDFs, 3D Gaussian Splatting) to a field-free native representation (O-Voxel, a dual-grid structure) that better captures sharp edges and non-manifold </w:t>
      </w:r>
      <w:proofErr w:type="gramStart"/>
      <w:r>
        <w:t>topologies, and</w:t>
      </w:r>
      <w:proofErr w:type="gramEnd"/>
      <w:r>
        <w:t xml:space="preserve"> enables near-instant Mesh ↔ Voxel conversion.</w:t>
      </w:r>
    </w:p>
    <w:p w14:paraId="435A091A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High-ratio spatial compression is the gateway to large 3D models — a 16× spatial compression (1024³ grid → ~9.6K latent tokens) solves the 3D token-explosion problem and makes training a 4B-parameter Flow-Matching Transformer viable.</w:t>
      </w:r>
    </w:p>
    <w:p w14:paraId="435A091B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Natively integrates </w:t>
      </w:r>
      <w:proofErr w:type="gramStart"/>
      <w:r>
        <w:t>Physically-Based</w:t>
      </w:r>
      <w:proofErr w:type="gramEnd"/>
      <w:r>
        <w:t xml:space="preserve"> Rendering (PBR) attributes (base color, roughness, metallic, opacity) directly into the sparse structure, so outputs are immediately usable in engines like Unreal, Unity, and Blender.</w:t>
      </w:r>
    </w:p>
    <w:p w14:paraId="435A091C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Generates studio-grade, full-PBR 1536³ assets in about one minute on a single GPU.</w:t>
      </w:r>
    </w:p>
    <w:p w14:paraId="435A091D" w14:textId="77777777" w:rsidR="004F7557" w:rsidRDefault="00000000">
      <w:pPr>
        <w:pStyle w:val="Heading3"/>
      </w:pPr>
      <w:r>
        <w:t>Why the Paper Was Awarded</w:t>
      </w:r>
    </w:p>
    <w:p w14:paraId="435A091E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Resolves the 3D representation bottleneck — O-Voxel handles arbitrary topologies (open surfaces, hollow structures, non-manifold geometry) without sacrificing generation speed.</w:t>
      </w:r>
    </w:p>
    <w:p w14:paraId="435A091F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Production-ready PBR material integration was highlighted by the committee as solving a major practical gap (prior models only output basic RGB-painted meshes).</w:t>
      </w:r>
    </w:p>
    <w:p w14:paraId="435A0920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Breakthrough spatial compression (SC-VAE) paves the way for training genuinely large-scale 3D foundation models.</w:t>
      </w:r>
    </w:p>
    <w:p w14:paraId="435A0921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Demonstrated unprecedented scale and efficiency via TRELLIS 2 — a 4B-parameter model producing detailed, full-PBR assets in under a minute.</w:t>
      </w:r>
    </w:p>
    <w:p w14:paraId="435A0922" w14:textId="77777777" w:rsidR="004F7557" w:rsidRDefault="004F7557">
      <w:pPr>
        <w:pBdr>
          <w:bottom w:val="single" w:sz="6" w:space="1" w:color="CCCCCC"/>
        </w:pBdr>
        <w:spacing w:after="300"/>
      </w:pPr>
    </w:p>
    <w:p w14:paraId="435A0923" w14:textId="77777777" w:rsidR="004F7557" w:rsidRDefault="00000000">
      <w:pPr>
        <w:pStyle w:val="Heading2"/>
      </w:pPr>
      <w:r>
        <w:t>4. NITROGEN: An Open Foundation Model for Generalist Gaming Agents</w:t>
      </w:r>
    </w:p>
    <w:p w14:paraId="435A0924" w14:textId="77777777" w:rsidR="004F7557" w:rsidRDefault="00000000">
      <w:pPr>
        <w:spacing w:after="200"/>
      </w:pPr>
      <w:r>
        <w:rPr>
          <w:b/>
          <w:bCs/>
          <w:i/>
          <w:iCs/>
          <w:color w:val="555555"/>
        </w:rPr>
        <w:t xml:space="preserve">Award: </w:t>
      </w:r>
      <w:r>
        <w:rPr>
          <w:i/>
          <w:iCs/>
          <w:color w:val="555555"/>
        </w:rPr>
        <w:t>Best Paper Honorable Mention and Oral Presentation</w:t>
      </w:r>
    </w:p>
    <w:p w14:paraId="435A0925" w14:textId="77777777" w:rsidR="004F7557" w:rsidRDefault="00000000">
      <w:pPr>
        <w:spacing w:after="200"/>
      </w:pPr>
      <w:r>
        <w:rPr>
          <w:b/>
          <w:bCs/>
          <w:i/>
          <w:iCs/>
          <w:color w:val="555555"/>
        </w:rPr>
        <w:t xml:space="preserve">Core Contribution: </w:t>
      </w:r>
      <w:r>
        <w:rPr>
          <w:i/>
          <w:iCs/>
          <w:color w:val="555555"/>
        </w:rPr>
        <w:t>A pixels-to-actions vision-action foundation model trained on an internet-scale, auto-labeled gameplay dataset, plus a universal Gymnasium evaluation harness</w:t>
      </w:r>
    </w:p>
    <w:p w14:paraId="435A0926" w14:textId="77777777" w:rsidR="004F7557" w:rsidRDefault="00000000">
      <w:pPr>
        <w:pStyle w:val="Heading3"/>
      </w:pPr>
      <w:r>
        <w:t>Notes on Paper Structure</w:t>
      </w:r>
    </w:p>
    <w:p w14:paraId="435A0927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lastRenderedPageBreak/>
        <w:t>Opens by isolating a precise bottleneck (lack of large, diverse, labeled action datasets in Embodied AI) and systematically shows where prior LLM-based, RL-based, and behavior-cloning methods fall short.</w:t>
      </w:r>
    </w:p>
    <w:p w14:paraId="435A0928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Organizes its contribution around a recurring Data → Benchmark → Model framework, with each subsection directly answering the bottleneck raised in the introduction.</w:t>
      </w:r>
    </w:p>
    <w:p w14:paraId="435A0929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Breaks its action-extraction pipeline into explicit, reproducible stages: template matching → parsing → quality filtering.</w:t>
      </w:r>
    </w:p>
    <w:p w14:paraId="435A092A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Bookends the paper with open-science commitments (open dataset, evaluation harness, and weights) to signal community value, not just a corporate result.</w:t>
      </w:r>
    </w:p>
    <w:p w14:paraId="435A092B" w14:textId="77777777" w:rsidR="004F7557" w:rsidRDefault="00000000">
      <w:pPr>
        <w:pStyle w:val="Heading3"/>
      </w:pPr>
      <w:r>
        <w:t>Lessons Learnt</w:t>
      </w:r>
    </w:p>
    <w:p w14:paraId="435A092C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Paradigm shift from Vision-Language to Vision-Action — trains a high-frequency “pixels-to-actions” model mapping visual states directly to controller inputs, rather than only classifying or describing scenes.</w:t>
      </w:r>
    </w:p>
    <w:p w14:paraId="435A092D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A single high-resolution current frame (via </w:t>
      </w:r>
      <w:proofErr w:type="spellStart"/>
      <w:r>
        <w:t>SigLIP</w:t>
      </w:r>
      <w:proofErr w:type="spellEnd"/>
      <w:r>
        <w:t xml:space="preserve"> 2) plus a 16-action future chunk was sufficient for smooth, temporally consistent control — historical frame sequences did not help.</w:t>
      </w:r>
    </w:p>
    <w:p w14:paraId="435A092E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Scalable data curation via visual translation — used AI vision itself (template matching with SIFT/</w:t>
      </w:r>
      <w:proofErr w:type="spellStart"/>
      <w:r>
        <w:t>XFeat</w:t>
      </w:r>
      <w:proofErr w:type="spellEnd"/>
      <w:r>
        <w:t xml:space="preserve"> + </w:t>
      </w:r>
      <w:proofErr w:type="spellStart"/>
      <w:r>
        <w:t>SegFormer</w:t>
      </w:r>
      <w:proofErr w:type="spellEnd"/>
      <w:r>
        <w:t xml:space="preserve"> segmentation) to auto-label 71,000 hours of gameplay video from on-screen controller overlays, avoiding manual annotation entirely.</w:t>
      </w:r>
    </w:p>
    <w:p w14:paraId="435A092F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Designed against “visual cheating” — masking/blurring the on-screen controller overlay during training forced the encoder to learn genuine scene understanding instead of reading the overlay directly.</w:t>
      </w:r>
    </w:p>
    <w:p w14:paraId="435A0930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Large-scale multi-game pretraining transfers as “visual common sense,” producing large gains on unseen games in spatial navigation (+25%) and combat/target tracking (+52%).</w:t>
      </w:r>
    </w:p>
    <w:p w14:paraId="435A0931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Recognized the boundary of pure sensory (System-1) models — they can only act reactively for a few seconds and lack long-term planning or language-instruction following; the next step is fusing them with higher-level reasoning (Vision-Language-Action).</w:t>
      </w:r>
    </w:p>
    <w:p w14:paraId="435A0932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Frame subtle engineering tricks as scalable frameworks — the UI-overlay extraction trick is presented as an “internet-scale video-action pipeline,” not a one-off hack.</w:t>
      </w:r>
    </w:p>
    <w:p w14:paraId="435A0933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Openly acknowledging dataset noise (capture lag, custom configs, streaming artifacts) as a selling point builds reviewer trust when the model is shown to be robust to it.</w:t>
      </w:r>
    </w:p>
    <w:p w14:paraId="435A0934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Provide self-contained validation beyond standard benchmarks — a Self-Imitation RL experiment demonstrated downstream utility as an optimization springboard.</w:t>
      </w:r>
    </w:p>
    <w:p w14:paraId="435A0935" w14:textId="77777777" w:rsidR="004F7557" w:rsidRDefault="00000000">
      <w:pPr>
        <w:pStyle w:val="Heading3"/>
      </w:pPr>
      <w:r>
        <w:t>Key Takeaways</w:t>
      </w:r>
    </w:p>
    <w:p w14:paraId="435A0936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“Data over API” — intercepting low-level visuals and converting them to actions scales better than building hand-crafted, per-application APIs.</w:t>
      </w:r>
    </w:p>
    <w:p w14:paraId="435A0937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Pretraining drastically lowers the cold-start barrier — fine-tuning on an entirely unseen game yielded a 52% relative improvement over training from scratch under the same budget.</w:t>
      </w:r>
    </w:p>
    <w:p w14:paraId="435A0938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A universal Gymnasium-style harness turns closed, commercial software (video games) into ML-ready environments without touching source code.</w:t>
      </w:r>
    </w:p>
    <w:p w14:paraId="435A0939" w14:textId="77777777" w:rsidR="004F7557" w:rsidRDefault="00000000">
      <w:pPr>
        <w:pStyle w:val="Heading3"/>
      </w:pPr>
      <w:r>
        <w:t>Why the Paper Was Awarded</w:t>
      </w:r>
    </w:p>
    <w:p w14:paraId="435A093A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Bridges the gap between passive visual perception and actionable, embodied execution at unprecedented scale.</w:t>
      </w:r>
    </w:p>
    <w:p w14:paraId="435A093B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Brilliant, low-cost data-ingest innovation — reverse-engineering a creator-popularized feature (controller overlays) instead of hiring annotators.</w:t>
      </w:r>
    </w:p>
    <w:p w14:paraId="435A093C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lastRenderedPageBreak/>
        <w:t>High community utility — the universal gameplay harness gives the field shared infrastructure for cross-game generalization benchmarking.</w:t>
      </w:r>
    </w:p>
    <w:p w14:paraId="435A093D" w14:textId="77777777" w:rsidR="004F7557" w:rsidRDefault="004F7557">
      <w:pPr>
        <w:pBdr>
          <w:bottom w:val="single" w:sz="6" w:space="1" w:color="CCCCCC"/>
        </w:pBdr>
        <w:spacing w:after="300"/>
      </w:pPr>
    </w:p>
    <w:p w14:paraId="435A093E" w14:textId="77777777" w:rsidR="004F7557" w:rsidRDefault="00000000">
      <w:pPr>
        <w:pStyle w:val="Heading2"/>
      </w:pPr>
      <w:r>
        <w:t>5. Efficiently Reconstructing Dynamic Scenes One D4RT at a Time</w:t>
      </w:r>
    </w:p>
    <w:p w14:paraId="435A093F" w14:textId="77777777" w:rsidR="004F7557" w:rsidRDefault="00000000">
      <w:pPr>
        <w:spacing w:after="200"/>
      </w:pPr>
      <w:r>
        <w:rPr>
          <w:b/>
          <w:bCs/>
          <w:i/>
          <w:iCs/>
          <w:color w:val="555555"/>
        </w:rPr>
        <w:t xml:space="preserve">Award: </w:t>
      </w:r>
      <w:r>
        <w:rPr>
          <w:i/>
          <w:iCs/>
          <w:color w:val="555555"/>
        </w:rPr>
        <w:t>CVPR 2026 Best Paper</w:t>
      </w:r>
    </w:p>
    <w:p w14:paraId="435A0940" w14:textId="77777777" w:rsidR="004F7557" w:rsidRDefault="00000000">
      <w:pPr>
        <w:spacing w:after="200"/>
      </w:pPr>
      <w:r>
        <w:rPr>
          <w:b/>
          <w:bCs/>
          <w:i/>
          <w:iCs/>
          <w:color w:val="555555"/>
        </w:rPr>
        <w:t xml:space="preserve">Core Contribution: </w:t>
      </w:r>
      <w:r>
        <w:rPr>
          <w:i/>
          <w:iCs/>
          <w:color w:val="555555"/>
        </w:rPr>
        <w:t>A unified query-based encoder-decoder for 4D scene reconstruction (depth, pose, and point tracking) via on-demand spatiotemporal queries</w:t>
      </w:r>
    </w:p>
    <w:p w14:paraId="435A0941" w14:textId="77777777" w:rsidR="004F7557" w:rsidRDefault="00000000">
      <w:pPr>
        <w:pStyle w:val="Heading3"/>
      </w:pPr>
      <w:r>
        <w:t>Lessons Learnt</w:t>
      </w:r>
    </w:p>
    <w:p w14:paraId="435A0942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Uniformity beats task-specific </w:t>
      </w:r>
      <w:proofErr w:type="gramStart"/>
      <w:r>
        <w:t>fragmentation — a</w:t>
      </w:r>
      <w:proofErr w:type="gramEnd"/>
      <w:r>
        <w:t xml:space="preserve"> single encoder-decoder can enforce geometric consistency across static and dynamic content, replacing the traditional split into separate tracking, depth, and optical-flow modules fused via test-time optimization.</w:t>
      </w:r>
    </w:p>
    <w:p w14:paraId="435A0943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Decouple space and time at the interface level — formulating the decoder query as a Cartesian product of space and time parameters (u, v, </w:t>
      </w:r>
      <w:proofErr w:type="spellStart"/>
      <w:r>
        <w:t>t_src</w:t>
      </w:r>
      <w:proofErr w:type="spellEnd"/>
      <w:r>
        <w:t xml:space="preserve">, </w:t>
      </w:r>
      <w:proofErr w:type="spellStart"/>
      <w:r>
        <w:t>t_tgt</w:t>
      </w:r>
      <w:proofErr w:type="spellEnd"/>
      <w:r>
        <w:t xml:space="preserve">, </w:t>
      </w:r>
      <w:proofErr w:type="spellStart"/>
      <w:r>
        <w:t>t_cam</w:t>
      </w:r>
      <w:proofErr w:type="spellEnd"/>
      <w:r>
        <w:t xml:space="preserve">) disentangles spatial coordinates from temporal indices, showing 3D properties need not be locked </w:t>
      </w:r>
      <w:proofErr w:type="spellStart"/>
      <w:r>
        <w:t>to</w:t>
      </w:r>
      <w:proofErr w:type="spellEnd"/>
      <w:r>
        <w:t xml:space="preserve"> rigid per-frame grids.</w:t>
      </w:r>
    </w:p>
    <w:p w14:paraId="435A0944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Global features benefit from local patch anchors — injecting local 9×9 appearance patches into queries anchors embeddings to high-frequency image textures, unlocking subpixel tracking precision that broad spatiotemporal tokens alone degrade.</w:t>
      </w:r>
    </w:p>
    <w:p w14:paraId="435A0945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Inter-query self-attention during decoding causes overfitting/domain shift between training and inference; treating queries as independent and delegating consistency to the shared latent scene representation generalizes better.</w:t>
      </w:r>
    </w:p>
    <w:p w14:paraId="435A0946" w14:textId="77777777" w:rsidR="004F7557" w:rsidRDefault="00000000">
      <w:pPr>
        <w:pStyle w:val="Heading3"/>
      </w:pPr>
      <w:r>
        <w:t>Key Takeaways</w:t>
      </w:r>
    </w:p>
    <w:p w14:paraId="435A0947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On-demand querying replaces resource-intensive dense per-frame grid decoding, letting researchers extract anything from sparse high-speed trajectories to dense point clouds through the same forward pass.</w:t>
      </w:r>
    </w:p>
    <w:p w14:paraId="435A0948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Independent, parallelizable cross-attention queries give drastic speed gains: 200+ FPS camera pose estimation (100× faster than </w:t>
      </w:r>
      <w:proofErr w:type="spellStart"/>
      <w:r>
        <w:t>MegaSaM</w:t>
      </w:r>
      <w:proofErr w:type="spellEnd"/>
      <w:r>
        <w:t>) and 18–300× higher point-tracking throughput than prior state-of-the-art.</w:t>
      </w:r>
    </w:p>
    <w:p w14:paraId="435A0949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An adaptive </w:t>
      </w:r>
      <w:proofErr w:type="spellStart"/>
      <w:r>
        <w:t>spatio</w:t>
      </w:r>
      <w:proofErr w:type="spellEnd"/>
      <w:r>
        <w:t>-temporal occupancy grid (Algorithm 1) marks pixels covered by verified tracks as “visited,” avoiding O(T²HW) complexity and yielding a 5–15× adaptive speedup depending on motion complexity.</w:t>
      </w:r>
    </w:p>
    <w:p w14:paraId="435A094A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State-of-the-art depth, camera pose, and multi-frame trajectory results across Sintel, </w:t>
      </w:r>
      <w:proofErr w:type="spellStart"/>
      <w:r>
        <w:t>ScanNet</w:t>
      </w:r>
      <w:proofErr w:type="spellEnd"/>
      <w:r>
        <w:t>, KITTI, and TAPVid-3D, including under severe motion blur.</w:t>
      </w:r>
    </w:p>
    <w:p w14:paraId="435A094B" w14:textId="77777777" w:rsidR="004F7557" w:rsidRDefault="00000000">
      <w:pPr>
        <w:pStyle w:val="Heading3"/>
      </w:pPr>
      <w:r>
        <w:t>Why the Paper Was Awarded</w:t>
      </w:r>
    </w:p>
    <w:p w14:paraId="435A094C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Conceptual elegance — computes dynamic motion and static structure within the exact same query, decoder, and forward pass, instead of treating moving objects as outliers needing special handling.</w:t>
      </w:r>
    </w:p>
    <w:p w14:paraId="435A094D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Architectural geometric consistency — because pose, trajectory, and depth are all extracted from one shared latent encoding, they are unified by design, eliminating error-prone post-hoc fusion steps.</w:t>
      </w:r>
    </w:p>
    <w:p w14:paraId="435A094E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Resolves the scalability dilemma — computation scales with the number of points </w:t>
      </w:r>
      <w:proofErr w:type="gramStart"/>
      <w:r>
        <w:t>actually requested</w:t>
      </w:r>
      <w:proofErr w:type="gramEnd"/>
      <w:r>
        <w:t xml:space="preserve"> rather than grid resolution, giving robotics and autonomous-driving applications a viable real-time 4D perception blueprint.</w:t>
      </w:r>
    </w:p>
    <w:p w14:paraId="435A094F" w14:textId="77777777" w:rsidR="004F7557" w:rsidRDefault="00000000">
      <w:r>
        <w:br w:type="page"/>
      </w:r>
    </w:p>
    <w:p w14:paraId="435A0950" w14:textId="77777777" w:rsidR="004F7557" w:rsidRDefault="00000000">
      <w:pPr>
        <w:pStyle w:val="Heading1"/>
      </w:pPr>
      <w:r>
        <w:lastRenderedPageBreak/>
        <w:t>Part II — Cross-Paper Thematic Synthesis</w:t>
      </w:r>
    </w:p>
    <w:p w14:paraId="435A0951" w14:textId="77777777" w:rsidR="004F7557" w:rsidRDefault="00000000">
      <w:pPr>
        <w:spacing w:after="120"/>
      </w:pPr>
      <w:r>
        <w:t>The five papers, despite covering very different problems (single-image 3D reconstruction, image editing, 3D asset generation, embodied gaming agents, and 4D dynamic scene reconstruction), share a set of recurring research strategies. These are grouped below as themes, with the papers that best illustrate each one.</w:t>
      </w:r>
    </w:p>
    <w:p w14:paraId="435A0952" w14:textId="77777777" w:rsidR="004F7557" w:rsidRDefault="00000000">
      <w:pPr>
        <w:pStyle w:val="Heading2"/>
      </w:pPr>
      <w:r>
        <w:t>Theme 1: Reframe the Problem, Don't Just Optimize the Old One</w:t>
      </w:r>
    </w:p>
    <w:p w14:paraId="435A0953" w14:textId="77777777" w:rsidR="004F7557" w:rsidRDefault="00000000">
      <w:pPr>
        <w:spacing w:after="120"/>
      </w:pPr>
      <w:r>
        <w:t>Several papers won not by tuning an existing formulation harder, but by changing what the problem is being asked to compute.</w:t>
      </w:r>
    </w:p>
    <w:p w14:paraId="435A0954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SAM 3D reframes 2D-to-3D reconstruction as conditional probabilistic generation rather than deterministic geometric calculation, since information (e.g., occluded geometry) is fundamentally lost when flattening 3D to 2D.</w:t>
      </w:r>
    </w:p>
    <w:p w14:paraId="435A0955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t>ChordEdit</w:t>
      </w:r>
      <w:proofErr w:type="spellEnd"/>
      <w:r>
        <w:t xml:space="preserve"> reframes one-step image editing as a dynamic Optimal Transport distribution-estimation problem, revealing that the real issue was an erratic, high-energy naive drift field, not a missing mask or post-processing step.</w:t>
      </w:r>
    </w:p>
    <w:p w14:paraId="435A0956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D4RT reframes 4D reconstruction as an on-demand query-answering problem instead of dense per-frame grid decoding, unifying tasks that were previously separate modules.</w:t>
      </w:r>
    </w:p>
    <w:p w14:paraId="435A0957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Structured </w:t>
      </w:r>
      <w:proofErr w:type="spellStart"/>
      <w:r>
        <w:t>Latents</w:t>
      </w:r>
      <w:proofErr w:type="spellEnd"/>
      <w:r>
        <w:t xml:space="preserve"> (TRELLIS 2) reframes 3D representation away from implicit fields toward a native, field-free explicit structure (O-Voxel).</w:t>
      </w:r>
    </w:p>
    <w:p w14:paraId="435A0958" w14:textId="77777777" w:rsidR="004F7557" w:rsidRDefault="00000000">
      <w:pPr>
        <w:spacing w:after="120"/>
      </w:pPr>
      <w:r>
        <w:t>Lesson for future work: when a field keeps patching a formulation with heuristics, it's worth asking whether the underlying problem statement itself is the bottleneck.</w:t>
      </w:r>
    </w:p>
    <w:p w14:paraId="435A0959" w14:textId="77777777" w:rsidR="004F7557" w:rsidRDefault="00000000">
      <w:pPr>
        <w:pStyle w:val="Heading2"/>
      </w:pPr>
      <w:r>
        <w:t>Theme 2: Solve the Data Bottleneck Creatively</w:t>
      </w:r>
    </w:p>
    <w:p w14:paraId="435A095A" w14:textId="77777777" w:rsidR="004F7557" w:rsidRDefault="00000000">
      <w:pPr>
        <w:spacing w:after="120"/>
      </w:pPr>
      <w:r>
        <w:t>Two papers treat data scarcity/labeling cost as a first-class research problem, not an engineering afterthought.</w:t>
      </w:r>
    </w:p>
    <w:p w14:paraId="435A095B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SAM 3D's Model-in-the-Loop (MITL) “virtuous cycle” turns an annotation task too hard for humans (building 3D meshes from scratch) into a task humans are good at (selecting/aligning AI-generated proposals), scaling to ~1M images and 3M+ </w:t>
      </w:r>
      <w:proofErr w:type="gramStart"/>
      <w:r>
        <w:t>meshes</w:t>
      </w:r>
      <w:proofErr w:type="gramEnd"/>
      <w:r>
        <w:t>.</w:t>
      </w:r>
    </w:p>
    <w:p w14:paraId="435A095C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NITROGEN auto-labels 71,000 hours of gameplay video by having AI vision (template matching + segmentation) decode existing on-screen controller overlays, avoiding manual annotation entirely.</w:t>
      </w:r>
    </w:p>
    <w:p w14:paraId="435A095D" w14:textId="77777777" w:rsidR="004F7557" w:rsidRDefault="00000000">
      <w:pPr>
        <w:spacing w:after="120"/>
      </w:pPr>
      <w:r>
        <w:t xml:space="preserve">Both </w:t>
      </w:r>
      <w:proofErr w:type="gramStart"/>
      <w:r>
        <w:t>use</w:t>
      </w:r>
      <w:proofErr w:type="gramEnd"/>
      <w:r>
        <w:t xml:space="preserve"> tiered/escalation strategies (SAM 3D routes only hard cases to expert 3D artists; NITROGEN accepts and works around noisy consumer-grade data) rather than demanding uniformly perfect labels.</w:t>
      </w:r>
    </w:p>
    <w:p w14:paraId="435A095E" w14:textId="77777777" w:rsidR="004F7557" w:rsidRDefault="00000000">
      <w:pPr>
        <w:pStyle w:val="Heading2"/>
      </w:pPr>
      <w:r>
        <w:t>Theme 3: Decouple and Modularize Complex Systems</w:t>
      </w:r>
    </w:p>
    <w:p w14:paraId="435A095F" w14:textId="77777777" w:rsidR="004F7557" w:rsidRDefault="00000000">
      <w:pPr>
        <w:spacing w:after="120"/>
      </w:pPr>
      <w:r>
        <w:t>Rather than generating or predicting everything jointly, the strongest architectures split the problem into independently trained or independently queried sub-components.</w:t>
      </w:r>
    </w:p>
    <w:p w14:paraId="435A0960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SAM 3D disentangles geometry, texture, and pose into separate modular properties, using an asymmetric two-model split (1.2B geometry model, 600M texture/refinement model).</w:t>
      </w:r>
    </w:p>
    <w:p w14:paraId="435A0961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Structured </w:t>
      </w:r>
      <w:proofErr w:type="spellStart"/>
      <w:r>
        <w:t>Latents</w:t>
      </w:r>
      <w:proofErr w:type="spellEnd"/>
      <w:r>
        <w:t xml:space="preserve"> uses a three-stage pipeline (sparse structure → geometry → material) after finding joint generation destabilizes training.</w:t>
      </w:r>
    </w:p>
    <w:p w14:paraId="435A0962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t>ChordEdit</w:t>
      </w:r>
      <w:proofErr w:type="spellEnd"/>
      <w:r>
        <w:t xml:space="preserve"> decouples structure-preserving transport from optional proximal refinement, each a single forward pass.</w:t>
      </w:r>
    </w:p>
    <w:p w14:paraId="435A0963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D4RT decouples space and time at the query interface </w:t>
      </w:r>
      <w:proofErr w:type="gramStart"/>
      <w:r>
        <w:t>itself, and</w:t>
      </w:r>
      <w:proofErr w:type="gramEnd"/>
      <w:r>
        <w:t xml:space="preserve"> finds that keeping queries independent (no inter-query attention) generalizes better than letting them interact.</w:t>
      </w:r>
    </w:p>
    <w:p w14:paraId="435A0964" w14:textId="77777777" w:rsidR="004F7557" w:rsidRDefault="00000000">
      <w:pPr>
        <w:pStyle w:val="Heading2"/>
      </w:pPr>
      <w:r>
        <w:lastRenderedPageBreak/>
        <w:t>Theme 4: Prioritize Efficiency Over Brute-Force Scaling</w:t>
      </w:r>
    </w:p>
    <w:p w14:paraId="435A0965" w14:textId="77777777" w:rsidR="004F7557" w:rsidRDefault="00000000">
      <w:pPr>
        <w:spacing w:after="120"/>
      </w:pPr>
      <w:r>
        <w:t>Several papers achieve state-of-the-art results primarily through smarter computation allocation rather than simply scaling parameters or compute.</w:t>
      </w:r>
    </w:p>
    <w:p w14:paraId="435A0966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t>ChordEdit</w:t>
      </w:r>
      <w:proofErr w:type="spellEnd"/>
      <w:r>
        <w:t xml:space="preserve"> reduces Monte Carlo variance through the temporal-smoothing structure of its Chord Control Field, achieving seed-robustness with a single noise sample (n = 1) instead of multiple.</w:t>
      </w:r>
    </w:p>
    <w:p w14:paraId="435A0967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D4RT's independent, parallelizable queries and occupancy-grid tracking yield 100× and up to 300× speedups over prior methods, with cost scaling to the points </w:t>
      </w:r>
      <w:proofErr w:type="gramStart"/>
      <w:r>
        <w:t>actually requested</w:t>
      </w:r>
      <w:proofErr w:type="gramEnd"/>
      <w:r>
        <w:t>.</w:t>
      </w:r>
    </w:p>
    <w:p w14:paraId="435A0968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Structured </w:t>
      </w:r>
      <w:proofErr w:type="spellStart"/>
      <w:r>
        <w:t>Latents</w:t>
      </w:r>
      <w:proofErr w:type="spellEnd"/>
      <w:r>
        <w:t>' SC-VAE achieves 16× spatial compression (1024³ → ~9.6K tokens), making a 4B-parameter model trainable and enabling under-a-minute generation.</w:t>
      </w:r>
    </w:p>
    <w:p w14:paraId="435A0969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SAM 3D's asymmetric model sizing (1.2B vs. 600M) and cost-tiered human review both reflect resource-conscious design rather than uniform scaling.</w:t>
      </w:r>
    </w:p>
    <w:p w14:paraId="435A096A" w14:textId="77777777" w:rsidR="004F7557" w:rsidRDefault="00000000">
      <w:pPr>
        <w:pStyle w:val="Heading2"/>
      </w:pPr>
      <w:r>
        <w:t>Theme 5: Ground Empirical Wins in Theory and Ablations</w:t>
      </w:r>
    </w:p>
    <w:p w14:paraId="435A096B" w14:textId="77777777" w:rsidR="004F7557" w:rsidRDefault="00000000">
      <w:pPr>
        <w:spacing w:after="120"/>
      </w:pPr>
      <w:r>
        <w:t>Award committees rewarded papers that explained why a method works, not just that it works.</w:t>
      </w:r>
    </w:p>
    <w:p w14:paraId="435A096C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t>ChordEdit</w:t>
      </w:r>
      <w:proofErr w:type="spellEnd"/>
      <w:r>
        <w:t xml:space="preserve"> provides formal error bounds and contraction proofs (via Jensen's inequality) showing exactly why its smoothing operator suppresses truncation </w:t>
      </w:r>
      <w:proofErr w:type="gramStart"/>
      <w:r>
        <w:t>error</w:t>
      </w:r>
      <w:proofErr w:type="gramEnd"/>
      <w:r>
        <w:t>.</w:t>
      </w:r>
    </w:p>
    <w:p w14:paraId="435A096D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D4RT includes a specific ablation finding — that inter-query self-attention causes overfitting/domain shift — turning a design choice into a documented, generalizable lesson rather than an unexplained architecture decision.</w:t>
      </w:r>
    </w:p>
    <w:p w14:paraId="435A096E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SAM 3D explicitly frames its approach with a probabilistic formulation </w:t>
      </w:r>
      <w:proofErr w:type="gramStart"/>
      <w:r>
        <w:t>p(</w:t>
      </w:r>
      <w:proofErr w:type="spellStart"/>
      <w:r>
        <w:t>S,T</w:t>
      </w:r>
      <w:proofErr w:type="gramEnd"/>
      <w:r>
        <w:t>,</w:t>
      </w:r>
      <w:proofErr w:type="gramStart"/>
      <w:r>
        <w:t>R,t</w:t>
      </w:r>
      <w:proofErr w:type="gramEnd"/>
      <w:r>
        <w:t>,s</w:t>
      </w:r>
      <w:proofErr w:type="spellEnd"/>
      <w:r>
        <w:t xml:space="preserve"> | </w:t>
      </w:r>
      <w:proofErr w:type="gramStart"/>
      <w:r>
        <w:t>I,M</w:t>
      </w:r>
      <w:proofErr w:type="gramEnd"/>
      <w:r>
        <w:t xml:space="preserve">), giving a rigorous notation for what the model is </w:t>
      </w:r>
      <w:proofErr w:type="gramStart"/>
      <w:r>
        <w:t>actually estimating</w:t>
      </w:r>
      <w:proofErr w:type="gramEnd"/>
      <w:r>
        <w:t>.</w:t>
      </w:r>
    </w:p>
    <w:p w14:paraId="435A096F" w14:textId="77777777" w:rsidR="004F7557" w:rsidRDefault="00000000">
      <w:pPr>
        <w:pStyle w:val="Heading2"/>
      </w:pPr>
      <w:r>
        <w:t>Theme 6: Build the Benchmark, Not Just the Model</w:t>
      </w:r>
    </w:p>
    <w:p w14:paraId="435A0970" w14:textId="77777777" w:rsidR="004F7557" w:rsidRDefault="00000000">
      <w:pPr>
        <w:spacing w:after="120"/>
      </w:pPr>
      <w:r>
        <w:t>Two papers deliberately created new evaluation infrastructure, positioning themselves to shape how the field measures future progress.</w:t>
      </w:r>
    </w:p>
    <w:p w14:paraId="435A0971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SAM 3D introduces the SA-3DAO benchmark — 1,000 real image–3D pairs built to a professional-artist “human upper bound” standard.</w:t>
      </w:r>
    </w:p>
    <w:p w14:paraId="435A0972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NITROGEN introduces a universal Gymnasium-style gameplay harness, letting the community benchmark cross-game generalization across commercial titles without modifying source code.</w:t>
      </w:r>
    </w:p>
    <w:p w14:paraId="435A0973" w14:textId="77777777" w:rsidR="004F7557" w:rsidRDefault="00000000">
      <w:pPr>
        <w:pStyle w:val="Heading2"/>
      </w:pPr>
      <w:r>
        <w:t>Theme 7: Borrow Proven Paradigms Across Domains</w:t>
      </w:r>
    </w:p>
    <w:p w14:paraId="435A0974" w14:textId="77777777" w:rsidR="004F7557" w:rsidRDefault="00000000">
      <w:pPr>
        <w:spacing w:after="120"/>
      </w:pPr>
      <w:r>
        <w:t>Cross-pollinating a mature recipe from one modality into another was a recurring source of award-level novelty.</w:t>
      </w:r>
    </w:p>
    <w:p w14:paraId="435A0975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SAM 3D imports the LLM training cookbook (pretrain → mid-train → post-train/SFT → DPO) into 3D reconstruction.</w:t>
      </w:r>
    </w:p>
    <w:p w14:paraId="435A0976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NITROGEN shifts computer vision's focus from Vision-Language modeling to Vision-Action modeling, treating gameplay video the way robotics treats demonstration video.</w:t>
      </w:r>
    </w:p>
    <w:p w14:paraId="435A0977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Structured </w:t>
      </w:r>
      <w:proofErr w:type="spellStart"/>
      <w:r>
        <w:t>Latents</w:t>
      </w:r>
      <w:proofErr w:type="spellEnd"/>
      <w:r>
        <w:t xml:space="preserve"> borrows Transformer-style FFN design (wide pointwise MLP) to modernize CNN residual blocks in its VAE.</w:t>
      </w:r>
    </w:p>
    <w:p w14:paraId="435A0978" w14:textId="77777777" w:rsidR="004F7557" w:rsidRDefault="00000000">
      <w:pPr>
        <w:pStyle w:val="Heading2"/>
      </w:pPr>
      <w:r>
        <w:t>Theme 8: Honesty About Limitations Builds Reviewer Trust</w:t>
      </w:r>
    </w:p>
    <w:p w14:paraId="435A0979" w14:textId="77777777" w:rsidR="004F7557" w:rsidRDefault="00000000">
      <w:pPr>
        <w:spacing w:after="120"/>
      </w:pPr>
      <w:r>
        <w:t>The strongest papers did not hide weaknesses — they used them to demonstrate robustness or to set an honest research agenda.</w:t>
      </w:r>
    </w:p>
    <w:p w14:paraId="435A097A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lastRenderedPageBreak/>
        <w:t>NITROGEN openly discusses dataset noise (UI capture lag, streaming artifacts) and the System-1-only nature of its agent (no long-horizon planning or language following), framing both as evidence of robustness and as a clear direction for future Vision-Language-Action work.</w:t>
      </w:r>
    </w:p>
    <w:p w14:paraId="435A097B" w14:textId="77777777" w:rsidR="004F7557" w:rsidRDefault="00000000">
      <w:pPr>
        <w:pStyle w:val="ListParagraph"/>
        <w:numPr>
          <w:ilvl w:val="0"/>
          <w:numId w:val="2"/>
        </w:numPr>
        <w:spacing w:after="100"/>
      </w:pPr>
      <w:r>
        <w:t>SAM 3D acknowledges the fundamental information loss in 2D-to-3D inversion rather than claiming to solve it exactly, which motivates its probabilistic reframing.</w:t>
      </w:r>
    </w:p>
    <w:p w14:paraId="435A097C" w14:textId="77777777" w:rsidR="004F7557" w:rsidRDefault="00000000">
      <w:r>
        <w:br w:type="page"/>
      </w:r>
    </w:p>
    <w:p w14:paraId="435A097D" w14:textId="77777777" w:rsidR="004F7557" w:rsidRDefault="00000000">
      <w:pPr>
        <w:pStyle w:val="Heading1"/>
      </w:pPr>
      <w:r>
        <w:lastRenderedPageBreak/>
        <w:t>Part III — Summary Comparison Table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17"/>
        <w:gridCol w:w="2517"/>
        <w:gridCol w:w="2518"/>
        <w:gridCol w:w="2518"/>
      </w:tblGrid>
      <w:tr w:rsidR="004F7557" w14:paraId="435A09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1F3864"/>
          </w:tcPr>
          <w:p w14:paraId="435A097E" w14:textId="77777777" w:rsidR="004F7557" w:rsidRDefault="00000000">
            <w:r>
              <w:rPr>
                <w:b/>
                <w:bCs/>
                <w:color w:val="FFFFFF"/>
                <w:sz w:val="20"/>
                <w:szCs w:val="20"/>
              </w:rPr>
              <w:t>Paper</w:t>
            </w:r>
          </w:p>
        </w:tc>
        <w:tc>
          <w:tcPr>
            <w:tcW w:w="2500" w:type="dxa"/>
            <w:shd w:val="clear" w:color="auto" w:fill="1F3864"/>
          </w:tcPr>
          <w:p w14:paraId="435A097F" w14:textId="77777777" w:rsidR="004F7557" w:rsidRDefault="00000000">
            <w:r>
              <w:rPr>
                <w:b/>
                <w:bCs/>
                <w:color w:val="FFFFFF"/>
                <w:sz w:val="20"/>
                <w:szCs w:val="20"/>
              </w:rPr>
              <w:t>Award</w:t>
            </w:r>
          </w:p>
        </w:tc>
        <w:tc>
          <w:tcPr>
            <w:tcW w:w="2500" w:type="dxa"/>
            <w:shd w:val="clear" w:color="auto" w:fill="1F3864"/>
          </w:tcPr>
          <w:p w14:paraId="435A0980" w14:textId="77777777" w:rsidR="004F7557" w:rsidRDefault="00000000">
            <w:r>
              <w:rPr>
                <w:b/>
                <w:bCs/>
                <w:color w:val="FFFFFF"/>
                <w:sz w:val="20"/>
                <w:szCs w:val="20"/>
              </w:rPr>
              <w:t>Core Idea</w:t>
            </w:r>
          </w:p>
        </w:tc>
        <w:tc>
          <w:tcPr>
            <w:tcW w:w="2500" w:type="dxa"/>
            <w:shd w:val="clear" w:color="auto" w:fill="1F3864"/>
          </w:tcPr>
          <w:p w14:paraId="435A0981" w14:textId="77777777" w:rsidR="004F7557" w:rsidRDefault="00000000">
            <w:r>
              <w:rPr>
                <w:b/>
                <w:bCs/>
                <w:color w:val="FFFFFF"/>
                <w:sz w:val="20"/>
                <w:szCs w:val="20"/>
              </w:rPr>
              <w:t>Signature Efficiency Trick</w:t>
            </w:r>
          </w:p>
        </w:tc>
      </w:tr>
      <w:tr w:rsidR="004F7557" w14:paraId="435A098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35A0983" w14:textId="77777777" w:rsidR="004F7557" w:rsidRDefault="00000000">
            <w:r>
              <w:rPr>
                <w:sz w:val="20"/>
                <w:szCs w:val="20"/>
              </w:rPr>
              <w:t>SAM 3D</w:t>
            </w:r>
          </w:p>
        </w:tc>
        <w:tc>
          <w:tcPr>
            <w:tcW w:w="2500" w:type="dxa"/>
          </w:tcPr>
          <w:p w14:paraId="435A0984" w14:textId="77777777" w:rsidR="004F7557" w:rsidRDefault="00000000">
            <w:r>
              <w:rPr>
                <w:sz w:val="20"/>
                <w:szCs w:val="20"/>
              </w:rPr>
              <w:t>CVPR 2026 (awarded)</w:t>
            </w:r>
          </w:p>
        </w:tc>
        <w:tc>
          <w:tcPr>
            <w:tcW w:w="2500" w:type="dxa"/>
          </w:tcPr>
          <w:p w14:paraId="435A0985" w14:textId="77777777" w:rsidR="004F7557" w:rsidRDefault="00000000">
            <w:r>
              <w:rPr>
                <w:sz w:val="20"/>
                <w:szCs w:val="20"/>
              </w:rPr>
              <w:t>Single-image 3D via probabilistic generation + MITL data engine</w:t>
            </w:r>
          </w:p>
        </w:tc>
        <w:tc>
          <w:tcPr>
            <w:tcW w:w="2500" w:type="dxa"/>
          </w:tcPr>
          <w:p w14:paraId="435A0986" w14:textId="77777777" w:rsidR="004F7557" w:rsidRDefault="00000000">
            <w:r>
              <w:rPr>
                <w:sz w:val="20"/>
                <w:szCs w:val="20"/>
              </w:rPr>
              <w:t>Asymmetric 1.2B/600M model split; tiered human review</w:t>
            </w:r>
          </w:p>
        </w:tc>
      </w:tr>
      <w:tr w:rsidR="004F7557" w14:paraId="435A098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35A0988" w14:textId="77777777" w:rsidR="004F7557" w:rsidRDefault="00000000">
            <w:proofErr w:type="spellStart"/>
            <w:r>
              <w:rPr>
                <w:sz w:val="20"/>
                <w:szCs w:val="20"/>
              </w:rPr>
              <w:t>ChordEdit</w:t>
            </w:r>
            <w:proofErr w:type="spellEnd"/>
          </w:p>
        </w:tc>
        <w:tc>
          <w:tcPr>
            <w:tcW w:w="2500" w:type="dxa"/>
          </w:tcPr>
          <w:p w14:paraId="435A0989" w14:textId="77777777" w:rsidR="004F7557" w:rsidRDefault="00000000">
            <w:r>
              <w:rPr>
                <w:sz w:val="20"/>
                <w:szCs w:val="20"/>
              </w:rPr>
              <w:t>Best Student Paper Honorable Mention</w:t>
            </w:r>
          </w:p>
        </w:tc>
        <w:tc>
          <w:tcPr>
            <w:tcW w:w="2500" w:type="dxa"/>
          </w:tcPr>
          <w:p w14:paraId="435A098A" w14:textId="77777777" w:rsidR="004F7557" w:rsidRDefault="00000000">
            <w:r>
              <w:rPr>
                <w:sz w:val="20"/>
                <w:szCs w:val="20"/>
              </w:rPr>
              <w:t>One-step editing via Optimal-Transport-derived control field</w:t>
            </w:r>
          </w:p>
        </w:tc>
        <w:tc>
          <w:tcPr>
            <w:tcW w:w="2500" w:type="dxa"/>
          </w:tcPr>
          <w:p w14:paraId="435A098B" w14:textId="77777777" w:rsidR="004F7557" w:rsidRDefault="00000000">
            <w:r>
              <w:rPr>
                <w:sz w:val="20"/>
                <w:szCs w:val="20"/>
              </w:rPr>
              <w:t>n = 1 noise sample; NFE = 1 per stage</w:t>
            </w:r>
          </w:p>
        </w:tc>
      </w:tr>
      <w:tr w:rsidR="004F7557" w14:paraId="435A099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35A098D" w14:textId="77777777" w:rsidR="004F7557" w:rsidRDefault="00000000">
            <w:r>
              <w:rPr>
                <w:sz w:val="20"/>
                <w:szCs w:val="20"/>
              </w:rPr>
              <w:t xml:space="preserve">Structured </w:t>
            </w:r>
            <w:proofErr w:type="spellStart"/>
            <w:r>
              <w:rPr>
                <w:sz w:val="20"/>
                <w:szCs w:val="20"/>
              </w:rPr>
              <w:t>Latents</w:t>
            </w:r>
            <w:proofErr w:type="spellEnd"/>
            <w:r>
              <w:rPr>
                <w:sz w:val="20"/>
                <w:szCs w:val="20"/>
              </w:rPr>
              <w:t xml:space="preserve"> (TRELLIS 2)</w:t>
            </w:r>
          </w:p>
        </w:tc>
        <w:tc>
          <w:tcPr>
            <w:tcW w:w="2500" w:type="dxa"/>
          </w:tcPr>
          <w:p w14:paraId="435A098E" w14:textId="77777777" w:rsidR="004F7557" w:rsidRDefault="00000000">
            <w:r>
              <w:rPr>
                <w:sz w:val="20"/>
                <w:szCs w:val="20"/>
              </w:rPr>
              <w:t>CVPR 2026 (awarded)</w:t>
            </w:r>
          </w:p>
        </w:tc>
        <w:tc>
          <w:tcPr>
            <w:tcW w:w="2500" w:type="dxa"/>
          </w:tcPr>
          <w:p w14:paraId="435A098F" w14:textId="77777777" w:rsidR="004F7557" w:rsidRDefault="00000000">
            <w:r>
              <w:rPr>
                <w:sz w:val="20"/>
                <w:szCs w:val="20"/>
              </w:rPr>
              <w:t xml:space="preserve">Field-free O-Voxel </w:t>
            </w:r>
            <w:proofErr w:type="spellStart"/>
            <w:r>
              <w:rPr>
                <w:sz w:val="20"/>
                <w:szCs w:val="20"/>
              </w:rPr>
              <w:t>latents</w:t>
            </w:r>
            <w:proofErr w:type="spellEnd"/>
            <w:r>
              <w:rPr>
                <w:sz w:val="20"/>
                <w:szCs w:val="20"/>
              </w:rPr>
              <w:t xml:space="preserve"> + native PBR for 3D generation</w:t>
            </w:r>
          </w:p>
        </w:tc>
        <w:tc>
          <w:tcPr>
            <w:tcW w:w="2500" w:type="dxa"/>
          </w:tcPr>
          <w:p w14:paraId="435A0990" w14:textId="77777777" w:rsidR="004F7557" w:rsidRDefault="00000000">
            <w:r>
              <w:rPr>
                <w:sz w:val="20"/>
                <w:szCs w:val="20"/>
              </w:rPr>
              <w:t>16× spatial compression via SC-VAE</w:t>
            </w:r>
          </w:p>
        </w:tc>
      </w:tr>
      <w:tr w:rsidR="004F7557" w14:paraId="435A099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35A0992" w14:textId="77777777" w:rsidR="004F7557" w:rsidRDefault="00000000">
            <w:r>
              <w:rPr>
                <w:sz w:val="20"/>
                <w:szCs w:val="20"/>
              </w:rPr>
              <w:t>NITROGEN</w:t>
            </w:r>
          </w:p>
        </w:tc>
        <w:tc>
          <w:tcPr>
            <w:tcW w:w="2500" w:type="dxa"/>
          </w:tcPr>
          <w:p w14:paraId="435A0993" w14:textId="77777777" w:rsidR="004F7557" w:rsidRDefault="00000000">
            <w:r>
              <w:rPr>
                <w:sz w:val="20"/>
                <w:szCs w:val="20"/>
              </w:rPr>
              <w:t>Best Paper Honorable Mention + Oral</w:t>
            </w:r>
          </w:p>
        </w:tc>
        <w:tc>
          <w:tcPr>
            <w:tcW w:w="2500" w:type="dxa"/>
          </w:tcPr>
          <w:p w14:paraId="435A0994" w14:textId="77777777" w:rsidR="004F7557" w:rsidRDefault="00000000">
            <w:r>
              <w:rPr>
                <w:sz w:val="20"/>
                <w:szCs w:val="20"/>
              </w:rPr>
              <w:t>Pixels-to-actions vision-action foundation model</w:t>
            </w:r>
          </w:p>
        </w:tc>
        <w:tc>
          <w:tcPr>
            <w:tcW w:w="2500" w:type="dxa"/>
          </w:tcPr>
          <w:p w14:paraId="435A0995" w14:textId="77777777" w:rsidR="004F7557" w:rsidRDefault="00000000">
            <w:r>
              <w:rPr>
                <w:sz w:val="20"/>
                <w:szCs w:val="20"/>
              </w:rPr>
              <w:t>Auto-labeling via on-screen overlay decoding</w:t>
            </w:r>
          </w:p>
        </w:tc>
      </w:tr>
      <w:tr w:rsidR="004F7557" w14:paraId="435A099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35A0997" w14:textId="77777777" w:rsidR="004F7557" w:rsidRDefault="00000000">
            <w:r>
              <w:rPr>
                <w:sz w:val="20"/>
                <w:szCs w:val="20"/>
              </w:rPr>
              <w:t>D4RT</w:t>
            </w:r>
          </w:p>
        </w:tc>
        <w:tc>
          <w:tcPr>
            <w:tcW w:w="2500" w:type="dxa"/>
          </w:tcPr>
          <w:p w14:paraId="435A0998" w14:textId="77777777" w:rsidR="004F7557" w:rsidRDefault="00000000">
            <w:r>
              <w:rPr>
                <w:sz w:val="20"/>
                <w:szCs w:val="20"/>
              </w:rPr>
              <w:t>CVPR 2026 Best Paper</w:t>
            </w:r>
          </w:p>
        </w:tc>
        <w:tc>
          <w:tcPr>
            <w:tcW w:w="2500" w:type="dxa"/>
          </w:tcPr>
          <w:p w14:paraId="435A0999" w14:textId="77777777" w:rsidR="004F7557" w:rsidRDefault="00000000">
            <w:r>
              <w:rPr>
                <w:sz w:val="20"/>
                <w:szCs w:val="20"/>
              </w:rPr>
              <w:t>Unified query-based 4D reconstruction (depth, pose, tracking)</w:t>
            </w:r>
          </w:p>
        </w:tc>
        <w:tc>
          <w:tcPr>
            <w:tcW w:w="2500" w:type="dxa"/>
          </w:tcPr>
          <w:p w14:paraId="435A099A" w14:textId="77777777" w:rsidR="004F7557" w:rsidRDefault="00000000">
            <w:r>
              <w:rPr>
                <w:sz w:val="20"/>
                <w:szCs w:val="20"/>
              </w:rPr>
              <w:t>Independent parallel queries + occupancy grid</w:t>
            </w:r>
          </w:p>
        </w:tc>
      </w:tr>
    </w:tbl>
    <w:p w14:paraId="435A099C" w14:textId="77777777" w:rsidR="004F7557" w:rsidRDefault="004F7557">
      <w:pPr>
        <w:spacing w:after="120"/>
      </w:pPr>
    </w:p>
    <w:p w14:paraId="0B9FED35" w14:textId="77777777" w:rsidR="00E846C4" w:rsidRDefault="00000000">
      <w:pPr>
        <w:spacing w:after="120"/>
      </w:pPr>
      <w:r>
        <w:rPr>
          <w:i/>
          <w:iCs/>
          <w:color w:val="555555"/>
        </w:rPr>
        <w:t xml:space="preserve">Note: your uploaded notes covered five papers in total (SAM 3D, </w:t>
      </w:r>
      <w:proofErr w:type="spellStart"/>
      <w:r>
        <w:rPr>
          <w:i/>
          <w:iCs/>
          <w:color w:val="555555"/>
        </w:rPr>
        <w:t>ChordEdit</w:t>
      </w:r>
      <w:proofErr w:type="spellEnd"/>
      <w:r>
        <w:rPr>
          <w:i/>
          <w:iCs/>
          <w:color w:val="555555"/>
        </w:rPr>
        <w:t xml:space="preserve">, Structured </w:t>
      </w:r>
      <w:proofErr w:type="spellStart"/>
      <w:r>
        <w:rPr>
          <w:i/>
          <w:iCs/>
          <w:color w:val="555555"/>
        </w:rPr>
        <w:t>Latents</w:t>
      </w:r>
      <w:proofErr w:type="spellEnd"/>
      <w:r>
        <w:rPr>
          <w:i/>
          <w:iCs/>
          <w:color w:val="555555"/>
        </w:rPr>
        <w:t xml:space="preserve"> / TRELLIS 2, NITROGEN, and D4RT), each with its own “Why Awarded” discussion in the source notes.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35"/>
        <w:gridCol w:w="5035"/>
      </w:tblGrid>
      <w:tr w:rsidR="00E846C4" w14:paraId="1CFEAD59" w14:textId="77777777" w:rsidTr="0035676F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115BAEE6" w14:textId="77777777" w:rsidR="00E846C4" w:rsidRDefault="00E846C4" w:rsidP="0035676F">
            <w:r>
              <w:rPr>
                <w:sz w:val="20"/>
                <w:szCs w:val="20"/>
              </w:rPr>
              <w:t>One-step editing via Optimal-Transport-derived control field</w:t>
            </w:r>
          </w:p>
        </w:tc>
        <w:tc>
          <w:tcPr>
            <w:tcW w:w="2500" w:type="dxa"/>
          </w:tcPr>
          <w:p w14:paraId="05515A37" w14:textId="77777777" w:rsidR="00E846C4" w:rsidRDefault="00E846C4" w:rsidP="0035676F">
            <w:r>
              <w:rPr>
                <w:sz w:val="20"/>
                <w:szCs w:val="20"/>
              </w:rPr>
              <w:t>n = 1 noise sample; NFE = 1 per stage</w:t>
            </w:r>
          </w:p>
        </w:tc>
      </w:tr>
    </w:tbl>
    <w:p w14:paraId="435A099D" w14:textId="26A10DEC" w:rsidR="004F7557" w:rsidRDefault="004F7557">
      <w:pPr>
        <w:spacing w:after="120"/>
      </w:pPr>
    </w:p>
    <w:sectPr w:rsidR="004F755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644"/>
    <w:multiLevelType w:val="hybridMultilevel"/>
    <w:tmpl w:val="51047C60"/>
    <w:lvl w:ilvl="0" w:tplc="DC0A1262">
      <w:start w:val="1"/>
      <w:numFmt w:val="bullet"/>
      <w:lvlText w:val="•"/>
      <w:lvlJc w:val="left"/>
      <w:pPr>
        <w:ind w:left="360" w:hanging="260"/>
      </w:pPr>
    </w:lvl>
    <w:lvl w:ilvl="1" w:tplc="A0B49356">
      <w:start w:val="1"/>
      <w:numFmt w:val="bullet"/>
      <w:lvlText w:val="◦"/>
      <w:lvlJc w:val="left"/>
      <w:pPr>
        <w:ind w:left="720" w:hanging="260"/>
      </w:pPr>
    </w:lvl>
    <w:lvl w:ilvl="2" w:tplc="B1BE7594">
      <w:numFmt w:val="decimal"/>
      <w:lvlText w:val=""/>
      <w:lvlJc w:val="left"/>
    </w:lvl>
    <w:lvl w:ilvl="3" w:tplc="3E08218E">
      <w:numFmt w:val="decimal"/>
      <w:lvlText w:val=""/>
      <w:lvlJc w:val="left"/>
    </w:lvl>
    <w:lvl w:ilvl="4" w:tplc="895AD540">
      <w:numFmt w:val="decimal"/>
      <w:lvlText w:val=""/>
      <w:lvlJc w:val="left"/>
    </w:lvl>
    <w:lvl w:ilvl="5" w:tplc="803ACA22">
      <w:numFmt w:val="decimal"/>
      <w:lvlText w:val=""/>
      <w:lvlJc w:val="left"/>
    </w:lvl>
    <w:lvl w:ilvl="6" w:tplc="F9C47628">
      <w:numFmt w:val="decimal"/>
      <w:lvlText w:val=""/>
      <w:lvlJc w:val="left"/>
    </w:lvl>
    <w:lvl w:ilvl="7" w:tplc="6E6ED2D2">
      <w:numFmt w:val="decimal"/>
      <w:lvlText w:val=""/>
      <w:lvlJc w:val="left"/>
    </w:lvl>
    <w:lvl w:ilvl="8" w:tplc="7B423622">
      <w:numFmt w:val="decimal"/>
      <w:lvlText w:val=""/>
      <w:lvlJc w:val="left"/>
    </w:lvl>
  </w:abstractNum>
  <w:abstractNum w:abstractNumId="1" w15:restartNumberingAfterBreak="0">
    <w:nsid w:val="700F4619"/>
    <w:multiLevelType w:val="hybridMultilevel"/>
    <w:tmpl w:val="B1FCA494"/>
    <w:lvl w:ilvl="0" w:tplc="4CFEF9DC">
      <w:start w:val="1"/>
      <w:numFmt w:val="bullet"/>
      <w:lvlText w:val="●"/>
      <w:lvlJc w:val="left"/>
      <w:pPr>
        <w:ind w:left="720" w:hanging="360"/>
      </w:pPr>
    </w:lvl>
    <w:lvl w:ilvl="1" w:tplc="1736DB22">
      <w:start w:val="1"/>
      <w:numFmt w:val="bullet"/>
      <w:lvlText w:val="○"/>
      <w:lvlJc w:val="left"/>
      <w:pPr>
        <w:ind w:left="1440" w:hanging="360"/>
      </w:pPr>
    </w:lvl>
    <w:lvl w:ilvl="2" w:tplc="31FE2F3E">
      <w:start w:val="1"/>
      <w:numFmt w:val="bullet"/>
      <w:lvlText w:val="■"/>
      <w:lvlJc w:val="left"/>
      <w:pPr>
        <w:ind w:left="2160" w:hanging="360"/>
      </w:pPr>
    </w:lvl>
    <w:lvl w:ilvl="3" w:tplc="E940C3C4">
      <w:start w:val="1"/>
      <w:numFmt w:val="bullet"/>
      <w:lvlText w:val="●"/>
      <w:lvlJc w:val="left"/>
      <w:pPr>
        <w:ind w:left="2880" w:hanging="360"/>
      </w:pPr>
    </w:lvl>
    <w:lvl w:ilvl="4" w:tplc="DF3211E6">
      <w:start w:val="1"/>
      <w:numFmt w:val="bullet"/>
      <w:lvlText w:val="○"/>
      <w:lvlJc w:val="left"/>
      <w:pPr>
        <w:ind w:left="3600" w:hanging="360"/>
      </w:pPr>
    </w:lvl>
    <w:lvl w:ilvl="5" w:tplc="F47E394C">
      <w:start w:val="1"/>
      <w:numFmt w:val="bullet"/>
      <w:lvlText w:val="■"/>
      <w:lvlJc w:val="left"/>
      <w:pPr>
        <w:ind w:left="4320" w:hanging="360"/>
      </w:pPr>
    </w:lvl>
    <w:lvl w:ilvl="6" w:tplc="95A8F83E">
      <w:start w:val="1"/>
      <w:numFmt w:val="bullet"/>
      <w:lvlText w:val="●"/>
      <w:lvlJc w:val="left"/>
      <w:pPr>
        <w:ind w:left="5040" w:hanging="360"/>
      </w:pPr>
    </w:lvl>
    <w:lvl w:ilvl="7" w:tplc="1DE8CFE0">
      <w:start w:val="1"/>
      <w:numFmt w:val="bullet"/>
      <w:lvlText w:val="●"/>
      <w:lvlJc w:val="left"/>
      <w:pPr>
        <w:ind w:left="5760" w:hanging="360"/>
      </w:pPr>
    </w:lvl>
    <w:lvl w:ilvl="8" w:tplc="79FE9D1E">
      <w:start w:val="1"/>
      <w:numFmt w:val="bullet"/>
      <w:lvlText w:val="●"/>
      <w:lvlJc w:val="left"/>
      <w:pPr>
        <w:ind w:left="6480" w:hanging="360"/>
      </w:pPr>
    </w:lvl>
  </w:abstractNum>
  <w:num w:numId="1" w16cid:durableId="1702970109">
    <w:abstractNumId w:val="1"/>
    <w:lvlOverride w:ilvl="0">
      <w:startOverride w:val="1"/>
    </w:lvlOverride>
  </w:num>
  <w:num w:numId="2" w16cid:durableId="18987373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7557"/>
    <w:rsid w:val="001B26CE"/>
    <w:rsid w:val="004F7557"/>
    <w:rsid w:val="00E84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A08CE"/>
  <w15:docId w15:val="{0853AB31-9FF3-47EB-A924-4E49552EE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300" w:after="150"/>
      <w:outlineLvl w:val="1"/>
    </w:pPr>
    <w:rPr>
      <w:b/>
      <w:bCs/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1F3864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3384</Words>
  <Characters>19289</Characters>
  <Application>Microsoft Office Word</Application>
  <DocSecurity>0</DocSecurity>
  <Lines>160</Lines>
  <Paragraphs>45</Paragraphs>
  <ScaleCrop>false</ScaleCrop>
  <Company>dentsu International</Company>
  <LinksUpToDate>false</LinksUpToDate>
  <CharactersWithSpaces>22628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Kai Kullachart Ekvoratham</cp:lastModifiedBy>
  <cp:revision>2</cp:revision>
  <dcterms:created xsi:type="dcterms:W3CDTF">2026-07-18T04:33:00Z</dcterms:created>
  <dcterms:modified xsi:type="dcterms:W3CDTF">2026-07-22T00:46:00Z</dcterms:modified>
</cp:coreProperties>
</file>