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69521A" w14:textId="32CD1841" w:rsidR="00AB1930" w:rsidRPr="00AB1930" w:rsidRDefault="00AB1930" w:rsidP="00AB1930">
      <w:pPr>
        <w:spacing w:after="0" w:line="240" w:lineRule="auto"/>
        <w:outlineLvl w:val="1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AB1930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Lessons Learn</w:t>
      </w:r>
      <w:r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ed</w:t>
      </w:r>
    </w:p>
    <w:p w14:paraId="337F5B94" w14:textId="77777777" w:rsidR="00AB1930" w:rsidRPr="00AB1930" w:rsidRDefault="00AB1930" w:rsidP="00AB1930">
      <w:pPr>
        <w:spacing w:after="0" w:line="240" w:lineRule="auto"/>
        <w:outlineLvl w:val="2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>1. Dig Into the Root Cause, Don't Just Apply Heuristic Band-Aids</w:t>
      </w:r>
    </w:p>
    <w:p w14:paraId="37E91615" w14:textId="77777777" w:rsidR="00AB1930" w:rsidRPr="00AB1930" w:rsidRDefault="00AB1930" w:rsidP="00AB1930">
      <w:pPr>
        <w:numPr>
          <w:ilvl w:val="0"/>
          <w:numId w:val="3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The Lesson: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When adapting old paradigms to newly distilled models, don't just patch up the symptoms; look at the underlying vector physics.</w:t>
      </w:r>
    </w:p>
    <w:p w14:paraId="0400EAE4" w14:textId="77777777" w:rsidR="00AB1930" w:rsidRPr="00AB1930" w:rsidRDefault="00AB1930" w:rsidP="00AB1930">
      <w:pPr>
        <w:numPr>
          <w:ilvl w:val="0"/>
          <w:numId w:val="3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Application in Paper: Prior attempts to perform one-step text-guided editing on distilled architectures (like SD-Turbo) resulted in horrific structural breakdown and background corruption. Rather than introducing external protective masks or heavy post-processing networks to fix the distortion, the authors analyzed </w:t>
      </w:r>
      <w:r w:rsidRPr="00AB1930">
        <w:rPr>
          <w:rFonts w:ascii="Tahoma" w:eastAsia="Times New Roman" w:hAnsi="Tahoma" w:cs="Tahoma"/>
          <w:i/>
          <w:i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why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it happened: naive drift differencing creates an erratic, high-energy control field that accumulates immense truncation error over a single large integration step.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323FD657" w14:textId="77777777" w:rsidR="00AB1930" w:rsidRPr="00AB1930" w:rsidRDefault="00AB1930" w:rsidP="00AB1930">
      <w:pPr>
        <w:spacing w:after="0" w:line="240" w:lineRule="auto"/>
        <w:outlineLvl w:val="2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>2. Recast Empirical Messes into Elegant Mathematical Theories</w:t>
      </w:r>
    </w:p>
    <w:p w14:paraId="560E9335" w14:textId="77777777" w:rsidR="00AB1930" w:rsidRPr="00AB1930" w:rsidRDefault="00AB1930" w:rsidP="00AB1930">
      <w:pPr>
        <w:numPr>
          <w:ilvl w:val="0"/>
          <w:numId w:val="4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The Lesson: Complex deep learning artifacts can often be elegantly resolved by mapping the problem to classical mathematical frameworks like Dynamic Optimal Transport (OT).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08323CA9" w14:textId="77777777" w:rsidR="00AB1930" w:rsidRPr="00AB1930" w:rsidRDefault="00AB1930" w:rsidP="00AB1930">
      <w:pPr>
        <w:numPr>
          <w:ilvl w:val="0"/>
          <w:numId w:val="4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Application in Paper: The authors reframed image editing as a distribution estimation problem under the Benamou-Brenier dynamic OT framework. By treating the chaotic naive drift as a noisy measurement of an ideal, smooth vector field, they derived a strictly convex quadratic surrogate to find a smooth, low-energy trajectory.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0A4DE229" w14:textId="77777777" w:rsidR="00AB1930" w:rsidRPr="00AB1930" w:rsidRDefault="00AB1930" w:rsidP="00AB1930">
      <w:pPr>
        <w:spacing w:after="0" w:line="240" w:lineRule="auto"/>
        <w:outlineLvl w:val="2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>3. Simplify Sampling Complexity via Intrinsic Variance Reduction</w:t>
      </w:r>
    </w:p>
    <w:p w14:paraId="68E9EC4D" w14:textId="77777777" w:rsidR="00AB1930" w:rsidRPr="00AB1930" w:rsidRDefault="00AB1930" w:rsidP="00AB1930">
      <w:pPr>
        <w:numPr>
          <w:ilvl w:val="0"/>
          <w:numId w:val="5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The Lesson: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High variance in Monte Carlo estimation can be mitigated through structural/geometric design rather than throwing more compute (multiple noise samples) at the problem.</w:t>
      </w:r>
    </w:p>
    <w:p w14:paraId="711B22A8" w14:textId="1BFE43D9" w:rsidR="00AB1930" w:rsidRPr="00AB1930" w:rsidRDefault="00AB1930" w:rsidP="00AB1930">
      <w:pPr>
        <w:numPr>
          <w:ilvl w:val="0"/>
          <w:numId w:val="5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Application in Paper: While classical practices require multiple noise samples (</w:t>
      </w:r>
      <m:oMath>
        <m:r>
          <w:rPr>
            <w:rFonts w:ascii="Cambria Math" w:eastAsia="Times New Roman" w:hAnsi="Cambria Math" w:cs="Tahoma"/>
            <w:color w:val="1F1F1F"/>
            <w:kern w:val="0"/>
            <w:sz w:val="20"/>
            <w:szCs w:val="20"/>
            <w14:ligatures w14:val="none"/>
          </w:rPr>
          <m:t>n&gt;1</m:t>
        </m:r>
      </m:oMath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) to reduce estimator variance, the authors proved that the temporal smoothing nature of their Chord Control Field (CCF) intrinsically reduces variance. This allowed their model to remain seed-robust and accurate using just a single noise sample (</w:t>
      </w:r>
      <m:oMath>
        <m:r>
          <w:rPr>
            <w:rFonts w:ascii="Cambria Math" w:eastAsia="Times New Roman" w:hAnsi="Cambria Math" w:cs="Tahoma"/>
            <w:color w:val="1F1F1F"/>
            <w:kern w:val="0"/>
            <w:sz w:val="20"/>
            <w:szCs w:val="20"/>
            <w14:ligatures w14:val="none"/>
          </w:rPr>
          <m:t>n=1</m:t>
        </m:r>
      </m:oMath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), saving significant computing overhead.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22D1693B" w14:textId="77777777" w:rsidR="00AB1930" w:rsidRDefault="00AB1930" w:rsidP="00AB1930">
      <w:pPr>
        <w:spacing w:after="0" w:line="240" w:lineRule="auto"/>
        <w:outlineLvl w:val="1"/>
        <w:rPr>
          <w:rFonts w:ascii="Apple Color Emoji" w:eastAsia="Times New Roman" w:hAnsi="Apple Color Emoji" w:cs="Apple Color Emoji"/>
          <w:b/>
          <w:bCs/>
          <w:color w:val="1F1F1F"/>
          <w:kern w:val="0"/>
          <w:sz w:val="20"/>
          <w:szCs w:val="20"/>
          <w14:ligatures w14:val="none"/>
        </w:rPr>
      </w:pPr>
    </w:p>
    <w:p w14:paraId="390D7B52" w14:textId="7ED990B6" w:rsidR="00AB1930" w:rsidRPr="00AB1930" w:rsidRDefault="00AB1930" w:rsidP="00AB1930">
      <w:pPr>
        <w:spacing w:after="0" w:line="240" w:lineRule="auto"/>
        <w:outlineLvl w:val="1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AB1930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 xml:space="preserve">Key Takeaways </w:t>
      </w:r>
    </w:p>
    <w:p w14:paraId="5540CF08" w14:textId="3FB52A07" w:rsidR="00AB1930" w:rsidRPr="00AB1930" w:rsidRDefault="00AB1930" w:rsidP="00AB1930">
      <w:pPr>
        <w:spacing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AB1930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The Core Innovation: Chord Control Field (CCF)</w:t>
      </w:r>
    </w:p>
    <w:p w14:paraId="3253425E" w14:textId="77777777" w:rsidR="00AB1930" w:rsidRPr="00AB1930" w:rsidRDefault="00AB1930" w:rsidP="00AB1930">
      <w:pPr>
        <w:numPr>
          <w:ilvl w:val="0"/>
          <w:numId w:val="6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AB1930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What it replaces: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The naive instantaneous drift difference:</w:t>
      </w:r>
    </w:p>
    <w:p w14:paraId="3F25EF88" w14:textId="77777777" w:rsidR="00AB1930" w:rsidRPr="00AB1930" w:rsidRDefault="00AB1930" w:rsidP="00AB1930">
      <w:pPr>
        <w:spacing w:after="0" w:line="240" w:lineRule="auto"/>
        <w:ind w:left="720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ahoma"/>
              <w:color w:val="1F1F1F"/>
              <w:kern w:val="0"/>
              <w:sz w:val="20"/>
              <w:szCs w:val="20"/>
              <w14:ligatures w14:val="none"/>
            </w:rPr>
            <m:t>Δ</m:t>
          </m:r>
          <m:r>
            <w:rPr>
              <w:rFonts w:ascii="Cambria Math" w:eastAsia="Times New Roman" w:hAnsi="Cambria Math" w:cs="Tahoma"/>
              <w:color w:val="1F1F1F"/>
              <w:kern w:val="0"/>
              <w:sz w:val="20"/>
              <w:szCs w:val="20"/>
              <w14:ligatures w14:val="none"/>
            </w:rPr>
            <m:t>v</m:t>
          </m:r>
          <m:d>
            <m:dPr>
              <m:ctrlPr>
                <w:rPr>
                  <w:rFonts w:ascii="Cambria Math" w:eastAsia="Times New Roman" w:hAnsi="Cambria Math" w:cs="Tahoma"/>
                  <w:color w:val="1F1F1F"/>
                  <w:kern w:val="0"/>
                  <w:sz w:val="20"/>
                  <w:szCs w:val="2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ahoma"/>
                  <w:color w:val="1F1F1F"/>
                  <w:kern w:val="0"/>
                  <w:sz w:val="20"/>
                  <w:szCs w:val="20"/>
                  <w14:ligatures w14:val="none"/>
                </w:rPr>
                <m:t>,t</m:t>
              </m:r>
            </m:e>
          </m:d>
          <m:r>
            <w:rPr>
              <w:rFonts w:ascii="Cambria Math" w:eastAsia="Times New Roman" w:hAnsi="Cambria Math" w:cs="Tahoma"/>
              <w:color w:val="1F1F1F"/>
              <w:kern w:val="0"/>
              <w:sz w:val="20"/>
              <w:szCs w:val="20"/>
              <w14:ligatures w14:val="none"/>
            </w:rPr>
            <m:t>=v</m:t>
          </m:r>
          <m:d>
            <m:dPr>
              <m:ctrlPr>
                <w:rPr>
                  <w:rFonts w:ascii="Cambria Math" w:eastAsia="Times New Roman" w:hAnsi="Cambria Math" w:cs="Tahoma"/>
                  <w:color w:val="1F1F1F"/>
                  <w:kern w:val="0"/>
                  <w:sz w:val="20"/>
                  <w:szCs w:val="2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ahoma"/>
                  <w:color w:val="1F1F1F"/>
                  <w:kern w:val="0"/>
                  <w:sz w:val="20"/>
                  <w:szCs w:val="20"/>
                  <w14:ligatures w14:val="none"/>
                </w:rPr>
                <m:t>,t,</m:t>
              </m:r>
              <m:sSub>
                <m:sSubPr>
                  <m:ctrlP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  <m:t>tar</m:t>
                  </m:r>
                </m:sub>
              </m:sSub>
            </m:e>
          </m:d>
          <m:r>
            <w:rPr>
              <w:rFonts w:ascii="Cambria Math" w:eastAsia="Times New Roman" w:hAnsi="Cambria Math" w:cs="Tahoma"/>
              <w:color w:val="1F1F1F"/>
              <w:kern w:val="0"/>
              <w:sz w:val="20"/>
              <w:szCs w:val="20"/>
              <w14:ligatures w14:val="none"/>
            </w:rPr>
            <m:t>-v</m:t>
          </m:r>
          <m:d>
            <m:dPr>
              <m:ctrlPr>
                <w:rPr>
                  <w:rFonts w:ascii="Cambria Math" w:eastAsia="Times New Roman" w:hAnsi="Cambria Math" w:cs="Tahoma"/>
                  <w:color w:val="1F1F1F"/>
                  <w:kern w:val="0"/>
                  <w:sz w:val="20"/>
                  <w:szCs w:val="2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ahoma"/>
                  <w:color w:val="1F1F1F"/>
                  <w:kern w:val="0"/>
                  <w:sz w:val="20"/>
                  <w:szCs w:val="20"/>
                  <w14:ligatures w14:val="none"/>
                </w:rPr>
                <m:t>,t,</m:t>
              </m:r>
              <m:sSub>
                <m:sSubPr>
                  <m:ctrlP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  <m:t>src</m:t>
                  </m:r>
                </m:sub>
              </m:sSub>
            </m:e>
          </m:d>
        </m:oMath>
      </m:oMathPara>
    </w:p>
    <w:p w14:paraId="2D631703" w14:textId="77777777" w:rsidR="00AB1930" w:rsidRPr="00AB1930" w:rsidRDefault="00AB1930" w:rsidP="00AB1930">
      <w:pPr>
        <w:numPr>
          <w:ilvl w:val="0"/>
          <w:numId w:val="6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AB1930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What it introduces: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A causal, one-sided kernel smoothing operator that time-averages the proxy fields over a short window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ahoma"/>
                <w:color w:val="1F1F1F"/>
                <w:kern w:val="0"/>
                <w:sz w:val="20"/>
                <w:szCs w:val="2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ahoma"/>
                <w:color w:val="1F1F1F"/>
                <w:kern w:val="0"/>
                <w:sz w:val="20"/>
                <w:szCs w:val="20"/>
                <w14:ligatures w14:val="none"/>
              </w:rPr>
              <m:t>t-δ,t</m:t>
            </m:r>
          </m:e>
        </m:d>
      </m:oMath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</w:p>
    <w:p w14:paraId="4D76A96D" w14:textId="77777777" w:rsidR="00AB1930" w:rsidRPr="00AB1930" w:rsidRDefault="00AB1930" w:rsidP="00AB1930">
      <w:pPr>
        <w:spacing w:after="0" w:line="240" w:lineRule="auto"/>
        <w:ind w:left="720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ahoma"/>
                  <w:color w:val="1F1F1F"/>
                  <w:kern w:val="0"/>
                  <w:sz w:val="20"/>
                  <w:szCs w:val="20"/>
                  <w14:ligatures w14:val="none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="Times New Roman" w:hAnsi="Cambria Math" w:cs="Tahoma"/>
                  <w:color w:val="1F1F1F"/>
                  <w:kern w:val="0"/>
                  <w:sz w:val="20"/>
                  <w:szCs w:val="20"/>
                  <w14:ligatures w14:val="none"/>
                </w:rPr>
                <m:t>t</m:t>
              </m:r>
            </m:sub>
          </m:sSub>
          <m:d>
            <m:dPr>
              <m:ctrlPr>
                <w:rPr>
                  <w:rFonts w:ascii="Cambria Math" w:eastAsia="Times New Roman" w:hAnsi="Cambria Math" w:cs="Tahoma"/>
                  <w:color w:val="1F1F1F"/>
                  <w:kern w:val="0"/>
                  <w:sz w:val="20"/>
                  <w:szCs w:val="2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  <m:t>τ</m:t>
                  </m:r>
                </m:sub>
              </m:sSub>
            </m:e>
          </m:d>
          <m:r>
            <w:rPr>
              <w:rFonts w:ascii="Cambria Math" w:eastAsia="Times New Roman" w:hAnsi="Cambria Math" w:cs="Tahoma"/>
              <w:color w:val="1F1F1F"/>
              <w:kern w:val="0"/>
              <w:sz w:val="20"/>
              <w:szCs w:val="2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ahoma"/>
                  <w:color w:val="1F1F1F"/>
                  <w:kern w:val="0"/>
                  <w:sz w:val="20"/>
                  <w:szCs w:val="2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ahoma"/>
                  <w:color w:val="1F1F1F"/>
                  <w:kern w:val="0"/>
                  <w:sz w:val="20"/>
                  <w:szCs w:val="20"/>
                  <w14:ligatures w14:val="none"/>
                </w:rPr>
                <m:t>t R</m:t>
              </m:r>
              <m:d>
                <m:dPr>
                  <m:ctrlP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ahoma"/>
                          <w:color w:val="1F1F1F"/>
                          <w:kern w:val="0"/>
                          <w:sz w:val="20"/>
                          <w:szCs w:val="2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ahoma"/>
                          <w:color w:val="1F1F1F"/>
                          <w:kern w:val="0"/>
                          <w:sz w:val="20"/>
                          <w:szCs w:val="20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ahoma"/>
                          <w:color w:val="1F1F1F"/>
                          <w:kern w:val="0"/>
                          <w:sz w:val="20"/>
                          <w:szCs w:val="20"/>
                          <w14:ligatures w14:val="none"/>
                        </w:rPr>
                        <m:t>τ</m:t>
                      </m:r>
                    </m:sub>
                  </m:sSub>
                  <m: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  <m:t>,t-δ</m:t>
                  </m:r>
                </m:e>
              </m:d>
              <m:r>
                <w:rPr>
                  <w:rFonts w:ascii="Cambria Math" w:eastAsia="Times New Roman" w:hAnsi="Cambria Math" w:cs="Tahoma"/>
                  <w:color w:val="1F1F1F"/>
                  <w:kern w:val="0"/>
                  <w:sz w:val="20"/>
                  <w:szCs w:val="20"/>
                  <w14:ligatures w14:val="none"/>
                </w:rPr>
                <m:t>+δ R</m:t>
              </m:r>
              <m:d>
                <m:dPr>
                  <m:ctrlP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ahoma"/>
                          <w:color w:val="1F1F1F"/>
                          <w:kern w:val="0"/>
                          <w:sz w:val="20"/>
                          <w:szCs w:val="2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ahoma"/>
                          <w:color w:val="1F1F1F"/>
                          <w:kern w:val="0"/>
                          <w:sz w:val="20"/>
                          <w:szCs w:val="20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ahoma"/>
                          <w:color w:val="1F1F1F"/>
                          <w:kern w:val="0"/>
                          <w:sz w:val="20"/>
                          <w:szCs w:val="20"/>
                          <w14:ligatures w14:val="none"/>
                        </w:rPr>
                        <m:t>τ</m:t>
                      </m:r>
                    </m:sub>
                  </m:sSub>
                  <m:r>
                    <w:rPr>
                      <w:rFonts w:ascii="Cambria Math" w:eastAsia="Times New Roman" w:hAnsi="Cambria Math" w:cs="Tahoma"/>
                      <w:color w:val="1F1F1F"/>
                      <w:kern w:val="0"/>
                      <w:sz w:val="20"/>
                      <w:szCs w:val="20"/>
                      <w14:ligatures w14:val="none"/>
                    </w:rPr>
                    <m:t>,t</m:t>
                  </m:r>
                </m:e>
              </m:d>
            </m:num>
            <m:den>
              <m:r>
                <w:rPr>
                  <w:rFonts w:ascii="Cambria Math" w:eastAsia="Times New Roman" w:hAnsi="Cambria Math" w:cs="Tahoma"/>
                  <w:color w:val="1F1F1F"/>
                  <w:kern w:val="0"/>
                  <w:sz w:val="20"/>
                  <w:szCs w:val="20"/>
                  <w14:ligatures w14:val="none"/>
                </w:rPr>
                <m:t>t+δ</m:t>
              </m:r>
            </m:den>
          </m:f>
        </m:oMath>
      </m:oMathPara>
    </w:p>
    <w:p w14:paraId="5C4EA48B" w14:textId="77777777" w:rsidR="00AB1930" w:rsidRPr="00AB1930" w:rsidRDefault="00AB1930" w:rsidP="00AB1930">
      <w:pPr>
        <w:numPr>
          <w:ilvl w:val="0"/>
          <w:numId w:val="6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AB1930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Why it works: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By Jensen's inequality, this averaging acts as an </w:t>
      </w:r>
      <m:oMath>
        <m:sSup>
          <m:sSupPr>
            <m:ctrlPr>
              <w:rPr>
                <w:rFonts w:ascii="Cambria Math" w:eastAsia="Times New Roman" w:hAnsi="Cambria Math" w:cs="Tahoma"/>
                <w:color w:val="1F1F1F"/>
                <w:kern w:val="0"/>
                <w:sz w:val="20"/>
                <w:szCs w:val="2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ahoma"/>
                <w:color w:val="1F1F1F"/>
                <w:kern w:val="0"/>
                <w:sz w:val="20"/>
                <w:szCs w:val="20"/>
                <w14:ligatures w14:val="none"/>
              </w:rPr>
              <m:t>L</m:t>
            </m:r>
          </m:e>
          <m:sup>
            <m:r>
              <w:rPr>
                <w:rFonts w:ascii="Cambria Math" w:eastAsia="Times New Roman" w:hAnsi="Cambria Math" w:cs="Tahoma"/>
                <w:color w:val="1F1F1F"/>
                <w:kern w:val="0"/>
                <w:sz w:val="20"/>
                <w:szCs w:val="20"/>
                <w14:ligatures w14:val="none"/>
              </w:rPr>
              <m:t>2</m:t>
            </m:r>
          </m:sup>
        </m:sSup>
      </m:oMath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-contraction that suppresses high-energy spikes. It contracts the supremum norms of the field, its time derivative, and spatial gradients—directly reducing the local truncation error and extending the step-size stability margin to allow a single, large </w:t>
      </w:r>
      <m:oMath>
        <m:r>
          <w:rPr>
            <w:rFonts w:ascii="Cambria Math" w:eastAsia="Times New Roman" w:hAnsi="Cambria Math" w:cs="Tahoma"/>
            <w:color w:val="1F1F1F"/>
            <w:kern w:val="0"/>
            <w:sz w:val="20"/>
            <w:szCs w:val="20"/>
            <w14:ligatures w14:val="none"/>
          </w:rPr>
          <m:t>h=</m:t>
        </m:r>
        <m:r>
          <w:rPr>
            <w:rFonts w:ascii="Cambria Math" w:eastAsia="Times New Roman" w:hAnsi="Cambria Math" w:cs="Tahoma"/>
            <w:color w:val="1F1F1F"/>
            <w:kern w:val="0"/>
            <w:sz w:val="20"/>
            <w:szCs w:val="20"/>
            <w14:ligatures w14:val="none"/>
          </w:rPr>
          <m:t>1</m:t>
        </m:r>
      </m:oMath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integration step.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500B628E" w14:textId="1B71FEEE" w:rsidR="00AB1930" w:rsidRPr="00AB1930" w:rsidRDefault="00AB1930" w:rsidP="00AB1930">
      <w:pPr>
        <w:spacing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AB1930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Decoupling Design: Transport vs. Refinement</w:t>
      </w:r>
    </w:p>
    <w:p w14:paraId="5FD0B74D" w14:textId="77777777" w:rsidR="00AB1930" w:rsidRPr="00AB1930" w:rsidRDefault="00AB1930" w:rsidP="00AB1930">
      <w:pPr>
        <w:numPr>
          <w:ilvl w:val="0"/>
          <w:numId w:val="7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Future architectures can benefit from ChordEdit's two-stage modular strategy: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6514FD61" w14:textId="77777777" w:rsidR="00AB1930" w:rsidRPr="00AB1930" w:rsidRDefault="00AB1930" w:rsidP="00AB1930">
      <w:pPr>
        <w:numPr>
          <w:ilvl w:val="1"/>
          <w:numId w:val="7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AB1930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Structure-Preserving Transport 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(NFE = 1): The low-energy CCF moves the image distribution safely to the target domain while preserving non-edited backgrounds.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71496E77" w14:textId="77777777" w:rsidR="00AB1930" w:rsidRPr="00AB1930" w:rsidRDefault="00AB1930" w:rsidP="00AB1930">
      <w:pPr>
        <w:numPr>
          <w:ilvl w:val="1"/>
          <w:numId w:val="7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AB1930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Proximal Refinement 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(Optional, NFE = 1): A lightweight, single forward pass using only the target prompt (</w:t>
      </w:r>
      <m:oMath>
        <m:sSub>
          <m:sSubPr>
            <m:ctrlPr>
              <w:rPr>
                <w:rFonts w:ascii="Cambria Math" w:eastAsia="Times New Roman" w:hAnsi="Cambria Math" w:cs="Tahoma"/>
                <w:color w:val="1F1F1F"/>
                <w:kern w:val="0"/>
                <w:sz w:val="20"/>
                <w:szCs w:val="2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ahoma"/>
                <w:color w:val="1F1F1F"/>
                <w:kern w:val="0"/>
                <w:sz w:val="20"/>
                <w:szCs w:val="2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ahoma"/>
                <w:color w:val="1F1F1F"/>
                <w:kern w:val="0"/>
                <w:sz w:val="20"/>
                <w:szCs w:val="20"/>
                <w14:ligatures w14:val="none"/>
              </w:rPr>
              <m:t>tar</m:t>
            </m:r>
          </m:sub>
        </m:sSub>
      </m:oMath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) to amplify target semantics without messing up the geometry established by the transport phase.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291FD194" w14:textId="62DBA5BC" w:rsidR="00AB1930" w:rsidRPr="00AB1930" w:rsidRDefault="00AB1930" w:rsidP="00AB1930">
      <w:pPr>
        <w:spacing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AB1930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Performance and Pareto Dominance</w:t>
      </w:r>
    </w:p>
    <w:p w14:paraId="44B7E877" w14:textId="77777777" w:rsidR="00AB1930" w:rsidRPr="00AB1930" w:rsidRDefault="00AB1930" w:rsidP="00AB1930">
      <w:pPr>
        <w:numPr>
          <w:ilvl w:val="0"/>
          <w:numId w:val="8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AB1930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Compute Footprint: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Achieves state-of-the-art inference efficiency with a lightning-fast runtime of 0.38 seconds and a low VRAM footprint (&lt;7000 MiB), which is less than half the VRAM of previous one-step competitors like SwiftEdit.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5E5E04EE" w14:textId="77777777" w:rsidR="00AB1930" w:rsidRPr="00AB1930" w:rsidRDefault="00AB1930" w:rsidP="00AB1930">
      <w:pPr>
        <w:numPr>
          <w:ilvl w:val="0"/>
          <w:numId w:val="8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AB1930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Pareto Frontier: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The method strictly Pareto-dominates naive baselines across various text-to-image models (InstaFlow, SwiftBrush-v2, SD-Turbo), proving its model-agnostic robustness.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34D91575" w14:textId="77777777" w:rsidR="00AB1930" w:rsidRDefault="00AB1930" w:rsidP="00AB1930">
      <w:pPr>
        <w:spacing w:after="0" w:line="240" w:lineRule="auto"/>
        <w:outlineLvl w:val="1"/>
        <w:rPr>
          <w:rFonts w:ascii="Apple Color Emoji" w:eastAsia="Times New Roman" w:hAnsi="Apple Color Emoji" w:cs="Apple Color Emoji"/>
          <w:b/>
          <w:bCs/>
          <w:color w:val="1F1F1F"/>
          <w:kern w:val="0"/>
          <w:sz w:val="20"/>
          <w:szCs w:val="20"/>
          <w14:ligatures w14:val="none"/>
        </w:rPr>
      </w:pPr>
    </w:p>
    <w:p w14:paraId="2E5459C8" w14:textId="6C0DC463" w:rsidR="00AB1930" w:rsidRPr="00AB1930" w:rsidRDefault="00AB1930" w:rsidP="00AB1930">
      <w:pPr>
        <w:spacing w:after="0" w:line="240" w:lineRule="auto"/>
        <w:outlineLvl w:val="1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AB1930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Why This Paper Award</w:t>
      </w:r>
      <w:r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 xml:space="preserve">ed 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>(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a 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Best Student Paper Honorable Mention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>)</w:t>
      </w:r>
    </w:p>
    <w:p w14:paraId="75051476" w14:textId="77777777" w:rsidR="00AB1930" w:rsidRPr="00AB1930" w:rsidRDefault="00AB1930" w:rsidP="00AB1930">
      <w:pPr>
        <w:numPr>
          <w:ilvl w:val="0"/>
          <w:numId w:val="9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Eliminated the Hard Trade-offs: It solved the historical trilemma of image editing by delivering a solution that is simultaneously training-free, inversion-free, and one-step real-time capable.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5EEEE5A8" w14:textId="77777777" w:rsidR="00AB1930" w:rsidRPr="00AB1930" w:rsidRDefault="00AB1930" w:rsidP="00AB1930">
      <w:pPr>
        <w:numPr>
          <w:ilvl w:val="0"/>
          <w:numId w:val="9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True Model Agnosticism: By interacting with models purely as a black-box query system (querying velocity or noise fields), it avoids architectural coupling. This means any future, faster text-to-image foundation model can immediately deploy ChordEdit downstream without alteration.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0DED425D" w14:textId="77777777" w:rsidR="00AB1930" w:rsidRPr="00AB1930" w:rsidRDefault="00AB1930" w:rsidP="00AB1930">
      <w:pPr>
        <w:numPr>
          <w:ilvl w:val="0"/>
          <w:numId w:val="9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Theoretically Sound, Domestically Tamed: It didn't just present nice visual results; it provided rigorous mathematical guarantees (e.g., global error bounds and contraction proofs), setting a stellar benchmark for how generative AI papers should bridge empirical results with mathematical theory.</w:t>
      </w:r>
      <w:r w:rsidRPr="00AB1930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0C67B292" w14:textId="77777777" w:rsidR="006A52B8" w:rsidRPr="00AB1930" w:rsidRDefault="006A52B8" w:rsidP="00AB1930">
      <w:pPr>
        <w:rPr>
          <w:rFonts w:ascii="Tahoma" w:hAnsi="Tahoma" w:cs="Tahoma"/>
          <w:sz w:val="20"/>
          <w:szCs w:val="20"/>
          <w:lang w:val="en-US"/>
        </w:rPr>
      </w:pPr>
    </w:p>
    <w:sectPr w:rsidR="006A52B8" w:rsidRPr="00AB19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C0192F"/>
    <w:multiLevelType w:val="multilevel"/>
    <w:tmpl w:val="C03A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5D1D15"/>
    <w:multiLevelType w:val="multilevel"/>
    <w:tmpl w:val="A60E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683164"/>
    <w:multiLevelType w:val="multilevel"/>
    <w:tmpl w:val="1922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615356"/>
    <w:multiLevelType w:val="multilevel"/>
    <w:tmpl w:val="851E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A873E8"/>
    <w:multiLevelType w:val="multilevel"/>
    <w:tmpl w:val="D47A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E5D17"/>
    <w:multiLevelType w:val="multilevel"/>
    <w:tmpl w:val="01DA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41209D"/>
    <w:multiLevelType w:val="multilevel"/>
    <w:tmpl w:val="B5D2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4F0FFE"/>
    <w:multiLevelType w:val="multilevel"/>
    <w:tmpl w:val="61B2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176967"/>
    <w:multiLevelType w:val="multilevel"/>
    <w:tmpl w:val="E5CE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573387">
    <w:abstractNumId w:val="8"/>
  </w:num>
  <w:num w:numId="2" w16cid:durableId="1080130769">
    <w:abstractNumId w:val="2"/>
  </w:num>
  <w:num w:numId="3" w16cid:durableId="1651978068">
    <w:abstractNumId w:val="4"/>
  </w:num>
  <w:num w:numId="4" w16cid:durableId="1103576587">
    <w:abstractNumId w:val="3"/>
  </w:num>
  <w:num w:numId="5" w16cid:durableId="1650136767">
    <w:abstractNumId w:val="5"/>
  </w:num>
  <w:num w:numId="6" w16cid:durableId="266423625">
    <w:abstractNumId w:val="1"/>
  </w:num>
  <w:num w:numId="7" w16cid:durableId="1908110182">
    <w:abstractNumId w:val="0"/>
  </w:num>
  <w:num w:numId="8" w16cid:durableId="1407192481">
    <w:abstractNumId w:val="6"/>
  </w:num>
  <w:num w:numId="9" w16cid:durableId="157229570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930"/>
    <w:rsid w:val="00171348"/>
    <w:rsid w:val="006A52B8"/>
    <w:rsid w:val="008519E9"/>
    <w:rsid w:val="00AB1930"/>
    <w:rsid w:val="00E45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828424"/>
  <w15:chartTrackingRefBased/>
  <w15:docId w15:val="{EC26013E-4CCA-A44A-992E-B68180EE9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1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1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1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93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AB193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B193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B193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B193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B1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93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930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9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19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19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193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B193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B193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660</Words>
  <Characters>3765</Characters>
  <Application>Microsoft Office Word</Application>
  <DocSecurity>0</DocSecurity>
  <Lines>31</Lines>
  <Paragraphs>8</Paragraphs>
  <ScaleCrop>false</ScaleCrop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Kullachart Ekvoratham</dc:creator>
  <cp:keywords/>
  <dc:description/>
  <cp:lastModifiedBy>Kai Kullachart Ekvoratham</cp:lastModifiedBy>
  <cp:revision>1</cp:revision>
  <dcterms:created xsi:type="dcterms:W3CDTF">2026-07-10T03:47:00Z</dcterms:created>
  <dcterms:modified xsi:type="dcterms:W3CDTF">2026-07-10T03:50:00Z</dcterms:modified>
</cp:coreProperties>
</file>