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b/>
          <w:bCs/>
          <w:color w:val="1F3864"/>
          <w:sz w:val="48"/>
          <w:szCs w:val="48"/>
        </w:rPr>
        <w:t xml:space="preserve">Literature Review Notes</w:t>
      </w:r>
    </w:p>
    <w:p>
      <w:pPr>
        <w:spacing w:after="400"/>
        <w:jc w:val="center"/>
      </w:pPr>
      <w:r>
        <w:rPr>
          <w:color w:val="2E74B5"/>
          <w:sz w:val="28"/>
          <w:szCs w:val="28"/>
        </w:rPr>
        <w:t xml:space="preserve">Lessons Learned from CVPR 2026 Awarded Papers</w:t>
      </w:r>
    </w:p>
    <w:p>
      <w:pPr>
        <w:spacing w:after="400"/>
        <w:jc w:val="center"/>
      </w:pPr>
      <w:r>
        <w:rPr>
          <w:i/>
          <w:iCs/>
          <w:color w:val="555555"/>
        </w:rPr>
        <w:t xml:space="preserve">Compiled from personal reading notes on five awarded CVPR 2026 papers, covering per-paper summaries and a cross-paper thematic synthesis of research lessons.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Contents</w:t>
      </w:r>
    </w:p>
    <w:p>
      <w:pPr>
        <w:spacing w:after="120"/>
      </w:pPr>
      <w:r>
        <w:t xml:space="preserve">Part I — Per-Paper Summaries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1. SAM 3D: 3Dfy Anything in Images (Meta)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2. ChordEdit: Chord Control Field for One-Step Image Editing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3. Native and Compact Structured Latents for 3D Generation (TRELLIS 2)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4. NITROGEN: An Open Foundation Model for Generalist Gaming Agents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5. Efficiently Reconstructing Dynamic Scenes One D4RT at a Time</w:t>
      </w:r>
    </w:p>
    <w:p>
      <w:pPr>
        <w:spacing w:after="120"/>
      </w:pPr>
      <w:r>
        <w:t xml:space="preserve">Part II — Cross-Paper Thematic Synthesis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Theme 1: Reframe the Problem, Don't Just Optimize the Old One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Theme 2: Solve the Data Bottleneck Creatively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Theme 3: Decouple and Modularize Complex Systems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Theme 4: Prioritize Efficiency Over Brute-Force Scaling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Theme 5: Ground Empirical Wins in Theory and Ablations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Theme 6: Build the Benchmark, Not Just the Model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Theme 7: Borrow Proven Paradigms Across Domains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Theme 8: Honesty About Limitations Builds Reviewer Trust</w:t>
      </w:r>
    </w:p>
    <w:p>
      <w:pPr>
        <w:spacing w:after="120"/>
      </w:pPr>
      <w:r>
        <w:t xml:space="preserve">Part III — Summary Comparison Table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I — Per-Paper Summaries</w:t>
      </w:r>
    </w:p>
    <w:p>
      <w:pPr>
        <w:pStyle w:val="Heading2"/>
        <w:spacing w:after="150" w:before="300"/>
      </w:pPr>
      <w:r>
        <w:t xml:space="preserve">1. SAM 3D: 3Dfy Anything in Images</w:t>
      </w:r>
    </w:p>
    <w:p>
      <w:pPr>
        <w:spacing w:after="200"/>
      </w:pPr>
      <w:r>
        <w:rPr>
          <w:b/>
          <w:bCs/>
          <w:i/>
          <w:iCs/>
          <w:color w:val="555555"/>
        </w:rPr>
        <w:t xml:space="preserve">Organization: </w:t>
      </w:r>
      <w:r>
        <w:rPr>
          <w:i/>
          <w:iCs/>
          <w:color w:val="555555"/>
        </w:rPr>
        <w:t xml:space="preserve">Meta</w:t>
      </w:r>
    </w:p>
    <w:p>
      <w:pPr>
        <w:spacing w:after="200"/>
      </w:pPr>
      <w:r>
        <w:rPr>
          <w:b/>
          <w:bCs/>
          <w:i/>
          <w:iCs/>
          <w:color w:val="555555"/>
        </w:rPr>
        <w:t xml:space="preserve">Core Contribution: </w:t>
      </w:r>
      <w:r>
        <w:rPr>
          <w:i/>
          <w:iCs/>
          <w:color w:val="555555"/>
        </w:rPr>
        <w:t xml:space="preserve">Foundation model predicting 3D geometry, texture, and pose from a single real-world image, even in cluttered/occluded scenes</w:t>
      </w:r>
    </w:p>
    <w:p>
      <w:pPr>
        <w:pStyle w:val="Heading3"/>
        <w:spacing w:after="100" w:before="200"/>
      </w:pPr>
      <w:r>
        <w:t xml:space="preserve">Lessons Learnt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Redesign impossible annotation tasks into simple human choices — let the AI generate proposals and re-role humans as curators/aligners rather than creators from scratch.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Implement a “virtuous cycle” (Model-in-the-Loop): human corrections retrain the model, the better model improves baseline predictions, annotation speed rises, and data volume scales exponentially.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 tiered human expertise — route standard cases to generalist annotators and escalate only the hardest edge cases to expensive specialists (professional 3D artists).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Borrow proven training paradigms from other domains — the multi-stage LLM training recipe (pretrain → mid-train → post-train) transfers to solve 3D data scarcity.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Synthetic pretraining generalizes well to real-world data, provided a robust post-training/alignment phase follows.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 lead a field, define how it's measured — building a rigorous benchmark is as valuable as the model itself.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Accept information loss in ill-posed problems — shift from deterministic calculation to modeling a conditional probability distribution when key data (e.g. occluded geometry) is unrecoverable.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Disentangle complex outputs into modular sub-properties (geometry, texture, pose) rather than generating everything jointly.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 explicit masks as conditioning signals to isolate the target object while still letting global image context inform lighting/scale/depth.</w:t>
      </w:r>
    </w:p>
    <w:p>
      <w:pPr>
        <w:pStyle w:val="Heading3"/>
        <w:spacing w:after="100" w:before="200"/>
      </w:pPr>
      <w:r>
        <w:t xml:space="preserve">Key Takeaways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Solves the “data barrier” in 3D AI via a Model-in-the-Loop (MITL) data engine that scaled to ~1M real-world images and 3M+ meshes, with the model eventually generating 80% of successful annotations.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Adapts an LLM-style multi-stage recipe: supervised pretraining on synthetic data → mid-training on semi-synthetic composites → post-training/alignment on human-vetted real images.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Achieved a 5:1 human preference win rate over prior state-of-the-art in blind tests.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Released the SA-3DAO benchmark (1,000 real image–3D pairs, professional-artist quality) plus code, weights, and an interactive demo.</w:t>
      </w:r>
    </w:p>
    <w:p>
      <w:pPr>
        <w:pStyle w:val="Heading3"/>
        <w:spacing w:after="100" w:before="200"/>
      </w:pPr>
      <w:r>
        <w:t xml:space="preserve">Why the Paper Was Awarded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Reframes 3D reconstruction as conditional probabilistic generation (via Latent Flow Matching) rather than deterministic geometric optimization — a genuine paradigm shift.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“masterclass in data engineering” — the MITL engine turns an intractable annotation problem into a scalable curation problem.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Cross-disciplinary translation of LLM training alignment (pretrain → SFT → DPO) into 3D spatial geometry, including using DPO for visual self-correction.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Resource-conscious architecture: an asymmetric split between a 1.2B-parameter Mixture-of-Transformers geometry model and a lighter 600M-parameter texture/refinement model.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Strategic cost management — expensive artist time reserved for the final ~10% of edge-case refinement.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Dual-context grounding — feeding the encoder both a tight object mask and the full scene for physically coherent reconstructions.</w:t>
      </w:r>
    </w:p>
    <w:p>
      <w:pPr>
        <w:pBdr>
          <w:bottom w:val="single" w:color="CCCCCC" w:sz="6" w:space="1"/>
        </w:pBdr>
        <w:spacing w:after="300"/>
      </w:pPr>
    </w:p>
    <w:p>
      <w:pPr>
        <w:pStyle w:val="Heading2"/>
        <w:spacing w:after="150" w:before="300"/>
      </w:pPr>
      <w:r>
        <w:t xml:space="preserve">2. ChordEdit: Chord Control Field for One-Step Image Editing</w:t>
      </w:r>
    </w:p>
    <w:p>
      <w:pPr>
        <w:spacing w:after="200"/>
      </w:pPr>
      <w:r>
        <w:rPr>
          <w:b/>
          <w:bCs/>
          <w:i/>
          <w:iCs/>
          <w:color w:val="555555"/>
        </w:rPr>
        <w:t xml:space="preserve">Award: </w:t>
      </w:r>
      <w:r>
        <w:rPr>
          <w:i/>
          <w:iCs/>
          <w:color w:val="555555"/>
        </w:rPr>
        <w:t xml:space="preserve">Best Student Paper Honorable Mention</w:t>
      </w:r>
    </w:p>
    <w:p>
      <w:pPr>
        <w:spacing w:after="200"/>
      </w:pPr>
      <w:r>
        <w:rPr>
          <w:b/>
          <w:bCs/>
          <w:i/>
          <w:iCs/>
          <w:color w:val="555555"/>
        </w:rPr>
        <w:t xml:space="preserve">Core Contribution: </w:t>
      </w:r>
      <w:r>
        <w:rPr>
          <w:i/>
          <w:iCs/>
          <w:color w:val="555555"/>
        </w:rPr>
        <w:t xml:space="preserve">Training-free, inversion-free, one-step text-guided image editing built on a theoretically grounded control field</w:t>
      </w:r>
    </w:p>
    <w:p>
      <w:pPr>
        <w:pStyle w:val="Heading3"/>
        <w:spacing w:after="100" w:before="200"/>
      </w:pPr>
      <w:r>
        <w:t xml:space="preserve">Lessons Learnt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Dig into the root cause instead of applying heuristic band-aids — rather than adding masks or post-processing networks to fix distortion, the authors diagnosed that naive drift differencing produces a high-energy control field with large truncation error over one integration step.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Recast messy empirical deep-learning artifacts as classical mathematical problems — reframing editing as distribution estimation under Benamou-Brenier dynamic Optimal Transport yielded a convex quadratic surrogate for a smooth, low-energy trajectory.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Reduce sampling variance through structural/geometric design rather than more compute — the Chord Control Field's temporal smoothing intrinsically lowers estimator variance, enabling a single noise sample (n = 1) instead of multiple.</w:t>
      </w:r>
    </w:p>
    <w:p>
      <w:pPr>
        <w:pStyle w:val="Heading3"/>
        <w:spacing w:after="100" w:before="200"/>
      </w:pPr>
      <w:r>
        <w:t xml:space="preserve">Key Takeaways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Core innovation — the Chord Control Field (CCF) replaces the naive instantaneous drift difference with a causal, one-sided kernel-smoothing operator that time-averages proxy fields over a short window.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By Jensen's inequality, this averaging acts as an L²-contraction that suppresses high-energy spikes, shrinking truncation error and enabling a single large integration step (h = 1).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Two-stage modular design: structure-preserving transport (NFE = 1) followed by optional proximal refinement (NFE = 1) that amplifies target semantics without disturbing established geometry.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State-of-the-art efficiency — 0.38s runtime, under 7,000 MiB VRAM, less than half the VRAM of prior one-step competitors (e.g., SwiftEdit).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Pareto-dominates naive baselines across multiple text-to-image backbones (InstaFlow, SwiftBrush-v2, SD-Turbo), demonstrating model-agnostic robustness.</w:t>
      </w:r>
    </w:p>
    <w:p>
      <w:pPr>
        <w:pStyle w:val="Heading3"/>
        <w:spacing w:after="100" w:before="200"/>
      </w:pPr>
      <w:r>
        <w:t xml:space="preserve">Why the Paper Was Awarded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Eliminated the historical editing trilemma by being simultaneously training-free, inversion-free, and one-step real-time capable.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True model agnosticism — treats target models as black-box velocity/noise queriers, so future faster backbones can adopt it without modification.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Theoretically sound — provides rigorous global error bounds and contraction proofs, bridging empirical results with mathematical theory.</w:t>
      </w:r>
    </w:p>
    <w:p>
      <w:pPr>
        <w:pBdr>
          <w:bottom w:val="single" w:color="CCCCCC" w:sz="6" w:space="1"/>
        </w:pBdr>
        <w:spacing w:after="300"/>
      </w:pPr>
    </w:p>
    <w:p>
      <w:pPr>
        <w:pStyle w:val="Heading2"/>
        <w:spacing w:after="150" w:before="300"/>
      </w:pPr>
      <w:r>
        <w:t xml:space="preserve">3. Native and Compact Structured Latents for 3D Generation</w:t>
      </w:r>
    </w:p>
    <w:p>
      <w:pPr>
        <w:spacing w:after="200"/>
      </w:pPr>
      <w:r>
        <w:rPr>
          <w:b/>
          <w:bCs/>
          <w:i/>
          <w:iCs/>
          <w:color w:val="555555"/>
        </w:rPr>
        <w:t xml:space="preserve">Framework Name: </w:t>
      </w:r>
      <w:r>
        <w:rPr>
          <w:i/>
          <w:iCs/>
          <w:color w:val="555555"/>
        </w:rPr>
        <w:t xml:space="preserve">TRELLIS 2</w:t>
      </w:r>
    </w:p>
    <w:p>
      <w:pPr>
        <w:spacing w:after="200"/>
      </w:pPr>
      <w:r>
        <w:rPr>
          <w:b/>
          <w:bCs/>
          <w:i/>
          <w:iCs/>
          <w:color w:val="555555"/>
        </w:rPr>
        <w:t xml:space="preserve">Core Contribution: </w:t>
      </w:r>
      <w:r>
        <w:rPr>
          <w:i/>
          <w:iCs/>
          <w:color w:val="555555"/>
        </w:rPr>
        <w:t xml:space="preserve">A field-free, sparse structured latent representation (O-Voxel) and SC-VAE enabling large-scale, PBR-ready 3D generative modeling</w:t>
      </w:r>
    </w:p>
    <w:p>
      <w:pPr>
        <w:pStyle w:val="Heading3"/>
        <w:spacing w:after="100" w:before="200"/>
      </w:pPr>
      <w:r>
        <w:t xml:space="preserve">Lessons Learnt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Match neural operations to data sparsity — dense 3D convolutions waste FLOPs on empty space; the Sparse Compression VAE (SC-VAE) uses sparse convolutions throughout and a Sparse Residual Autoencoding design to avoid the “dilation effect” during down/upsampling.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Modernize residual blocks — replacing classic dual-convolution residual blocks with a single sparse convolution plus a wide pointwise MLP (mimicking a Transformer FFN) improves feature-transformation efficiency.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Decouple generation into progressive stages — generating structure, geometry, and material jointly destabilizes training; a three-stage pipeline (sparse structure → geometry → material) works best.</w:t>
      </w:r>
    </w:p>
    <w:p>
      <w:pPr>
        <w:pStyle w:val="Heading3"/>
        <w:spacing w:after="100" w:before="200"/>
      </w:pPr>
      <w:r>
        <w:t xml:space="preserve">Key Takeaways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Shifts from implicit fields (NeRFs, SDFs, 3D Gaussian Splatting) to a field-free native representation (O-Voxel, a dual-grid structure) that better captures sharp edges and non-manifold topologies, and enables near-instant Mesh ↔ Voxel conversion.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High-ratio spatial compression is the gateway to large 3D models — a 16× spatial compression (1024³ grid → ~9.6K latent tokens) solves the 3D token-explosion problem and makes training a 4B-parameter Flow-Matching Transformer viable.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Natively integrates Physically-Based Rendering (PBR) attributes (base color, roughness, metallic, opacity) directly into the sparse structure, so outputs are immediately usable in engines like Unreal, Unity, and Blender.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Generates studio-grade, full-PBR 1536³ assets in about one minute on a single GPU.</w:t>
      </w:r>
    </w:p>
    <w:p>
      <w:pPr>
        <w:pStyle w:val="Heading3"/>
        <w:spacing w:after="100" w:before="200"/>
      </w:pPr>
      <w:r>
        <w:t xml:space="preserve">Why the Paper Was Awarded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Resolves the 3D representation bottleneck — O-Voxel handles arbitrary topologies (open surfaces, hollow structures, non-manifold geometry) without sacrificing generation speed.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Production-ready PBR material integration was highlighted by the committee as solving a major practical gap (prior models only output basic RGB-painted meshes).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Breakthrough spatial compression (SC-VAE) paves the way for training genuinely large-scale 3D foundation models.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Demonstrated unprecedented scale and efficiency via TRELLIS 2 — a 4B-parameter model producing detailed, full-PBR assets in under a minute.</w:t>
      </w:r>
    </w:p>
    <w:p>
      <w:pPr>
        <w:pBdr>
          <w:bottom w:val="single" w:color="CCCCCC" w:sz="6" w:space="1"/>
        </w:pBdr>
        <w:spacing w:after="300"/>
      </w:pPr>
    </w:p>
    <w:p>
      <w:pPr>
        <w:pStyle w:val="Heading2"/>
        <w:spacing w:after="150" w:before="300"/>
      </w:pPr>
      <w:r>
        <w:t xml:space="preserve">4. NITROGEN: An Open Foundation Model for Generalist Gaming Agents</w:t>
      </w:r>
    </w:p>
    <w:p>
      <w:pPr>
        <w:spacing w:after="200"/>
      </w:pPr>
      <w:r>
        <w:rPr>
          <w:b/>
          <w:bCs/>
          <w:i/>
          <w:iCs/>
          <w:color w:val="555555"/>
        </w:rPr>
        <w:t xml:space="preserve">Award: </w:t>
      </w:r>
      <w:r>
        <w:rPr>
          <w:i/>
          <w:iCs/>
          <w:color w:val="555555"/>
        </w:rPr>
        <w:t xml:space="preserve">Best Paper Honorable Mention and Oral Presentation</w:t>
      </w:r>
    </w:p>
    <w:p>
      <w:pPr>
        <w:spacing w:after="200"/>
      </w:pPr>
      <w:r>
        <w:rPr>
          <w:b/>
          <w:bCs/>
          <w:i/>
          <w:iCs/>
          <w:color w:val="555555"/>
        </w:rPr>
        <w:t xml:space="preserve">Core Contribution: </w:t>
      </w:r>
      <w:r>
        <w:rPr>
          <w:i/>
          <w:iCs/>
          <w:color w:val="555555"/>
        </w:rPr>
        <w:t xml:space="preserve">A pixels-to-actions vision-action foundation model trained on an internet-scale, auto-labeled gameplay dataset, plus a universal Gymnasium evaluation harness</w:t>
      </w:r>
    </w:p>
    <w:p>
      <w:pPr>
        <w:pStyle w:val="Heading3"/>
        <w:spacing w:after="100" w:before="200"/>
      </w:pPr>
      <w:r>
        <w:t xml:space="preserve">Notes on Paper Structure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Opens by isolating a precise bottleneck (lack of large, diverse, labeled action datasets in Embodied AI) and systematically shows where prior LLM-based, RL-based, and behavior-cloning methods fall short.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Organizes its contribution around a recurring Data → Benchmark → Model framework, with each subsection directly answering the bottleneck raised in the introduction.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Breaks its action-extraction pipeline into explicit, reproducible stages: template matching → parsing → quality filtering.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Bookends the paper with open-science commitments (open dataset, evaluation harness, and weights) to signal community value, not just a corporate result.</w:t>
      </w:r>
    </w:p>
    <w:p>
      <w:pPr>
        <w:pStyle w:val="Heading3"/>
        <w:spacing w:after="100" w:before="200"/>
      </w:pPr>
      <w:r>
        <w:t xml:space="preserve">Lessons Learnt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Paradigm shift from Vision-Language to Vision-Action — trains a high-frequency “pixels-to-actions” model mapping visual states directly to controller inputs, rather than only classifying or describing scenes.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single high-resolution current frame (via SigLIP 2) plus a 16-action future chunk was sufficient for smooth, temporally consistent control — historical frame sequences did not help.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Scalable data curation via visual translation — used AI vision itself (template matching with SIFT/XFeat + SegFormer segmentation) to auto-label 71,000 hours of gameplay video from on-screen controller overlays, avoiding manual annotation entirely.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Designed against “visual cheating” — masking/blurring the on-screen controller overlay during training forced the encoder to learn genuine scene understanding instead of reading the overlay directly.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Large-scale multi-game pretraining transfers as “visual common sense,” producing large gains on unseen games in spatial navigation (+25%) and combat/target tracking (+52%).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Recognized the boundary of pure sensory (System-1) models — they can only act reactively for a few seconds and lack long-term planning or language-instruction following; the next step is fusing them with higher-level reasoning (Vision-Language-Action).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Frame subtle engineering tricks as scalable frameworks — the UI-overlay extraction trick is presented as an “internet-scale video-action pipeline,” not a one-off hack.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Openly acknowledging dataset noise (capture lag, custom configs, streaming artifacts) as a selling point builds reviewer trust when the model is shown to be robust to it.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Provide self-contained validation beyond standard benchmarks — a Self-Imitation RL experiment demonstrated downstream utility as an optimization springboard.</w:t>
      </w:r>
    </w:p>
    <w:p>
      <w:pPr>
        <w:pStyle w:val="Heading3"/>
        <w:spacing w:after="100" w:before="200"/>
      </w:pPr>
      <w:r>
        <w:t xml:space="preserve">Key Takeaways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“Data over API” — intercepting low-level visuals and converting them to actions scales better than building hand-crafted, per-application APIs.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Pretraining drastically lowers the cold-start barrier — fine-tuning on an entirely unseen game yielded a 52% relative improvement over training from scratch under the same budget.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universal Gymnasium-style harness turns closed, commercial software (video games) into ML-ready environments without touching source code.</w:t>
      </w:r>
    </w:p>
    <w:p>
      <w:pPr>
        <w:pStyle w:val="Heading3"/>
        <w:spacing w:after="100" w:before="200"/>
      </w:pPr>
      <w:r>
        <w:t xml:space="preserve">Why the Paper Was Awarded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Bridges the gap between passive visual perception and actionable, embodied execution at unprecedented scale.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Brilliant, low-cost data-ingest innovation — reverse-engineering a creator-popularized feature (controller overlays) instead of hiring annotators.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High community utility — the universal gameplay harness gives the field shared infrastructure for cross-game generalization benchmarking.</w:t>
      </w:r>
    </w:p>
    <w:p>
      <w:pPr>
        <w:pBdr>
          <w:bottom w:val="single" w:color="CCCCCC" w:sz="6" w:space="1"/>
        </w:pBdr>
        <w:spacing w:after="300"/>
      </w:pPr>
    </w:p>
    <w:p>
      <w:pPr>
        <w:pStyle w:val="Heading2"/>
        <w:spacing w:after="150" w:before="300"/>
      </w:pPr>
      <w:r>
        <w:t xml:space="preserve">5. Efficiently Reconstructing Dynamic Scenes One D4RT at a Time</w:t>
      </w:r>
    </w:p>
    <w:p>
      <w:pPr>
        <w:spacing w:after="200"/>
      </w:pPr>
      <w:r>
        <w:rPr>
          <w:b/>
          <w:bCs/>
          <w:i/>
          <w:iCs/>
          <w:color w:val="555555"/>
        </w:rPr>
        <w:t xml:space="preserve">Award: </w:t>
      </w:r>
      <w:r>
        <w:rPr>
          <w:i/>
          <w:iCs/>
          <w:color w:val="555555"/>
        </w:rPr>
        <w:t xml:space="preserve">CVPR 2026 Best Paper</w:t>
      </w:r>
    </w:p>
    <w:p>
      <w:pPr>
        <w:spacing w:after="200"/>
      </w:pPr>
      <w:r>
        <w:rPr>
          <w:b/>
          <w:bCs/>
          <w:i/>
          <w:iCs/>
          <w:color w:val="555555"/>
        </w:rPr>
        <w:t xml:space="preserve">Core Contribution: </w:t>
      </w:r>
      <w:r>
        <w:rPr>
          <w:i/>
          <w:iCs/>
          <w:color w:val="555555"/>
        </w:rPr>
        <w:t xml:space="preserve">A unified query-based encoder-decoder for 4D scene reconstruction (depth, pose, and point tracking) via on-demand spatiotemporal queries</w:t>
      </w:r>
    </w:p>
    <w:p>
      <w:pPr>
        <w:pStyle w:val="Heading3"/>
        <w:spacing w:after="100" w:before="200"/>
      </w:pPr>
      <w:r>
        <w:t xml:space="preserve">Lessons Learnt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Uniformity beats task-specific fragmentation — a single encoder-decoder can enforce geometric consistency across static and dynamic content, replacing the traditional split into separate tracking, depth, and optical-flow modules fused via test-time optimization.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Decouple space and time at the interface level — formulating the decoder query as a Cartesian product of space and time parameters (u, v, t_src, t_tgt, t_cam) disentangles spatial coordinates from temporal indices, showing 3D properties need not be locked to rigid per-frame grids.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Global features benefit from local patch anchors — injecting local 9×9 appearance patches into queries anchors embeddings to high-frequency image textures, unlocking subpixel tracking precision that broad spatiotemporal tokens alone degrade.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Inter-query self-attention during decoding causes overfitting/domain shift between training and inference; treating queries as independent and delegating consistency to the shared latent scene representation generalizes better.</w:t>
      </w:r>
    </w:p>
    <w:p>
      <w:pPr>
        <w:pStyle w:val="Heading3"/>
        <w:spacing w:after="100" w:before="200"/>
      </w:pPr>
      <w:r>
        <w:t xml:space="preserve">Key Takeaways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On-demand querying replaces resource-intensive dense per-frame grid decoding, letting researchers extract anything from sparse high-speed trajectories to dense point clouds through the same forward pass.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Independent, parallelizable cross-attention queries give drastic speed gains: 200+ FPS camera pose estimation (100× faster than MegaSaM) and 18–300× higher point-tracking throughput than prior state-of-the-art.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 adaptive spatio-temporal occupancy grid (Algorithm 1) marks pixels covered by verified tracks as “visited,” avoiding O(T²HW) complexity and yielding a 5–15× adaptive speedup depending on motion complexity.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State-of-the-art depth, camera pose, and multi-frame trajectory results across Sintel, ScanNet, KITTI, and TAPVid-3D, including under severe motion blur.</w:t>
      </w:r>
    </w:p>
    <w:p>
      <w:pPr>
        <w:pStyle w:val="Heading3"/>
        <w:spacing w:after="100" w:before="200"/>
      </w:pPr>
      <w:r>
        <w:t xml:space="preserve">Why the Paper Was Awarded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Conceptual elegance — computes dynamic motion and static structure within the exact same query, decoder, and forward pass, instead of treating moving objects as outliers needing special handling.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Architectural geometric consistency — because pose, trajectory, and depth are all extracted from one shared latent encoding, they are unified by design, eliminating error-prone post-hoc fusion steps.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Resolves the scalability dilemma — computation scales with the number of points actually requested rather than grid resolution, giving robotics and autonomous-driving applications a viable real-time 4D perception blueprint.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II — Cross-Paper Thematic Synthesis</w:t>
      </w:r>
    </w:p>
    <w:p>
      <w:pPr>
        <w:spacing w:after="120"/>
      </w:pPr>
      <w:r>
        <w:t xml:space="preserve">The five papers, despite covering very different problems (single-image 3D reconstruction, image editing, 3D asset generation, embodied gaming agents, and 4D dynamic scene reconstruction), share a set of recurring research strategies. These are grouped below as themes, with the papers that best illustrate each one.</w:t>
      </w:r>
    </w:p>
    <w:p>
      <w:pPr>
        <w:pStyle w:val="Heading2"/>
        <w:spacing w:after="150" w:before="300"/>
      </w:pPr>
      <w:r>
        <w:t xml:space="preserve">Theme 1: Reframe the Problem, Don't Just Optimize the Old One</w:t>
      </w:r>
    </w:p>
    <w:p>
      <w:pPr>
        <w:spacing w:after="120"/>
      </w:pPr>
      <w:r>
        <w:t xml:space="preserve">Several papers won not by tuning an existing formulation harder, but by changing what the problem is being asked to compute.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SAM 3D reframes 2D-to-3D reconstruction as conditional probabilistic generation rather than deterministic geometric calculation, since information (e.g., occluded geometry) is fundamentally lost when flattening 3D to 2D.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ChordEdit reframes one-step image editing as a dynamic Optimal Transport distribution-estimation problem, revealing that the real issue was an erratic, high-energy naive drift field, not a missing mask or post-processing step.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D4RT reframes 4D reconstruction as an on-demand query-answering problem instead of dense per-frame grid decoding, unifying tasks that were previously separate modules.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Structured Latents (TRELLIS 2) reframes 3D representation away from implicit fields toward a native, field-free explicit structure (O-Voxel).</w:t>
      </w:r>
    </w:p>
    <w:p>
      <w:pPr>
        <w:spacing w:after="120"/>
      </w:pPr>
      <w:r>
        <w:t xml:space="preserve">Lesson for future work: when a field keeps patching a formulation with heuristics, it's worth asking whether the underlying problem statement itself is the bottleneck.</w:t>
      </w:r>
    </w:p>
    <w:p>
      <w:pPr>
        <w:pStyle w:val="Heading2"/>
        <w:spacing w:after="150" w:before="300"/>
      </w:pPr>
      <w:r>
        <w:t xml:space="preserve">Theme 2: Solve the Data Bottleneck Creatively</w:t>
      </w:r>
    </w:p>
    <w:p>
      <w:pPr>
        <w:spacing w:after="120"/>
      </w:pPr>
      <w:r>
        <w:t xml:space="preserve">Two papers treat data scarcity/labeling cost as a first-class research problem, not an engineering afterthought.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SAM 3D's Model-in-the-Loop (MITL) “virtuous cycle” turns an annotation task too hard for humans (building 3D meshes from scratch) into a task humans are good at (selecting/aligning AI-generated proposals), scaling to ~1M images and 3M+ meshes.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NITROGEN auto-labels 71,000 hours of gameplay video by having AI vision (template matching + segmentation) decode existing on-screen controller overlays, avoiding manual annotation entirely.</w:t>
      </w:r>
    </w:p>
    <w:p>
      <w:pPr>
        <w:spacing w:after="120"/>
      </w:pPr>
      <w:r>
        <w:t xml:space="preserve">Both use tiered/escalation strategies (SAM 3D routes only hard cases to expert 3D artists; NITROGEN accepts and works around noisy consumer-grade data) rather than demanding uniformly perfect labels.</w:t>
      </w:r>
    </w:p>
    <w:p>
      <w:pPr>
        <w:pStyle w:val="Heading2"/>
        <w:spacing w:after="150" w:before="300"/>
      </w:pPr>
      <w:r>
        <w:t xml:space="preserve">Theme 3: Decouple and Modularize Complex Systems</w:t>
      </w:r>
    </w:p>
    <w:p>
      <w:pPr>
        <w:spacing w:after="120"/>
      </w:pPr>
      <w:r>
        <w:t xml:space="preserve">Rather than generating or predicting everything jointly, the strongest architectures split the problem into independently trained or independently queried sub-components.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SAM 3D disentangles geometry, texture, and pose into separate modular properties, using an asymmetric two-model split (1.2B geometry model, 600M texture/refinement model).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Structured Latents uses a three-stage pipeline (sparse structure → geometry → material) after finding joint generation destabilizes training.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ChordEdit decouples structure-preserving transport from optional proximal refinement, each a single forward pass.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D4RT decouples space and time at the query interface itself, and finds that keeping queries independent (no inter-query attention) generalizes better than letting them interact.</w:t>
      </w:r>
    </w:p>
    <w:p>
      <w:pPr>
        <w:pStyle w:val="Heading2"/>
        <w:spacing w:after="150" w:before="300"/>
      </w:pPr>
      <w:r>
        <w:t xml:space="preserve">Theme 4: Prioritize Efficiency Over Brute-Force Scaling</w:t>
      </w:r>
    </w:p>
    <w:p>
      <w:pPr>
        <w:spacing w:after="120"/>
      </w:pPr>
      <w:r>
        <w:t xml:space="preserve">Several papers achieve state-of-the-art results primarily through smarter computation allocation rather than simply scaling parameters or compute.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ChordEdit reduces Monte Carlo variance through the temporal-smoothing structure of its Chord Control Field, achieving seed-robustness with a single noise sample (n = 1) instead of multiple.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D4RT's independent, parallelizable queries and occupancy-grid tracking yield 100× and up to 300× speedups over prior methods, with cost scaling to the points actually requested.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Structured Latents' SC-VAE achieves 16× spatial compression (1024³ → ~9.6K tokens), making a 4B-parameter model trainable and enabling under-a-minute generation.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SAM 3D's asymmetric model sizing (1.2B vs. 600M) and cost-tiered human review both reflect resource-conscious design rather than uniform scaling.</w:t>
      </w:r>
    </w:p>
    <w:p>
      <w:pPr>
        <w:pStyle w:val="Heading2"/>
        <w:spacing w:after="150" w:before="300"/>
      </w:pPr>
      <w:r>
        <w:t xml:space="preserve">Theme 5: Ground Empirical Wins in Theory and Ablations</w:t>
      </w:r>
    </w:p>
    <w:p>
      <w:pPr>
        <w:spacing w:after="120"/>
      </w:pPr>
      <w:r>
        <w:t xml:space="preserve">Award committees rewarded papers that explained why a method works, not just that it works.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ChordEdit provides formal error bounds and contraction proofs (via Jensen's inequality) showing exactly why its smoothing operator suppresses truncation error.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D4RT includes a specific ablation finding — that inter-query self-attention causes overfitting/domain shift — turning a design choice into a documented, generalizable lesson rather than an unexplained architecture decision.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SAM 3D explicitly frames its approach with a probabilistic formulation p(S,T,R,t,s | I,M), giving a rigorous notation for what the model is actually estimating.</w:t>
      </w:r>
    </w:p>
    <w:p>
      <w:pPr>
        <w:pStyle w:val="Heading2"/>
        <w:spacing w:after="150" w:before="300"/>
      </w:pPr>
      <w:r>
        <w:t xml:space="preserve">Theme 6: Build the Benchmark, Not Just the Model</w:t>
      </w:r>
    </w:p>
    <w:p>
      <w:pPr>
        <w:spacing w:after="120"/>
      </w:pPr>
      <w:r>
        <w:t xml:space="preserve">Two papers deliberately created new evaluation infrastructure, positioning themselves to shape how the field measures future progress.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SAM 3D introduces the SA-3DAO benchmark — 1,000 real image–3D pairs built to a professional-artist “human upper bound” standard.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NITROGEN introduces a universal Gymnasium-style gameplay harness, letting the community benchmark cross-game generalization across commercial titles without modifying source code.</w:t>
      </w:r>
    </w:p>
    <w:p>
      <w:pPr>
        <w:pStyle w:val="Heading2"/>
        <w:spacing w:after="150" w:before="300"/>
      </w:pPr>
      <w:r>
        <w:t xml:space="preserve">Theme 7: Borrow Proven Paradigms Across Domains</w:t>
      </w:r>
    </w:p>
    <w:p>
      <w:pPr>
        <w:spacing w:after="120"/>
      </w:pPr>
      <w:r>
        <w:t xml:space="preserve">Cross-pollinating a mature recipe from one modality into another was a recurring source of award-level novelty.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SAM 3D imports the LLM training cookbook (pretrain → mid-train → post-train/SFT → DPO) into 3D reconstruction.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NITROGEN shifts computer vision's focus from Vision-Language modeling to Vision-Action modeling, treating gameplay video the way robotics treats demonstration video.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Structured Latents borrows Transformer-style FFN design (wide pointwise MLP) to modernize CNN residual blocks in its VAE.</w:t>
      </w:r>
    </w:p>
    <w:p>
      <w:pPr>
        <w:pStyle w:val="Heading2"/>
        <w:spacing w:after="150" w:before="300"/>
      </w:pPr>
      <w:r>
        <w:t xml:space="preserve">Theme 8: Honesty About Limitations Builds Reviewer Trust</w:t>
      </w:r>
    </w:p>
    <w:p>
      <w:pPr>
        <w:spacing w:after="120"/>
      </w:pPr>
      <w:r>
        <w:t xml:space="preserve">The strongest papers did not hide weaknesses — they used them to demonstrate robustness or to set an honest research agenda.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NITROGEN openly discusses dataset noise (UI capture lag, streaming artifacts) and the System-1-only nature of its agent (no long-horizon planning or language following), framing both as evidence of robustness and as a clear direction for future Vision-Language-Action work.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SAM 3D acknowledges the fundamental information loss in 2D-to-3D inversion rather than claiming to solve it exactly, which motivates its probabilistic reframing.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III — Summary Comparison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200"/>
        <w:gridCol w:w="3200"/>
      </w:tblGrid>
      <w:tr>
        <w:trPr>
          <w:tblHeader/>
        </w:trPr>
        <w:tc>
          <w:tcPr>
            <w:tcW w:type="dxa" w:w="2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Paper</w:t>
            </w:r>
          </w:p>
        </w:tc>
        <w:tc>
          <w:tcPr>
            <w:tcW w:type="dxa" w:w="2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Award</w:t>
            </w:r>
          </w:p>
        </w:tc>
        <w:tc>
          <w:tcPr>
            <w:tcW w:type="dxa" w:w="2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Core Idea</w:t>
            </w:r>
          </w:p>
        </w:tc>
        <w:tc>
          <w:tcPr>
            <w:tcW w:type="dxa" w:w="2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Signature Efficiency Trick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SAM 3D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CVPR 2026 (awarded)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Single-image 3D via probabilistic generation + MITL data engine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Asymmetric 1.2B/600M model split; tiered human review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ChordEdit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Best Student Paper Honorable Mention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One-step editing via Optimal-Transport-derived control field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n = 1 noise sample; NFE = 1 per stage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Structured Latents (TRELLIS 2)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CVPR 2026 (awarded)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Field-free O-Voxel latents + native PBR for 3D generation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16× spatial compression via SC-VAE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NITROGEN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Best Paper Honorable Mention + Oral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Pixels-to-actions vision-action foundation model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Auto-labeling via on-screen overlay decoding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D4RT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CVPR 2026 Best Paper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Unified query-based 4D reconstruction (depth, pose, tracking)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Independent parallel queries + occupancy grid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555555"/>
        </w:rPr>
        <w:t xml:space="preserve">Note: your uploaded notes covered five papers in total (SAM 3D, ChordEdit, Structured Latents / TRELLIS 2, NITROGEN, and D4RT), each with its own “Why Awarded” discussion in the source notes.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2026-07-18T04:33:09.704Z</dcterms:created>
  <dcterms:modified xsi:type="dcterms:W3CDTF">2026-07-18T04:33:09.717Z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