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10454"/>
      </w:tblGrid>
      <w:tr>
        <w:tc>
          <w:tcPr>
            <w:tcW w:type="dxa" w:w="10454"/>
            <w:shd w:fill="0E2438"/>
            <w:tcMar>
              <w:top w:w="420" w:type="dxa"/>
              <w:start w:w="360" w:type="dxa"/>
              <w:bottom w:w="420" w:type="dxa"/>
              <w:end w:w="360" w:type="dxa"/>
            </w:tcMar>
          </w:tcPr>
          <w:p>
            <w:r>
              <w:rPr>
                <w:rFonts w:ascii="Liberation Sans" w:hAnsi="Liberation Sans"/>
                <w:b/>
                <w:caps/>
                <w:color w:val="4CB8BE"/>
                <w:sz w:val="24"/>
              </w:rPr>
              <w:t>HARRIS COUNTY, TEXAS</w:t>
            </w:r>
          </w:p>
          <w:p>
            <w:pPr>
              <w:spacing w:before="280" w:after="200"/>
            </w:pPr>
            <w:r>
              <w:rPr>
                <w:rFonts w:ascii="Liberation Sans" w:hAnsi="Liberation Sans"/>
                <w:b/>
                <w:color w:val="FFFFFF"/>
                <w:sz w:val="60"/>
              </w:rPr>
              <w:t>Climate Housing Exposure Index Dashboard</w:t>
            </w:r>
          </w:p>
          <w:p>
            <w:r>
              <w:rPr>
                <w:rFonts w:ascii="Liberation Sans" w:hAnsi="Liberation Sans"/>
                <w:color w:val="D9E9ED"/>
                <w:sz w:val="32"/>
              </w:rPr>
              <w:t>Design, deployment, and reproducibility guide</w:t>
            </w:r>
          </w:p>
          <w:p>
            <w:pPr>
              <w:spacing w:before="600"/>
            </w:pPr>
            <w:r>
              <w:rPr>
                <w:rFonts w:ascii="Liberation Sans" w:hAnsi="Liberation Sans"/>
                <w:b/>
                <w:color w:val="F2B134"/>
                <w:sz w:val="22"/>
              </w:rPr>
              <w:t>Prepared package  •  August 2026</w:t>
            </w:r>
          </w:p>
        </w:tc>
      </w:tr>
    </w:tbl>
    <w:p/>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Standalone access</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index.html (data-self-contained GitHub Pages entry; identical compatibility HTML included)</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Full-data application</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python server.py  →  http://127.0.0.1:8050</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Rebuild scripts</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preprocess_data.py and build_dashboard.py</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Contact</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Kaifa Lu / CECREH / Kaifa.Lu@ttu.edu</w:t>
            </w:r>
          </w:p>
        </w:tc>
      </w:tr>
    </w:tbl>
    <w:p>
      <w:pPr>
        <w:spacing w:after="0"/>
      </w:pPr>
    </w:p>
    <w:p>
      <w:pPr>
        <w:spacing w:before="240"/>
        <w:jc w:val="center"/>
      </w:pPr>
      <w:r>
        <w:rPr>
          <w:rFonts w:ascii="Liberation Sans" w:hAnsi="Liberation Sans"/>
          <w:b/>
          <w:color w:val="168C95"/>
          <w:sz w:val="20"/>
        </w:rPr>
        <w:t>Research  •  Education  •  Planning exploration</w:t>
      </w: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01  PRODUCT OVERVIEW</w:t>
            </w:r>
          </w:p>
          <w:p>
            <w:pPr>
              <w:spacing w:after="40"/>
            </w:pPr>
            <w:r>
              <w:rPr>
                <w:rFonts w:ascii="Liberation Sans" w:hAnsi="Liberation Sans"/>
                <w:b/>
                <w:color w:val="FFFFFF"/>
                <w:sz w:val="42"/>
              </w:rPr>
              <w:t>Dashboard interface and access modes</w:t>
            </w:r>
          </w:p>
          <w:p>
            <w:pPr>
              <w:spacing w:after="0"/>
            </w:pPr>
            <w:r>
              <w:rPr>
                <w:rFonts w:ascii="Liberation Sans" w:hAnsi="Liberation Sans"/>
                <w:color w:val="D9E9ED"/>
                <w:sz w:val="21"/>
              </w:rPr>
              <w:t>A county-branded interactive explorer modeled on the Harris County HCD mapping-page hierarchy</w:t>
            </w:r>
          </w:p>
        </w:tc>
      </w:tr>
    </w:tbl>
    <w:p>
      <w:pPr>
        <w:spacing w:after="0"/>
      </w:pPr>
    </w:p>
    <w:p>
      <w:pPr>
        <w:spacing w:after="80"/>
        <w:jc w:val="center"/>
      </w:pPr>
      <w:r>
        <w:drawing>
          <wp:inline xmlns:a="http://schemas.openxmlformats.org/drawingml/2006/main" xmlns:pic="http://schemas.openxmlformats.org/drawingml/2006/picture">
            <wp:extent cx="6446520" cy="3626168"/>
            <wp:docPr id="1" name="Picture 1" title="Climate Housing Exposure Index dashboard overview" descr="Dashboard screenshot showing the Harris County map, layer controls, tract, ZIP-code and commissioner-precinct locators, Quick Decision View, key indicators, legends, and selected-tract charts."/>
            <wp:cNvGraphicFramePr>
              <a:graphicFrameLocks noChangeAspect="1"/>
            </wp:cNvGraphicFramePr>
            <a:graphic>
              <a:graphicData uri="http://schemas.openxmlformats.org/drawingml/2006/picture">
                <pic:pic>
                  <pic:nvPicPr>
                    <pic:cNvPr id="0" name="dashboard_overview.png"/>
                    <pic:cNvPicPr/>
                  </pic:nvPicPr>
                  <pic:blipFill>
                    <a:blip r:embed="rId11"/>
                    <a:stretch>
                      <a:fillRect/>
                    </a:stretch>
                  </pic:blipFill>
                  <pic:spPr>
                    <a:xfrm>
                      <a:off x="0" y="0"/>
                      <a:ext cx="6446520" cy="3626168"/>
                    </a:xfrm>
                    <a:prstGeom prst="rect"/>
                  </pic:spPr>
                </pic:pic>
              </a:graphicData>
            </a:graphic>
          </wp:inline>
        </w:drawing>
      </w:r>
    </w:p>
    <w:p>
      <w:pPr>
        <w:jc w:val="center"/>
      </w:pPr>
      <w:r>
        <w:rPr>
          <w:rFonts w:ascii="Liberation Sans" w:hAnsi="Liberation Sans"/>
          <w:i/>
          <w:color w:val="617382"/>
          <w:sz w:val="17"/>
        </w:rPr>
        <w:t>Figure 1. Data-self-contained dashboard overview with analytical layers, key indicators, and location controls.</w:t>
      </w: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01B  PRODUCT OVERVIEW</w:t>
            </w:r>
          </w:p>
          <w:p>
            <w:pPr>
              <w:spacing w:after="40"/>
            </w:pPr>
            <w:r>
              <w:rPr>
                <w:rFonts w:ascii="Liberation Sans" w:hAnsi="Liberation Sans"/>
                <w:b/>
                <w:color w:val="FFFFFF"/>
                <w:sz w:val="42"/>
              </w:rPr>
              <w:t>Dashboard purpose and access</w:t>
            </w:r>
          </w:p>
          <w:p>
            <w:pPr>
              <w:spacing w:after="0"/>
            </w:pPr>
            <w:r>
              <w:rPr>
                <w:rFonts w:ascii="Liberation Sans" w:hAnsi="Liberation Sans"/>
                <w:color w:val="D9E9ED"/>
                <w:sz w:val="21"/>
              </w:rPr>
              <w:t>Who the dashboard serves, what it supports, and how to open or publish it</w:t>
            </w:r>
          </w:p>
        </w:tc>
      </w:tr>
    </w:tbl>
    <w:p>
      <w:pPr>
        <w:spacing w:after="0"/>
      </w:pPr>
    </w:p>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Dashboard overview</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An interactive Harris County platform showing how future precipitation extremes intersect with housing, population, employment, social vulnerability, and land-use change.</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Key functions</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Explore four GMT warming thresholds, CHEI patterns, 2020–2050 growth, housing stocks, parcel land use, pattern-based hotspots, clickable legend filters, tract/ZIP/precinct location, four Quick Decision questions, and one-page decision briefs.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Potential audiences</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Researchers, planners, local governments, housing and community-development agencies, emergency managers, policymakers, nonprofit organizations, and community stakeholders.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Practical applications</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Climate adaptation, housing resilience, land-use and growth management, infrastructure investment, vulnerability assessment, and environmental-justice research.</w:t>
            </w:r>
          </w:p>
        </w:tc>
      </w:tr>
    </w:tbl>
    <w:p>
      <w:pPr>
        <w:spacing w:after="0"/>
      </w:pPr>
    </w:p>
    <w:p>
      <w:pPr>
        <w:spacing w:before="140" w:after="80"/>
      </w:pPr>
      <w:r>
        <w:rPr>
          <w:rFonts w:ascii="Liberation Sans" w:hAnsi="Liberation Sans"/>
          <w:b/>
          <w:color w:val="168C95"/>
          <w:sz w:val="25"/>
        </w:rPr>
        <w:t>Three access modes</w:t>
      </w:r>
    </w:p>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GitHub Pages / standalone</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Publish index.html and .nojekyll from the repository root, or open index.html directly. Analytical layers, ZIP and precinct boundaries, legend filters, Quick Decision actions, report generation, patterns, and JavaScript are embedded; external internet access is used only for optional basemap tiles.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Full-data local app</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Run server.py. The map requests all relevant single- and multi-family locations for the current viewport.</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Container deployment</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Build the included Dockerfile on a compatible host, then use the provider-issued HTTPS address as the public dashboard URL.</w:t>
            </w:r>
          </w:p>
        </w:tc>
      </w:tr>
    </w:tbl>
    <w:p>
      <w:pPr>
        <w:spacing w:after="0"/>
      </w:pPr>
    </w:p>
    <w:p>
      <w:pPr>
        <w:spacing w:after="100" w:line="259" w:lineRule="auto"/>
      </w:pPr>
      <w:r>
        <w:rPr>
          <w:rFonts w:ascii="Liberation Sans" w:hAnsi="Liberation Sans"/>
          <w:color w:val="273746"/>
          <w:sz w:val="20"/>
        </w:rPr>
        <w:t>The dashboard is designed for screening and exploration. Modeled and projected values should be validated with authoritative local data before decisions are made.</w:t>
      </w: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02  DATA AUDIT</w:t>
            </w:r>
          </w:p>
          <w:p>
            <w:pPr>
              <w:spacing w:after="40"/>
            </w:pPr>
            <w:r>
              <w:rPr>
                <w:rFonts w:ascii="Liberation Sans" w:hAnsi="Liberation Sans"/>
                <w:b/>
                <w:color w:val="FFFFFF"/>
                <w:sz w:val="42"/>
              </w:rPr>
              <w:t>Uploaded geodatabase and analytical coverage</w:t>
            </w:r>
          </w:p>
          <w:p>
            <w:pPr>
              <w:spacing w:after="0"/>
            </w:pPr>
            <w:r>
              <w:rPr>
                <w:rFonts w:ascii="Liberation Sans" w:hAnsi="Liberation Sans"/>
                <w:color w:val="D9E9ED"/>
                <w:sz w:val="21"/>
              </w:rPr>
              <w:t>Automated inventory, consolidated tract metrics, and documented substitutions</w:t>
            </w:r>
          </w:p>
        </w:tc>
      </w:tr>
    </w:tbl>
    <w:p>
      <w:pPr>
        <w:spacing w:after="0"/>
      </w:pPr>
    </w:p>
    <w:p>
      <w:pPr>
        <w:pStyle w:val="Heading1"/>
        <w:spacing w:before="60" w:after="140"/>
      </w:pPr>
      <w:r>
        <w:rPr>
          <w:rFonts w:ascii="Liberation Sans" w:hAnsi="Liberation Sans"/>
          <w:b/>
          <w:color w:val="17324D"/>
          <w:sz w:val="36"/>
        </w:rPr>
        <w:t>2.1  Verified source scale</w:t>
      </w:r>
    </w:p>
    <w:tbl>
      <w:tblPr>
        <w:tblW w:type="auto" w:w="0"/>
        <w:jc w:val="center"/>
        <w:tblLook w:firstColumn="1" w:firstRow="1" w:lastColumn="0" w:lastRow="0" w:noHBand="0" w:noVBand="1" w:val="04A0"/>
      </w:tblPr>
      <w:tblGrid>
        <w:gridCol w:w="2613"/>
        <w:gridCol w:w="2613"/>
        <w:gridCol w:w="2613"/>
        <w:gridCol w:w="2613"/>
      </w:tblGrid>
      <w:tr>
        <w:tc>
          <w:tcPr>
            <w:tcW w:type="dxa" w:w="2613"/>
            <w:shd w:fill="168C95"/>
          </w:tcPr>
          <w:p>
            <w:pPr>
              <w:jc w:val="center"/>
            </w:pPr>
            <w:r>
              <w:rPr>
                <w:rFonts w:ascii="Liberation Sans" w:hAnsi="Liberation Sans"/>
                <w:b/>
                <w:color w:val="FFFFFF"/>
                <w:sz w:val="34"/>
              </w:rPr>
              <w:t>1,115</w:t>
            </w:r>
          </w:p>
        </w:tc>
        <w:tc>
          <w:tcPr>
            <w:tcW w:type="dxa" w:w="2613"/>
            <w:shd w:fill="4CB8BE"/>
          </w:tcPr>
          <w:p>
            <w:pPr>
              <w:jc w:val="center"/>
            </w:pPr>
            <w:r>
              <w:rPr>
                <w:rFonts w:ascii="Liberation Sans" w:hAnsi="Liberation Sans"/>
                <w:b/>
                <w:color w:val="FFFFFF"/>
                <w:sz w:val="34"/>
              </w:rPr>
              <w:t>20,344</w:t>
            </w:r>
          </w:p>
        </w:tc>
        <w:tc>
          <w:tcPr>
            <w:tcW w:type="dxa" w:w="2613"/>
            <w:shd w:fill="F2B134"/>
          </w:tcPr>
          <w:p>
            <w:pPr>
              <w:jc w:val="center"/>
            </w:pPr>
            <w:r>
              <w:rPr>
                <w:rFonts w:ascii="Liberation Sans" w:hAnsi="Liberation Sans"/>
                <w:b/>
                <w:color w:val="FFFFFF"/>
                <w:sz w:val="34"/>
              </w:rPr>
              <w:t>1,093,063</w:t>
            </w:r>
          </w:p>
        </w:tc>
        <w:tc>
          <w:tcPr>
            <w:tcW w:type="dxa" w:w="2613"/>
            <w:shd w:fill="C9463D"/>
          </w:tcPr>
          <w:p>
            <w:pPr>
              <w:jc w:val="center"/>
            </w:pPr>
            <w:r>
              <w:rPr>
                <w:rFonts w:ascii="Liberation Sans" w:hAnsi="Liberation Sans"/>
                <w:b/>
                <w:color w:val="FFFFFF"/>
                <w:sz w:val="34"/>
              </w:rPr>
              <w:t>11,572</w:t>
            </w:r>
          </w:p>
        </w:tc>
      </w:tr>
      <w:tr>
        <w:tc>
          <w:tcPr>
            <w:tcW w:type="dxa" w:w="2613"/>
            <w:shd w:fill="F4F7F9"/>
          </w:tcPr>
          <w:p>
            <w:pPr>
              <w:jc w:val="center"/>
            </w:pPr>
            <w:r>
              <w:rPr>
                <w:rFonts w:ascii="Liberation Sans" w:hAnsi="Liberation Sans"/>
                <w:b/>
                <w:color w:val="17324D"/>
                <w:sz w:val="17"/>
              </w:rPr>
              <w:t>census tracts</w:t>
            </w:r>
          </w:p>
        </w:tc>
        <w:tc>
          <w:tcPr>
            <w:tcW w:type="dxa" w:w="2613"/>
            <w:shd w:fill="F4F7F9"/>
          </w:tcPr>
          <w:p>
            <w:pPr>
              <w:jc w:val="center"/>
            </w:pPr>
            <w:r>
              <w:rPr>
                <w:rFonts w:ascii="Liberation Sans" w:hAnsi="Liberation Sans"/>
                <w:b/>
                <w:color w:val="17324D"/>
                <w:sz w:val="17"/>
              </w:rPr>
              <w:t>changed parcels</w:t>
            </w:r>
          </w:p>
        </w:tc>
        <w:tc>
          <w:tcPr>
            <w:tcW w:type="dxa" w:w="2613"/>
            <w:shd w:fill="F4F7F9"/>
          </w:tcPr>
          <w:p>
            <w:pPr>
              <w:jc w:val="center"/>
            </w:pPr>
            <w:r>
              <w:rPr>
                <w:rFonts w:ascii="Liberation Sans" w:hAnsi="Liberation Sans"/>
                <w:b/>
                <w:color w:val="17324D"/>
                <w:sz w:val="17"/>
              </w:rPr>
              <w:t>single-family records</w:t>
            </w:r>
          </w:p>
        </w:tc>
        <w:tc>
          <w:tcPr>
            <w:tcW w:type="dxa" w:w="2613"/>
            <w:shd w:fill="F4F7F9"/>
          </w:tcPr>
          <w:p>
            <w:pPr>
              <w:jc w:val="center"/>
            </w:pPr>
            <w:r>
              <w:rPr>
                <w:rFonts w:ascii="Liberation Sans" w:hAnsi="Liberation Sans"/>
                <w:b/>
                <w:color w:val="17324D"/>
                <w:sz w:val="17"/>
              </w:rPr>
              <w:t>multi-family records</w:t>
            </w:r>
          </w:p>
        </w:tc>
      </w:tr>
    </w:tbl>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ZIP-code navigation</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155 Harris County ZIP boundaries are embedded for five-digit search and an optional all-boundaries overlay.</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Commissioner precinct navigation</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4 Harris County commissioner precinct boundaries are embedded for selection, zoom, highlighting, and an optional all-boundaries overlay.</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Reporting geography</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ZIP and precinct decision briefs summarize intersecting census tracts; no official ZIP- or precinct-level source aggregation is created.</w:t>
            </w:r>
          </w:p>
        </w:tc>
      </w:tr>
    </w:tbl>
    <w:p>
      <w:pPr>
        <w:spacing w:after="0"/>
      </w:pPr>
    </w:p>
    <w:p>
      <w:pPr>
        <w:spacing w:before="140" w:after="80"/>
      </w:pPr>
      <w:r>
        <w:rPr>
          <w:rFonts w:ascii="Liberation Sans" w:hAnsi="Liberation Sans"/>
          <w:b/>
          <w:color w:val="168C95"/>
          <w:sz w:val="25"/>
        </w:rPr>
        <w:t>Layer groups</w:t>
      </w:r>
    </w:p>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Climate precipitation</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Four GMT point layers, four tract aggregations, one GMT 2.5°C-vs-1.5°C change layer, and four reproducibly derived display surfaces.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Parcel housing and land use</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2020 current land use, 2050 projected land use, parcel housing-unit change, and single-/multi-family locations.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Tract housing and growth</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CHEI, SVI, population density, population/household/employment projections and changes, housing-stock counts, and compound hotspots.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Reference geometry</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Harris County, census-tract, parcel, 155 ZIP-code, and four commissioner-precinct boundaries prepared for web mapping. ZIP and precinct geometry support location, orientation, and tract-based screening summaries only.</w:t>
            </w:r>
          </w:p>
        </w:tc>
      </w:tr>
    </w:tbl>
    <w:p>
      <w:pPr>
        <w:spacing w:after="0"/>
      </w:pPr>
    </w:p>
    <w:p>
      <w:pPr>
        <w:spacing w:before="140" w:after="80"/>
      </w:pPr>
      <w:r>
        <w:rPr>
          <w:rFonts w:ascii="Liberation Sans" w:hAnsi="Liberation Sans"/>
          <w:b/>
          <w:color w:val="168C95"/>
          <w:sz w:val="25"/>
        </w:rPr>
        <w:t>Audit findings that affect the interface</w:t>
      </w:r>
    </w:p>
    <w:p>
      <w:pPr>
        <w:spacing w:after="100" w:line="259" w:lineRule="auto"/>
      </w:pPr>
      <w:r>
        <w:rPr>
          <w:rFonts w:ascii="Liberation Sans" w:hAnsi="Liberation Sans"/>
          <w:color w:val="273746"/>
          <w:sz w:val="20"/>
        </w:rPr>
        <w:t>1. The open-source FileGDB reader exposes 32 vector layers, including Harris_County_Zipcodes and Harris_County_Commissioner_Precincts, but does not expose the four user-listed gmt_*_pr_Kriging datasets. The package retains every exposed point and tract precipitation layer and produces separately labeled derived surfaces.</w:t>
      </w:r>
    </w:p>
    <w:p>
      <w:pPr>
        <w:spacing w:after="100" w:line="259" w:lineRule="auto"/>
      </w:pPr>
      <w:r>
        <w:rPr>
          <w:rFonts w:ascii="Liberation Sans" w:hAnsi="Liberation Sans"/>
          <w:color w:val="273746"/>
          <w:sz w:val="20"/>
        </w:rPr>
        <w:t>2. harris_census_tract_CHEI_2050 and harris_census_tract_climate_housing_exposure_index_2050 contain identical CHEI 2050 values (maximum absolute difference = 0) and are consolidated in the map menu.</w:t>
      </w:r>
    </w:p>
    <w:p>
      <w:pPr>
        <w:spacing w:after="100" w:line="259" w:lineRule="auto"/>
      </w:pPr>
      <w:r>
        <w:rPr>
          <w:rFonts w:ascii="Liberation Sans" w:hAnsi="Liberation Sans"/>
          <w:color w:val="273746"/>
          <w:sz w:val="20"/>
        </w:rPr>
        <w:t>3. The actual GDB names use extreme_precip; the supplied inventory text used extreme_precipi for several tract layer names.</w:t>
      </w: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03  SYSTEM DESIGN</w:t>
            </w:r>
          </w:p>
          <w:p>
            <w:pPr>
              <w:spacing w:after="40"/>
            </w:pPr>
            <w:r>
              <w:rPr>
                <w:rFonts w:ascii="Liberation Sans" w:hAnsi="Liberation Sans"/>
                <w:b/>
                <w:color w:val="FFFFFF"/>
                <w:sz w:val="42"/>
              </w:rPr>
              <w:t>Data pipeline, kriging, performance, and privacy</w:t>
            </w:r>
          </w:p>
          <w:p>
            <w:pPr>
              <w:spacing w:after="0"/>
            </w:pPr>
            <w:r>
              <w:rPr>
                <w:rFonts w:ascii="Liberation Sans" w:hAnsi="Liberation Sans"/>
                <w:color w:val="D9E9ED"/>
                <w:sz w:val="21"/>
              </w:rPr>
              <w:t>A static analytical bundle with an optional full-point query service</w:t>
            </w:r>
          </w:p>
        </w:tc>
      </w:tr>
    </w:tbl>
    <w:p>
      <w:pPr>
        <w:spacing w:after="0"/>
      </w:pPr>
    </w:p>
    <w:p>
      <w:pPr>
        <w:pStyle w:val="Heading1"/>
        <w:spacing w:before="60" w:after="140"/>
      </w:pPr>
      <w:r>
        <w:rPr>
          <w:rFonts w:ascii="Liberation Sans" w:hAnsi="Liberation Sans"/>
          <w:b/>
          <w:color w:val="17324D"/>
          <w:sz w:val="36"/>
        </w:rPr>
        <w:t>3.1  Processing architecture</w:t>
      </w: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1</w:t>
            </w:r>
          </w:p>
        </w:tc>
        <w:tc>
          <w:tcPr>
            <w:tcW w:type="dxa" w:w="5227"/>
            <w:shd w:fill="F4F7F9"/>
            <w:tcMar>
              <w:top w:w="85" w:type="dxa"/>
              <w:start w:w="130" w:type="dxa"/>
              <w:bottom w:w="85" w:type="dxa"/>
              <w:end w:w="130" w:type="dxa"/>
            </w:tcMar>
          </w:tcPr>
          <w:p>
            <w:r>
              <w:rPr>
                <w:rFonts w:ascii="Liberation Sans" w:hAnsi="Liberation Sans"/>
                <w:b/>
                <w:color w:val="17324D"/>
                <w:sz w:val="21"/>
              </w:rPr>
              <w:t>Read and audit</w:t>
            </w:r>
          </w:p>
          <w:p>
            <w:pPr>
              <w:spacing w:after="0"/>
            </w:pPr>
            <w:r>
              <w:rPr>
                <w:rFonts w:ascii="Liberation Sans" w:hAnsi="Liberation Sans"/>
                <w:color w:val="273746"/>
                <w:sz w:val="19"/>
              </w:rPr>
              <w:t>Enumerate every exposed FileGDB layer, record geometry/counts, and identify named layers that are absent or unsupported.</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2</w:t>
            </w:r>
          </w:p>
        </w:tc>
        <w:tc>
          <w:tcPr>
            <w:tcW w:type="dxa" w:w="5227"/>
            <w:shd w:fill="F4F7F9"/>
            <w:tcMar>
              <w:top w:w="85" w:type="dxa"/>
              <w:start w:w="130" w:type="dxa"/>
              <w:bottom w:w="85" w:type="dxa"/>
              <w:end w:w="130" w:type="dxa"/>
            </w:tcMar>
          </w:tcPr>
          <w:p>
            <w:r>
              <w:rPr>
                <w:rFonts w:ascii="Liberation Sans" w:hAnsi="Liberation Sans"/>
                <w:b/>
                <w:color w:val="17324D"/>
                <w:sz w:val="21"/>
              </w:rPr>
              <w:t>Consolidate tracts</w:t>
            </w:r>
          </w:p>
          <w:p>
            <w:pPr>
              <w:spacing w:after="0"/>
            </w:pPr>
            <w:r>
              <w:rPr>
                <w:rFonts w:ascii="Liberation Sans" w:hAnsi="Liberation Sans"/>
                <w:color w:val="273746"/>
                <w:sz w:val="19"/>
              </w:rPr>
              <w:t>Join CHEI, SVI, GMT precipitation, growth, housing, and hotspot attributes by 11-digit GEOID.</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3</w:t>
            </w:r>
          </w:p>
        </w:tc>
        <w:tc>
          <w:tcPr>
            <w:tcW w:type="dxa" w:w="5227"/>
            <w:shd w:fill="F4F7F9"/>
            <w:tcMar>
              <w:top w:w="85" w:type="dxa"/>
              <w:start w:w="130" w:type="dxa"/>
              <w:bottom w:w="85" w:type="dxa"/>
              <w:end w:w="130" w:type="dxa"/>
            </w:tcMar>
          </w:tcPr>
          <w:p>
            <w:r>
              <w:rPr>
                <w:rFonts w:ascii="Liberation Sans" w:hAnsi="Liberation Sans"/>
                <w:b/>
                <w:color w:val="17324D"/>
                <w:sz w:val="21"/>
              </w:rPr>
              <w:t>Prepare web geometry</w:t>
            </w:r>
          </w:p>
          <w:p>
            <w:pPr>
              <w:spacing w:after="0"/>
            </w:pPr>
            <w:r>
              <w:rPr>
                <w:rFonts w:ascii="Liberation Sans" w:hAnsi="Liberation Sans"/>
                <w:color w:val="273746"/>
                <w:sz w:val="19"/>
              </w:rPr>
              <w:t>Simplify tract, ZIP, commissioner-precinct, parcel, and county geometry without changing the source geodatabase; preserve parcel-level housing-unit change, land-use labels, five-digit ZIP identifiers, and stable precinct numbers.</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4</w:t>
            </w:r>
          </w:p>
        </w:tc>
        <w:tc>
          <w:tcPr>
            <w:tcW w:type="dxa" w:w="5227"/>
            <w:shd w:fill="F4F7F9"/>
            <w:tcMar>
              <w:top w:w="85" w:type="dxa"/>
              <w:start w:w="130" w:type="dxa"/>
              <w:bottom w:w="85" w:type="dxa"/>
              <w:end w:w="130" w:type="dxa"/>
            </w:tcMar>
          </w:tcPr>
          <w:p>
            <w:r>
              <w:rPr>
                <w:rFonts w:ascii="Liberation Sans" w:hAnsi="Liberation Sans"/>
                <w:b/>
                <w:color w:val="17324D"/>
                <w:sz w:val="21"/>
              </w:rPr>
              <w:t>Optimize housing stocks</w:t>
            </w:r>
          </w:p>
          <w:p>
            <w:pPr>
              <w:spacing w:after="0"/>
            </w:pPr>
            <w:r>
              <w:rPr>
                <w:rFonts w:ascii="Liberation Sans" w:hAnsi="Liberation Sans"/>
                <w:color w:val="273746"/>
                <w:sz w:val="19"/>
              </w:rPr>
              <w:t>Create a complete 1 km density grid, a standalone sample, and x-sorted NumPy arrays used by the viewport API.</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5</w:t>
            </w:r>
          </w:p>
        </w:tc>
        <w:tc>
          <w:tcPr>
            <w:tcW w:type="dxa" w:w="5227"/>
            <w:shd w:fill="F4F7F9"/>
            <w:tcMar>
              <w:top w:w="85" w:type="dxa"/>
              <w:start w:w="130" w:type="dxa"/>
              <w:bottom w:w="85" w:type="dxa"/>
              <w:end w:w="130" w:type="dxa"/>
            </w:tcMar>
          </w:tcPr>
          <w:p>
            <w:r>
              <w:rPr>
                <w:rFonts w:ascii="Liberation Sans" w:hAnsi="Liberation Sans"/>
                <w:b/>
                <w:color w:val="17324D"/>
                <w:sz w:val="21"/>
              </w:rPr>
              <w:t>Build the interface</w:t>
            </w:r>
          </w:p>
          <w:p>
            <w:pPr>
              <w:spacing w:after="0"/>
            </w:pPr>
            <w:r>
              <w:rPr>
                <w:rFonts w:ascii="Liberation Sans" w:hAnsi="Liberation Sans"/>
                <w:color w:val="273746"/>
                <w:sz w:val="19"/>
              </w:rPr>
              <w:t>Serialize the Bokeh application, analytical data, ZIP and precinct geometry, clickable legends, Quick Decision actions, browser report generator, hotspot patterns, and inline resources into one portable HTML file; serve the same file through FastAPI for full-point mode.</w:t>
            </w:r>
          </w:p>
        </w:tc>
      </w:tr>
    </w:tbl>
    <w:p>
      <w:pPr>
        <w:spacing w:after="0"/>
      </w:pPr>
    </w:p>
    <w:p>
      <w:pPr>
        <w:spacing w:before="140" w:after="80"/>
      </w:pPr>
      <w:r>
        <w:rPr>
          <w:rFonts w:ascii="Liberation Sans" w:hAnsi="Liberation Sans"/>
          <w:b/>
          <w:color w:val="168C95"/>
          <w:sz w:val="25"/>
        </w:rPr>
        <w:t>Derived ordinary-kriging surfaces</w:t>
      </w:r>
    </w:p>
    <w:p>
      <w:pPr>
        <w:spacing w:after="100" w:line="259" w:lineRule="auto"/>
      </w:pPr>
      <w:r>
        <w:rPr>
          <w:rFonts w:ascii="Liberation Sans" w:hAnsi="Liberation Sans"/>
          <w:color w:val="273746"/>
          <w:sz w:val="20"/>
        </w:rPr>
        <w:t>For each GMT threshold, the script fits an exponential semivariogram to the 246 uploaded climate-model points, solves an ordinary-kriging system, predicts a regular Harris County grid, masks cells outside the county, and stores both numeric and RGBA arrays. The surfaces are display products, not replacements for authoritative rasters.</w:t>
      </w:r>
    </w:p>
    <w:p>
      <w:pPr>
        <w:spacing w:before="140" w:after="80"/>
      </w:pPr>
      <w:r>
        <w:rPr>
          <w:rFonts w:ascii="Liberation Sans" w:hAnsi="Liberation Sans"/>
          <w:b/>
          <w:color w:val="168C95"/>
          <w:sz w:val="25"/>
        </w:rPr>
        <w:t>Performance and privacy controls</w:t>
      </w:r>
    </w:p>
    <w:p>
      <w:pPr>
        <w:spacing w:after="100" w:line="259" w:lineRule="auto"/>
      </w:pPr>
      <w:r>
        <w:rPr>
          <w:rFonts w:ascii="Liberation Sans" w:hAnsi="Liberation Sans"/>
          <w:color w:val="273746"/>
          <w:sz w:val="20"/>
        </w:rPr>
        <w:t>The server queries x-sorted point arrays by binary search, filters by the current y-range, and deterministically caps the browser response. The exported web assets omit property account IDs, mailing fields, assessed values, and unused HCAD attributes. The separate ZIP and commissioner-precinct layers retain only fields needed for location, area context, tract-intersection screening, and generalized geometry.</w:t>
      </w: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04  INSTALLATION</w:t>
            </w:r>
          </w:p>
          <w:p>
            <w:pPr>
              <w:spacing w:after="40"/>
            </w:pPr>
            <w:r>
              <w:rPr>
                <w:rFonts w:ascii="Liberation Sans" w:hAnsi="Liberation Sans"/>
                <w:b/>
                <w:color w:val="FFFFFF"/>
                <w:sz w:val="42"/>
              </w:rPr>
              <w:t>Run the prepared dashboard locally</w:t>
            </w:r>
          </w:p>
          <w:p>
            <w:pPr>
              <w:spacing w:after="0"/>
            </w:pPr>
            <w:r>
              <w:rPr>
                <w:rFonts w:ascii="Liberation Sans" w:hAnsi="Liberation Sans"/>
                <w:color w:val="D9E9ED"/>
                <w:sz w:val="21"/>
              </w:rPr>
              <w:t>Two commands are sufficient after installing the pinned environment</w:t>
            </w:r>
          </w:p>
        </w:tc>
      </w:tr>
    </w:tbl>
    <w:p>
      <w:pPr>
        <w:spacing w:after="0"/>
      </w:pPr>
    </w:p>
    <w:p>
      <w:pPr>
        <w:pStyle w:val="Heading1"/>
        <w:spacing w:before="60" w:after="140"/>
      </w:pPr>
      <w:r>
        <w:rPr>
          <w:rFonts w:ascii="Liberation Sans" w:hAnsi="Liberation Sans"/>
          <w:b/>
          <w:color w:val="17324D"/>
          <w:sz w:val="36"/>
        </w:rPr>
        <w:t>4.1  Python virtual environment</w:t>
      </w:r>
    </w:p>
    <w:tbl>
      <w:tblPr>
        <w:tblW w:type="auto" w:w="0"/>
        <w:jc w:val="center"/>
        <w:tblLook w:firstColumn="1" w:firstRow="1" w:lastColumn="0" w:lastRow="0" w:noHBand="0" w:noVBand="1" w:val="04A0"/>
      </w:tblPr>
      <w:tblGrid>
        <w:gridCol w:w="10454"/>
      </w:tblGrid>
      <w:tr>
        <w:tc>
          <w:tcPr>
            <w:tcW w:type="dxa" w:w="10454"/>
            <w:shd w:fill="F1F4F6"/>
            <w:tcBorders>
              <w:left w:val="single" w:sz="14" w:color="168C95"/>
            </w:tcBorders>
            <w:tcMar>
              <w:top w:w="100" w:type="dxa"/>
              <w:start w:w="150" w:type="dxa"/>
              <w:bottom w:w="100" w:type="dxa"/>
              <w:end w:w="130" w:type="dxa"/>
            </w:tcMar>
          </w:tcPr>
          <w:p>
            <w:pPr>
              <w:spacing w:after="0"/>
            </w:pPr>
            <w:r>
              <w:rPr>
                <w:rFonts w:ascii="Liberation Mono" w:hAnsi="Liberation Mono"/>
                <w:color w:val="273746"/>
                <w:sz w:val="17"/>
              </w:rPr>
              <w:t>python -m venv .venv</w:t>
            </w:r>
            <w:r>
              <w:br/>
            </w:r>
            <w:r>
              <w:rPr>
                <w:rFonts w:ascii="Liberation Mono" w:hAnsi="Liberation Mono"/>
                <w:color w:val="273746"/>
                <w:sz w:val="17"/>
              </w:rPr>
              <w:t># Windows: .venv\Scripts\activate</w:t>
            </w:r>
            <w:r>
              <w:br/>
            </w:r>
            <w:r>
              <w:rPr>
                <w:rFonts w:ascii="Liberation Mono" w:hAnsi="Liberation Mono"/>
                <w:color w:val="273746"/>
                <w:sz w:val="17"/>
              </w:rPr>
              <w:t># macOS/Linux: source .venv/bin/activate</w:t>
            </w:r>
            <w:r>
              <w:br/>
            </w:r>
            <w:r>
              <w:rPr>
                <w:rFonts w:ascii="Liberation Mono" w:hAnsi="Liberation Mono"/>
                <w:color w:val="273746"/>
                <w:sz w:val="17"/>
              </w:rPr>
              <w:t>pip install -r requirements.txt</w:t>
            </w:r>
            <w:r>
              <w:br/>
            </w:r>
            <w:r>
              <w:rPr>
                <w:rFonts w:ascii="Liberation Mono" w:hAnsi="Liberation Mono"/>
                <w:color w:val="273746"/>
                <w:sz w:val="17"/>
              </w:rPr>
              <w:t>python server.py</w:t>
            </w:r>
          </w:p>
        </w:tc>
      </w:tr>
    </w:tbl>
    <w:p>
      <w:pPr>
        <w:spacing w:after="0"/>
      </w:pPr>
    </w:p>
    <w:p>
      <w:pPr>
        <w:spacing w:after="100" w:line="259" w:lineRule="auto"/>
      </w:pPr>
      <w:r>
        <w:rPr>
          <w:rFonts w:ascii="Liberation Sans" w:hAnsi="Liberation Sans"/>
          <w:color w:val="273746"/>
          <w:sz w:val="20"/>
        </w:rPr>
        <w:t>Open http://127.0.0.1:8050. The health endpoint is http://127.0.0.1:8050/api/health.</w:t>
      </w:r>
    </w:p>
    <w:p>
      <w:pPr>
        <w:pStyle w:val="Heading1"/>
        <w:spacing w:before="60" w:after="140"/>
      </w:pPr>
      <w:r>
        <w:rPr>
          <w:rFonts w:ascii="Liberation Sans" w:hAnsi="Liberation Sans"/>
          <w:b/>
          <w:color w:val="17324D"/>
          <w:sz w:val="36"/>
        </w:rPr>
        <w:t>4.2  Conda environment</w:t>
      </w:r>
    </w:p>
    <w:tbl>
      <w:tblPr>
        <w:tblW w:type="auto" w:w="0"/>
        <w:jc w:val="center"/>
        <w:tblLook w:firstColumn="1" w:firstRow="1" w:lastColumn="0" w:lastRow="0" w:noHBand="0" w:noVBand="1" w:val="04A0"/>
      </w:tblPr>
      <w:tblGrid>
        <w:gridCol w:w="10454"/>
      </w:tblGrid>
      <w:tr>
        <w:tc>
          <w:tcPr>
            <w:tcW w:type="dxa" w:w="10454"/>
            <w:shd w:fill="F1F4F6"/>
            <w:tcBorders>
              <w:left w:val="single" w:sz="14" w:color="168C95"/>
            </w:tcBorders>
            <w:tcMar>
              <w:top w:w="100" w:type="dxa"/>
              <w:start w:w="150" w:type="dxa"/>
              <w:bottom w:w="100" w:type="dxa"/>
              <w:end w:w="130" w:type="dxa"/>
            </w:tcMar>
          </w:tcPr>
          <w:p>
            <w:pPr>
              <w:spacing w:after="0"/>
            </w:pPr>
            <w:r>
              <w:rPr>
                <w:rFonts w:ascii="Liberation Mono" w:hAnsi="Liberation Mono"/>
                <w:color w:val="273746"/>
                <w:sz w:val="17"/>
              </w:rPr>
              <w:t>conda env create -f environment.yml</w:t>
            </w:r>
            <w:r>
              <w:br/>
            </w:r>
            <w:r>
              <w:rPr>
                <w:rFonts w:ascii="Liberation Mono" w:hAnsi="Liberation Mono"/>
                <w:color w:val="273746"/>
                <w:sz w:val="17"/>
              </w:rPr>
              <w:t>conda activate climate-housing-dashboard</w:t>
            </w:r>
            <w:r>
              <w:br/>
            </w:r>
            <w:r>
              <w:rPr>
                <w:rFonts w:ascii="Liberation Mono" w:hAnsi="Liberation Mono"/>
                <w:color w:val="273746"/>
                <w:sz w:val="17"/>
              </w:rPr>
              <w:t>python server.py</w:t>
            </w:r>
          </w:p>
        </w:tc>
      </w:tr>
    </w:tbl>
    <w:p>
      <w:pPr>
        <w:spacing w:after="0"/>
      </w:pPr>
    </w:p>
    <w:p>
      <w:pPr>
        <w:pStyle w:val="Heading1"/>
        <w:spacing w:before="60" w:after="140"/>
      </w:pPr>
      <w:r>
        <w:rPr>
          <w:rFonts w:ascii="Liberation Sans" w:hAnsi="Liberation Sans"/>
          <w:b/>
          <w:color w:val="17324D"/>
          <w:sz w:val="36"/>
        </w:rPr>
        <w:t>4.3  No-server preview</w:t>
      </w:r>
    </w:p>
    <w:p>
      <w:pPr>
        <w:spacing w:after="100" w:line="259" w:lineRule="auto"/>
      </w:pPr>
      <w:r>
        <w:rPr>
          <w:rFonts w:ascii="Liberation Sans" w:hAnsi="Liberation Sans"/>
          <w:color w:val="273746"/>
          <w:sz w:val="20"/>
        </w:rPr>
        <w:t>Open index.html directly in a modern browser. The compatibility file climate_housing_exposure_index_dashboard.html contains identical content. Tract, parcel, climate-point, grid, pattern-hotspot, ZIP and precinct locators, clickable legend filters, Quick Decision actions, one-page reports, charts, methods, and terms content remains interactive. Only the million-record single-family point service changes to the embedded deterministic preview sample. Internet access is required only for the optional basemap tiles.</w:t>
      </w:r>
    </w:p>
    <w:p>
      <w:pPr>
        <w:pStyle w:val="Heading1"/>
        <w:spacing w:before="60" w:after="140"/>
      </w:pPr>
      <w:r>
        <w:rPr>
          <w:rFonts w:ascii="Liberation Sans" w:hAnsi="Liberation Sans"/>
          <w:b/>
          <w:color w:val="17324D"/>
          <w:sz w:val="36"/>
        </w:rPr>
        <w:t>4.4  Package structure</w:t>
      </w:r>
    </w:p>
    <w:tbl>
      <w:tblPr>
        <w:tblW w:type="auto" w:w="0"/>
        <w:jc w:val="center"/>
        <w:tblLook w:firstColumn="1" w:firstRow="1" w:lastColumn="0" w:lastRow="0" w:noHBand="0" w:noVBand="1" w:val="04A0"/>
      </w:tblPr>
      <w:tblGrid>
        <w:gridCol w:w="10454"/>
      </w:tblGrid>
      <w:tr>
        <w:tc>
          <w:tcPr>
            <w:tcW w:type="dxa" w:w="10454"/>
            <w:shd w:fill="F1F4F6"/>
            <w:tcBorders>
              <w:left w:val="single" w:sz="14" w:color="168C95"/>
            </w:tcBorders>
            <w:tcMar>
              <w:top w:w="100" w:type="dxa"/>
              <w:start w:w="150" w:type="dxa"/>
              <w:bottom w:w="100" w:type="dxa"/>
              <w:end w:w="130" w:type="dxa"/>
            </w:tcMar>
          </w:tcPr>
          <w:p>
            <w:pPr>
              <w:spacing w:after="0"/>
            </w:pPr>
            <w:r>
              <w:rPr>
                <w:rFonts w:ascii="Liberation Mono" w:hAnsi="Liberation Mono"/>
                <w:color w:val="273746"/>
                <w:sz w:val="17"/>
              </w:rPr>
              <w:t>Climate_Housing_Exposure_Index_Dashboard/</w:t>
            </w:r>
            <w:r>
              <w:br/>
            </w:r>
            <w:r>
              <w:rPr>
                <w:rFonts w:ascii="Liberation Mono" w:hAnsi="Liberation Mono"/>
                <w:color w:val="273746"/>
                <w:sz w:val="17"/>
              </w:rPr>
              <w:t>├── index.html / .nojekyll</w:t>
            </w:r>
            <w:r>
              <w:br/>
            </w:r>
            <w:r>
              <w:rPr>
                <w:rFonts w:ascii="Liberation Mono" w:hAnsi="Liberation Mono"/>
                <w:color w:val="273746"/>
                <w:sz w:val="17"/>
              </w:rPr>
              <w:t>├── climate_housing_exposure_index_dashboard.html</w:t>
            </w:r>
            <w:r>
              <w:br/>
            </w:r>
            <w:r>
              <w:rPr>
                <w:rFonts w:ascii="Liberation Mono" w:hAnsi="Liberation Mono"/>
                <w:color w:val="273746"/>
                <w:sz w:val="17"/>
              </w:rPr>
              <w:t>├── server.py</w:t>
            </w:r>
            <w:r>
              <w:br/>
            </w:r>
            <w:r>
              <w:rPr>
                <w:rFonts w:ascii="Liberation Mono" w:hAnsi="Liberation Mono"/>
                <w:color w:val="273746"/>
                <w:sz w:val="17"/>
              </w:rPr>
              <w:t>├── preprocess_data.py</w:t>
            </w:r>
            <w:r>
              <w:br/>
            </w:r>
            <w:r>
              <w:rPr>
                <w:rFonts w:ascii="Liberation Mono" w:hAnsi="Liberation Mono"/>
                <w:color w:val="273746"/>
                <w:sz w:val="17"/>
              </w:rPr>
              <w:t>├── build_dashboard.py</w:t>
            </w:r>
            <w:r>
              <w:br/>
            </w:r>
            <w:r>
              <w:rPr>
                <w:rFonts w:ascii="Liberation Mono" w:hAnsi="Liberation Mono"/>
                <w:color w:val="273746"/>
                <w:sz w:val="17"/>
              </w:rPr>
              <w:t>├── data/</w:t>
            </w:r>
            <w:r>
              <w:br/>
            </w:r>
            <w:r>
              <w:rPr>
                <w:rFonts w:ascii="Liberation Mono" w:hAnsi="Liberation Mono"/>
                <w:color w:val="273746"/>
                <w:sz w:val="17"/>
              </w:rPr>
              <w:t>├── docs/</w:t>
            </w:r>
            <w:r>
              <w:br/>
            </w:r>
            <w:r>
              <w:rPr>
                <w:rFonts w:ascii="Liberation Mono" w:hAnsi="Liberation Mono"/>
                <w:color w:val="273746"/>
                <w:sz w:val="17"/>
              </w:rPr>
              <w:t>├── screenshots/</w:t>
            </w:r>
            <w:r>
              <w:br/>
            </w:r>
            <w:r>
              <w:rPr>
                <w:rFonts w:ascii="Liberation Mono" w:hAnsi="Liberation Mono"/>
                <w:color w:val="273746"/>
                <w:sz w:val="17"/>
              </w:rPr>
              <w:t>├── scripts/validate_dashboard.py</w:t>
            </w:r>
            <w:r>
              <w:br/>
            </w:r>
            <w:r>
              <w:rPr>
                <w:rFonts w:ascii="Liberation Mono" w:hAnsi="Liberation Mono"/>
                <w:color w:val="273746"/>
                <w:sz w:val="17"/>
              </w:rPr>
              <w:t>├── requirements.txt / environment.yml</w:t>
            </w:r>
            <w:r>
              <w:br/>
            </w:r>
            <w:r>
              <w:rPr>
                <w:rFonts w:ascii="Liberation Mono" w:hAnsi="Liberation Mono"/>
                <w:color w:val="273746"/>
                <w:sz w:val="17"/>
              </w:rPr>
              <w:t>└── Dockerfile / render.yaml</w:t>
            </w:r>
          </w:p>
        </w:tc>
      </w:tr>
    </w:tbl>
    <w:p>
      <w:pPr>
        <w:spacing w:after="0"/>
      </w:pP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05  FULL REBUILD</w:t>
            </w:r>
          </w:p>
          <w:p>
            <w:pPr>
              <w:spacing w:after="40"/>
            </w:pPr>
            <w:r>
              <w:rPr>
                <w:rFonts w:ascii="Liberation Sans" w:hAnsi="Liberation Sans"/>
                <w:b/>
                <w:color w:val="FFFFFF"/>
                <w:sz w:val="42"/>
              </w:rPr>
              <w:t>Regenerate the dashboard from the File Geodatabase</w:t>
            </w:r>
          </w:p>
          <w:p>
            <w:pPr>
              <w:spacing w:after="0"/>
            </w:pPr>
            <w:r>
              <w:rPr>
                <w:rFonts w:ascii="Liberation Sans" w:hAnsi="Liberation Sans"/>
                <w:color w:val="D9E9ED"/>
                <w:sz w:val="21"/>
              </w:rPr>
              <w:t>The source geodatabase is read-only throughout this workflow</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1</w:t>
            </w:r>
          </w:p>
        </w:tc>
        <w:tc>
          <w:tcPr>
            <w:tcW w:type="dxa" w:w="5227"/>
            <w:shd w:fill="F4F7F9"/>
            <w:tcMar>
              <w:top w:w="85" w:type="dxa"/>
              <w:start w:w="130" w:type="dxa"/>
              <w:bottom w:w="85" w:type="dxa"/>
              <w:end w:w="130" w:type="dxa"/>
            </w:tcMar>
          </w:tcPr>
          <w:p>
            <w:r>
              <w:rPr>
                <w:rFonts w:ascii="Liberation Sans" w:hAnsi="Liberation Sans"/>
                <w:b/>
                <w:color w:val="17324D"/>
                <w:sz w:val="21"/>
              </w:rPr>
              <w:t>Extract the uploaded archive</w:t>
            </w:r>
          </w:p>
          <w:p>
            <w:pPr>
              <w:spacing w:after="0"/>
            </w:pPr>
            <w:r>
              <w:rPr>
                <w:rFonts w:ascii="Liberation Sans" w:hAnsi="Liberation Sans"/>
                <w:color w:val="273746"/>
                <w:sz w:val="19"/>
              </w:rPr>
              <w:t>Unzip Climate_Housing_Exposure_Index_Dashboard.gdb_boundary.zip and identify the extracted Climate_Housing_Exposure_Index_Dashboard.gdb directory.</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2</w:t>
            </w:r>
          </w:p>
        </w:tc>
        <w:tc>
          <w:tcPr>
            <w:tcW w:type="dxa" w:w="5227"/>
            <w:shd w:fill="F4F7F9"/>
            <w:tcMar>
              <w:top w:w="85" w:type="dxa"/>
              <w:start w:w="130" w:type="dxa"/>
              <w:bottom w:w="85" w:type="dxa"/>
              <w:end w:w="130" w:type="dxa"/>
            </w:tcMar>
          </w:tcPr>
          <w:p>
            <w:r>
              <w:rPr>
                <w:rFonts w:ascii="Liberation Sans" w:hAnsi="Liberation Sans"/>
                <w:b/>
                <w:color w:val="17324D"/>
                <w:sz w:val="21"/>
              </w:rPr>
              <w:t>Run preprocessing</w:t>
            </w:r>
          </w:p>
          <w:p>
            <w:pPr>
              <w:spacing w:after="0"/>
            </w:pPr>
            <w:r>
              <w:rPr>
                <w:rFonts w:ascii="Liberation Sans" w:hAnsi="Liberation Sans"/>
                <w:color w:val="273746"/>
                <w:sz w:val="19"/>
              </w:rPr>
              <w:t>Pass the extracted geodatabase path and the package data directory to preprocess_data.py.</w:t>
            </w:r>
          </w:p>
        </w:tc>
      </w:tr>
    </w:tbl>
    <w:p>
      <w:pPr>
        <w:spacing w:after="0"/>
      </w:pPr>
    </w:p>
    <w:tbl>
      <w:tblPr>
        <w:tblW w:type="auto" w:w="0"/>
        <w:jc w:val="center"/>
        <w:tblLook w:firstColumn="1" w:firstRow="1" w:lastColumn="0" w:lastRow="0" w:noHBand="0" w:noVBand="1" w:val="04A0"/>
      </w:tblPr>
      <w:tblGrid>
        <w:gridCol w:w="10454"/>
      </w:tblGrid>
      <w:tr>
        <w:tc>
          <w:tcPr>
            <w:tcW w:type="dxa" w:w="10454"/>
            <w:shd w:fill="F1F4F6"/>
            <w:tcBorders>
              <w:left w:val="single" w:sz="14" w:color="168C95"/>
            </w:tcBorders>
            <w:tcMar>
              <w:top w:w="100" w:type="dxa"/>
              <w:start w:w="150" w:type="dxa"/>
              <w:bottom w:w="100" w:type="dxa"/>
              <w:end w:w="130" w:type="dxa"/>
            </w:tcMar>
          </w:tcPr>
          <w:p>
            <w:pPr>
              <w:spacing w:after="0"/>
            </w:pPr>
            <w:r>
              <w:rPr>
                <w:rFonts w:ascii="Liberation Mono" w:hAnsi="Liberation Mono"/>
                <w:color w:val="273746"/>
                <w:sz w:val="17"/>
              </w:rPr>
              <w:t>python preprocess_data.py \</w:t>
            </w:r>
            <w:r>
              <w:br/>
            </w:r>
            <w:r>
              <w:rPr>
                <w:rFonts w:ascii="Liberation Mono" w:hAnsi="Liberation Mono"/>
                <w:color w:val="273746"/>
                <w:sz w:val="17"/>
              </w:rPr>
              <w:t xml:space="preserve">  --gdb "/path/to/Climate_Housing_Exposure_Index_Dashboard.gdb" \</w:t>
            </w:r>
            <w:r>
              <w:br/>
            </w:r>
            <w:r>
              <w:rPr>
                <w:rFonts w:ascii="Liberation Mono" w:hAnsi="Liberation Mono"/>
                <w:color w:val="273746"/>
                <w:sz w:val="17"/>
              </w:rPr>
              <w:t xml:space="preserve">  --output data</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3</w:t>
            </w:r>
          </w:p>
        </w:tc>
        <w:tc>
          <w:tcPr>
            <w:tcW w:type="dxa" w:w="5227"/>
            <w:shd w:fill="F4F7F9"/>
            <w:tcMar>
              <w:top w:w="85" w:type="dxa"/>
              <w:start w:w="130" w:type="dxa"/>
              <w:bottom w:w="85" w:type="dxa"/>
              <w:end w:w="130" w:type="dxa"/>
            </w:tcMar>
          </w:tcPr>
          <w:p>
            <w:r>
              <w:rPr>
                <w:rFonts w:ascii="Liberation Sans" w:hAnsi="Liberation Sans"/>
                <w:b/>
                <w:color w:val="17324D"/>
                <w:sz w:val="21"/>
              </w:rPr>
              <w:t>Rebuild the standalone application</w:t>
            </w:r>
          </w:p>
          <w:p>
            <w:pPr>
              <w:spacing w:after="0"/>
            </w:pPr>
            <w:r>
              <w:rPr>
                <w:rFonts w:ascii="Liberation Sans" w:hAnsi="Liberation Sans"/>
                <w:color w:val="273746"/>
                <w:sz w:val="19"/>
              </w:rPr>
              <w:t>Serialize the prepared data, charts, controls, methods, source links, and terms into the HTML deliverable.</w:t>
            </w:r>
          </w:p>
        </w:tc>
      </w:tr>
    </w:tbl>
    <w:p>
      <w:pPr>
        <w:spacing w:after="0"/>
      </w:pPr>
    </w:p>
    <w:tbl>
      <w:tblPr>
        <w:tblW w:type="auto" w:w="0"/>
        <w:jc w:val="center"/>
        <w:tblLook w:firstColumn="1" w:firstRow="1" w:lastColumn="0" w:lastRow="0" w:noHBand="0" w:noVBand="1" w:val="04A0"/>
      </w:tblPr>
      <w:tblGrid>
        <w:gridCol w:w="10454"/>
      </w:tblGrid>
      <w:tr>
        <w:tc>
          <w:tcPr>
            <w:tcW w:type="dxa" w:w="10454"/>
            <w:shd w:fill="F1F4F6"/>
            <w:tcBorders>
              <w:left w:val="single" w:sz="14" w:color="168C95"/>
            </w:tcBorders>
            <w:tcMar>
              <w:top w:w="100" w:type="dxa"/>
              <w:start w:w="150" w:type="dxa"/>
              <w:bottom w:w="100" w:type="dxa"/>
              <w:end w:w="130" w:type="dxa"/>
            </w:tcMar>
          </w:tcPr>
          <w:p>
            <w:pPr>
              <w:spacing w:after="0"/>
            </w:pPr>
            <w:r>
              <w:rPr>
                <w:rFonts w:ascii="Liberation Mono" w:hAnsi="Liberation Mono"/>
                <w:color w:val="273746"/>
                <w:sz w:val="17"/>
              </w:rPr>
              <w:t>python build_dashboard.py</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4</w:t>
            </w:r>
          </w:p>
        </w:tc>
        <w:tc>
          <w:tcPr>
            <w:tcW w:type="dxa" w:w="5227"/>
            <w:shd w:fill="F4F7F9"/>
            <w:tcMar>
              <w:top w:w="85" w:type="dxa"/>
              <w:start w:w="130" w:type="dxa"/>
              <w:bottom w:w="85" w:type="dxa"/>
              <w:end w:w="130" w:type="dxa"/>
            </w:tcMar>
          </w:tcPr>
          <w:p>
            <w:r>
              <w:rPr>
                <w:rFonts w:ascii="Liberation Sans" w:hAnsi="Liberation Sans"/>
                <w:b/>
                <w:color w:val="17324D"/>
                <w:sz w:val="21"/>
              </w:rPr>
              <w:t>Validate the result</w:t>
            </w:r>
          </w:p>
          <w:p>
            <w:pPr>
              <w:spacing w:after="0"/>
            </w:pPr>
            <w:r>
              <w:rPr>
                <w:rFonts w:ascii="Liberation Sans" w:hAnsi="Liberation Sans"/>
                <w:color w:val="273746"/>
                <w:sz w:val="19"/>
              </w:rPr>
              <w:t>Check required files, the 32-layer inventory, 155 ZIP boundaries, four commissioner precincts, sorted point arrays, hotspot logic, pattern identifiers, clickable legends, decision tools, locator controls, and source-contact text.</w:t>
            </w:r>
          </w:p>
        </w:tc>
      </w:tr>
    </w:tbl>
    <w:p>
      <w:pPr>
        <w:spacing w:after="0"/>
      </w:pPr>
    </w:p>
    <w:tbl>
      <w:tblPr>
        <w:tblW w:type="auto" w:w="0"/>
        <w:jc w:val="center"/>
        <w:tblLook w:firstColumn="1" w:firstRow="1" w:lastColumn="0" w:lastRow="0" w:noHBand="0" w:noVBand="1" w:val="04A0"/>
      </w:tblPr>
      <w:tblGrid>
        <w:gridCol w:w="10454"/>
      </w:tblGrid>
      <w:tr>
        <w:tc>
          <w:tcPr>
            <w:tcW w:type="dxa" w:w="10454"/>
            <w:shd w:fill="F1F4F6"/>
            <w:tcBorders>
              <w:left w:val="single" w:sz="14" w:color="168C95"/>
            </w:tcBorders>
            <w:tcMar>
              <w:top w:w="100" w:type="dxa"/>
              <w:start w:w="150" w:type="dxa"/>
              <w:bottom w:w="100" w:type="dxa"/>
              <w:end w:w="130" w:type="dxa"/>
            </w:tcMar>
          </w:tcPr>
          <w:p>
            <w:pPr>
              <w:spacing w:after="0"/>
            </w:pPr>
            <w:r>
              <w:rPr>
                <w:rFonts w:ascii="Liberation Mono" w:hAnsi="Liberation Mono"/>
                <w:color w:val="273746"/>
                <w:sz w:val="17"/>
              </w:rPr>
              <w:t>python scripts/validate_dashboard.py</w:t>
            </w:r>
          </w:p>
        </w:tc>
      </w:tr>
    </w:tbl>
    <w:p>
      <w:pPr>
        <w:spacing w:after="0"/>
      </w:pPr>
    </w:p>
    <w:p>
      <w:pPr>
        <w:spacing w:before="140" w:after="80"/>
      </w:pPr>
      <w:r>
        <w:rPr>
          <w:rFonts w:ascii="Liberation Sans" w:hAnsi="Liberation Sans"/>
          <w:b/>
          <w:color w:val="168C95"/>
          <w:sz w:val="25"/>
        </w:rPr>
        <w:t>Principal generated assets</w:t>
      </w:r>
    </w:p>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tracts_web.geojson</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1,115 consolidated tract features with all map, profile, legend-filter, and report fields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zipcodes_web.geojson / commissioner_precincts_web.geojson</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155 ZIP boundaries and four precinct boundaries for search, optional overlays, and tract-based screening reports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parcels_web.geojson / housing_grid.geojson</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20,344 changed parcels and 4,863 occupied 1 km housing-density cells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Point arrays, kriging assets, and data-quality report</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Full x-sorted housing arrays, derived precipitation grids and model metadata, counts, audit notes, and privacy documentation</w:t>
            </w:r>
          </w:p>
        </w:tc>
      </w:tr>
    </w:tbl>
    <w:p>
      <w:pPr>
        <w:spacing w:after="0"/>
      </w:pP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06  DASHBOARD USE</w:t>
            </w:r>
          </w:p>
          <w:p>
            <w:pPr>
              <w:spacing w:after="40"/>
            </w:pPr>
            <w:r>
              <w:rPr>
                <w:rFonts w:ascii="Liberation Sans" w:hAnsi="Liberation Sans"/>
                <w:b/>
                <w:color w:val="FFFFFF"/>
                <w:sz w:val="42"/>
              </w:rPr>
              <w:t>Layer exploration, location, and decision support</w:t>
            </w:r>
          </w:p>
          <w:p>
            <w:pPr>
              <w:spacing w:after="0"/>
            </w:pPr>
            <w:r>
              <w:rPr>
                <w:rFonts w:ascii="Liberation Sans" w:hAnsi="Liberation Sans"/>
                <w:color w:val="D9E9ED"/>
                <w:sz w:val="21"/>
              </w:rPr>
              <w:t>Controls are intentionally transparent and interpretable</w:t>
            </w:r>
          </w:p>
        </w:tc>
      </w:tr>
    </w:tbl>
    <w:p>
      <w:pPr>
        <w:spacing w:after="0"/>
      </w:pPr>
    </w:p>
    <w:p>
      <w:pPr>
        <w:pStyle w:val="Heading1"/>
        <w:spacing w:before="60" w:after="140"/>
      </w:pPr>
      <w:r>
        <w:rPr>
          <w:rFonts w:ascii="Liberation Sans" w:hAnsi="Liberation Sans"/>
          <w:b/>
          <w:color w:val="17324D"/>
          <w:sz w:val="36"/>
        </w:rPr>
        <w:t>6.1  Primary map layer</w:t>
      </w:r>
    </w:p>
    <w:p>
      <w:pPr>
        <w:spacing w:after="100" w:line="259" w:lineRule="auto"/>
      </w:pPr>
      <w:r>
        <w:rPr>
          <w:rFonts w:ascii="Liberation Sans" w:hAnsi="Liberation Sans"/>
          <w:color w:val="273746"/>
          <w:sz w:val="20"/>
        </w:rPr>
        <w:t>Choose a composite, climate, growth, equity, housing, or parcel layer. The legend, histogram, hover value, opacity, and about-this-layer panel update together. Click one legend range or category to highlight matching features, fade nonmatches, view a live count, zoom to matches, or clear the filter. A GMT selector appears only for tract precipitation, climate points, and kriging surfaces. A housing-type selector appears only for density and point views.</w:t>
      </w:r>
    </w:p>
    <w:p>
      <w:pPr>
        <w:pStyle w:val="Heading1"/>
        <w:spacing w:before="60" w:after="140"/>
      </w:pPr>
      <w:r>
        <w:rPr>
          <w:rFonts w:ascii="Liberation Sans" w:hAnsi="Liberation Sans"/>
          <w:b/>
          <w:color w:val="17324D"/>
          <w:sz w:val="36"/>
        </w:rPr>
        <w:t>6.2  Compound-hotspot typology</w:t>
      </w:r>
    </w:p>
    <w:p>
      <w:pPr>
        <w:spacing w:after="100" w:line="259" w:lineRule="auto"/>
      </w:pPr>
      <w:r>
        <w:rPr>
          <w:rFonts w:ascii="Liberation Sans" w:hAnsi="Liberation Sans"/>
          <w:color w:val="273746"/>
          <w:sz w:val="20"/>
        </w:rPr>
        <w:t>The noncompensatory hotspot layer retains all eight combinations of high precipitation hazard, projected household growth, and social vulnerability: none; hazard only; growth only; SVI only; hazard plus growth; hazard plus SVI; growth plus SVI; and all three. Patterns, rather than color alone, encode the factors: diagonal lines indicate precipitation hazard, vertical lines indicate household growth, and dots indicate social vulnerability; overlaid patterns preserve the combinations.</w:t>
      </w:r>
    </w:p>
    <w:p>
      <w:pPr>
        <w:spacing w:after="100" w:line="259" w:lineRule="auto"/>
      </w:pPr>
      <w:r>
        <w:rPr>
          <w:rFonts w:ascii="Liberation Sans" w:hAnsi="Liberation Sans"/>
          <w:color w:val="273746"/>
          <w:sz w:val="20"/>
        </w:rPr>
        <w:t>A condition is high when it meets the countywide 80th-percentile threshold: GMT +2.5°C precipitation of at least 203.603 mm, projected household growth of at least 746 households, or SVI of at least 0.88386. The legend reports both the thresholds and tract counts.</w:t>
      </w:r>
    </w:p>
    <w:p>
      <w:pPr>
        <w:pStyle w:val="Heading1"/>
        <w:spacing w:before="60" w:after="140"/>
      </w:pPr>
      <w:r>
        <w:rPr>
          <w:rFonts w:ascii="Liberation Sans" w:hAnsi="Liberation Sans"/>
          <w:b/>
          <w:color w:val="17324D"/>
          <w:sz w:val="36"/>
        </w:rPr>
        <w:t>6.3  Configurable two-factor overlap mode</w:t>
      </w:r>
    </w:p>
    <w:p>
      <w:pPr>
        <w:spacing w:after="100" w:line="259" w:lineRule="auto"/>
      </w:pPr>
      <w:r>
        <w:rPr>
          <w:rFonts w:ascii="Liberation Sans" w:hAnsi="Liberation Sans"/>
          <w:color w:val="273746"/>
          <w:sz w:val="20"/>
        </w:rPr>
        <w:t>Enable the overlap switch, select factor A and factor B, and set a countywide percentile threshold from the 60th to the 95th percentile. Each tract is classified as neither high, factor-A-only, factor-B-only, or both high. The dashboard reports the exact numeric cutoffs and summarizes the both-high tracts and their projected residents, households, and jobs.</w:t>
      </w:r>
    </w:p>
    <w:p>
      <w:pPr>
        <w:pStyle w:val="Heading1"/>
        <w:spacing w:before="60" w:after="140"/>
      </w:pPr>
      <w:r>
        <w:rPr>
          <w:rFonts w:ascii="Liberation Sans" w:hAnsi="Liberation Sans"/>
          <w:b/>
          <w:color w:val="17324D"/>
          <w:sz w:val="36"/>
        </w:rPr>
        <w:t>6.4  Tract, ZIP-code, and commissioner-precinct location</w:t>
      </w:r>
    </w:p>
    <w:p>
      <w:pPr>
        <w:spacing w:after="100" w:line="259" w:lineRule="auto"/>
      </w:pPr>
      <w:r>
        <w:rPr>
          <w:rFonts w:ascii="Liberation Sans" w:hAnsi="Liberation Sans"/>
          <w:color w:val="273746"/>
          <w:sz w:val="20"/>
        </w:rPr>
        <w:t>Enter an exact 11-digit GEOID to zoom and select a tract, or click a tract on the map. Enter a five-digit ZIP code to zoom to and outline its boundary; the optional toggle displays all 155 ZIP boundaries. Select Commissioner Precinct 1–4 to zoom to and outline it; a second toggle displays all precinct boundaries. ZIP and precinct geometry support navigation and screening summaries but do not create official geographic aggregates. The selected-tract panel reports CHEI 2050, SVI, population and household change, hotspot class, parcel housing-unit change, precipitation across all four GMT thresholds, and 2020-versus-2050 population/household/employment values.</w:t>
      </w:r>
    </w:p>
    <w:p>
      <w:pPr>
        <w:pStyle w:val="Heading1"/>
        <w:spacing w:before="60" w:after="140"/>
      </w:pPr>
      <w:r>
        <w:rPr>
          <w:rFonts w:ascii="Liberation Sans" w:hAnsi="Liberation Sans"/>
          <w:b/>
          <w:color w:val="17324D"/>
          <w:sz w:val="36"/>
        </w:rPr>
        <w:t>6.5  Quick Decision View and one-page brief</w:t>
      </w:r>
    </w:p>
    <w:p>
      <w:pPr>
        <w:spacing w:after="100" w:line="259" w:lineRule="auto"/>
      </w:pPr>
      <w:r>
        <w:rPr>
          <w:rFonts w:ascii="Liberation Sans" w:hAnsi="Liberation Sans"/>
          <w:color w:val="273746"/>
          <w:sz w:val="20"/>
        </w:rPr>
        <w:t>The four Quick Decision buttons activate and filter the most relevant layer for highest overall exposure, three-factor overlap, emerging adaptation needs, or selected-place conditions. A selected tract produces exact report values; ZIP and precinct reports provide medians, ranges, high-condition shares, and intersecting-tract counts. The browser opens a print-ready letter-size report with Print / Save as PDF and a clear non-aggregation caveat.</w:t>
      </w:r>
    </w:p>
    <w:p>
      <w:pPr>
        <w:pStyle w:val="Heading1"/>
        <w:spacing w:before="60" w:after="140"/>
      </w:pPr>
      <w:r>
        <w:rPr>
          <w:rFonts w:ascii="Liberation Sans" w:hAnsi="Liberation Sans"/>
          <w:b/>
          <w:color w:val="17324D"/>
          <w:sz w:val="36"/>
        </w:rPr>
        <w:t>6.6  Housing-stock point mode and interpretation</w:t>
      </w:r>
    </w:p>
    <w:p>
      <w:pPr>
        <w:spacing w:after="100" w:line="259" w:lineRule="auto"/>
      </w:pPr>
      <w:r>
        <w:rPr>
          <w:rFonts w:ascii="Liberation Sans" w:hAnsi="Liberation Sans"/>
          <w:color w:val="273746"/>
          <w:sz w:val="20"/>
        </w:rPr>
        <w:t>In standalone mode, the map displays the embedded representative sample. In server mode, every pan or zoom triggers a bounded API request for source points in the visible map extent. Use the full-record density grid for countywide comparison and the point layer for local inspection. CHEI and the other modeled, projected, or interpolated indicators are screening inputs; they do not establish causality, engineering criteria, parcel eligibility, or an official risk determination.</w:t>
      </w: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06B  DECISION TOOL</w:t>
            </w:r>
          </w:p>
          <w:p>
            <w:pPr>
              <w:spacing w:after="40"/>
            </w:pPr>
            <w:r>
              <w:rPr>
                <w:rFonts w:ascii="Liberation Sans" w:hAnsi="Liberation Sans"/>
                <w:b/>
                <w:color w:val="FFFFFF"/>
                <w:sz w:val="42"/>
              </w:rPr>
              <w:t>From mapped data to a one-page planning brief</w:t>
            </w:r>
          </w:p>
          <w:p>
            <w:pPr>
              <w:spacing w:after="0"/>
            </w:pPr>
            <w:r>
              <w:rPr>
                <w:rFonts w:ascii="Liberation Sans" w:hAnsi="Liberation Sans"/>
                <w:color w:val="D9E9ED"/>
                <w:sz w:val="21"/>
              </w:rPr>
              <w:t>A secondary workflow for users who need concise, decision-oriented information</w:t>
            </w:r>
          </w:p>
        </w:tc>
      </w:tr>
    </w:tbl>
    <w:p>
      <w:pPr>
        <w:spacing w:after="0"/>
      </w:pPr>
    </w:p>
    <w:p>
      <w:pPr>
        <w:spacing w:after="80"/>
        <w:jc w:val="center"/>
      </w:pPr>
      <w:r>
        <w:drawing>
          <wp:inline xmlns:a="http://schemas.openxmlformats.org/drawingml/2006/main" xmlns:pic="http://schemas.openxmlformats.org/drawingml/2006/picture">
            <wp:extent cx="6446520" cy="3603645"/>
            <wp:docPr id="2" name="Picture 2" title="Commissioner precinct decision brief" descr="Print-ready one-page screening summary for a selected Harris County commissioner precinct, including a boundary map, exposure indicators, compound-screening shares, decision findings, limitations, and Print or Save as PDF control."/>
            <wp:cNvGraphicFramePr>
              <a:graphicFrameLocks noChangeAspect="1"/>
            </wp:cNvGraphicFramePr>
            <a:graphic>
              <a:graphicData uri="http://schemas.openxmlformats.org/drawingml/2006/picture">
                <pic:pic>
                  <pic:nvPicPr>
                    <pic:cNvPr id="0" name="commissioner_precinct_decision_brief.png"/>
                    <pic:cNvPicPr/>
                  </pic:nvPicPr>
                  <pic:blipFill>
                    <a:blip r:embed="rId12"/>
                    <a:stretch>
                      <a:fillRect/>
                    </a:stretch>
                  </pic:blipFill>
                  <pic:spPr>
                    <a:xfrm>
                      <a:off x="0" y="0"/>
                      <a:ext cx="6446520" cy="3603645"/>
                    </a:xfrm>
                    <a:prstGeom prst="rect"/>
                  </pic:spPr>
                </pic:pic>
              </a:graphicData>
            </a:graphic>
          </wp:inline>
        </w:drawing>
      </w:r>
    </w:p>
    <w:p>
      <w:pPr>
        <w:jc w:val="center"/>
      </w:pPr>
      <w:r>
        <w:rPr>
          <w:rFonts w:ascii="Liberation Sans" w:hAnsi="Liberation Sans"/>
          <w:i/>
          <w:color w:val="617382"/>
          <w:sz w:val="17"/>
        </w:rPr>
        <w:t>Figure 2. Browser-generated commissioner precinct decision brief; ZIP and precinct outputs summarize intersecting census tracts and are not official aggregates.</w:t>
      </w:r>
    </w:p>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Census tract report</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Exact tract values and the selected tract's compound-hotspot class.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ZIP / precinct report</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Screening summary across intersecting census tracts using medians, ranges, shares, and tract counts.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Output</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Browser Print / Save as PDF; no server-side PDF engine is required.</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Interpretation safeguard</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Every ZIP or precinct brief states that the result is not an official geographic aggregate.</w:t>
            </w:r>
          </w:p>
        </w:tc>
      </w:tr>
    </w:tbl>
    <w:p>
      <w:pPr>
        <w:spacing w:after="0"/>
      </w:pP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07  DEPLOYMENT</w:t>
            </w:r>
          </w:p>
          <w:p>
            <w:pPr>
              <w:spacing w:after="40"/>
            </w:pPr>
            <w:r>
              <w:rPr>
                <w:rFonts w:ascii="Liberation Sans" w:hAnsi="Liberation Sans"/>
                <w:b/>
                <w:color w:val="FFFFFF"/>
                <w:sz w:val="42"/>
              </w:rPr>
              <w:t>Publish the dashboard with the included container files</w:t>
            </w:r>
          </w:p>
          <w:p>
            <w:pPr>
              <w:spacing w:after="0"/>
            </w:pPr>
            <w:r>
              <w:rPr>
                <w:rFonts w:ascii="Liberation Sans" w:hAnsi="Liberation Sans"/>
                <w:color w:val="D9E9ED"/>
                <w:sz w:val="21"/>
              </w:rPr>
              <w:t>The package is deployment-ready but does not create an external account or domain</w:t>
            </w:r>
          </w:p>
        </w:tc>
      </w:tr>
    </w:tbl>
    <w:p>
      <w:pPr>
        <w:spacing w:after="0"/>
      </w:pPr>
    </w:p>
    <w:p>
      <w:pPr>
        <w:pStyle w:val="Heading1"/>
        <w:spacing w:before="60" w:after="140"/>
      </w:pPr>
      <w:r>
        <w:rPr>
          <w:rFonts w:ascii="Liberation Sans" w:hAnsi="Liberation Sans"/>
          <w:b/>
          <w:color w:val="17324D"/>
          <w:sz w:val="36"/>
        </w:rPr>
        <w:t>7.1  Build and run with Docker</w:t>
      </w:r>
    </w:p>
    <w:tbl>
      <w:tblPr>
        <w:tblW w:type="auto" w:w="0"/>
        <w:jc w:val="center"/>
        <w:tblLook w:firstColumn="1" w:firstRow="1" w:lastColumn="0" w:lastRow="0" w:noHBand="0" w:noVBand="1" w:val="04A0"/>
      </w:tblPr>
      <w:tblGrid>
        <w:gridCol w:w="10454"/>
      </w:tblGrid>
      <w:tr>
        <w:tc>
          <w:tcPr>
            <w:tcW w:type="dxa" w:w="10454"/>
            <w:shd w:fill="F1F4F6"/>
            <w:tcBorders>
              <w:left w:val="single" w:sz="14" w:color="168C95"/>
            </w:tcBorders>
            <w:tcMar>
              <w:top w:w="100" w:type="dxa"/>
              <w:start w:w="150" w:type="dxa"/>
              <w:bottom w:w="100" w:type="dxa"/>
              <w:end w:w="130" w:type="dxa"/>
            </w:tcMar>
          </w:tcPr>
          <w:p>
            <w:pPr>
              <w:spacing w:after="0"/>
            </w:pPr>
            <w:r>
              <w:rPr>
                <w:rFonts w:ascii="Liberation Mono" w:hAnsi="Liberation Mono"/>
                <w:color w:val="273746"/>
                <w:sz w:val="17"/>
              </w:rPr>
              <w:t>docker build -t climate-housing-exposure-index .</w:t>
            </w:r>
            <w:r>
              <w:br/>
            </w:r>
            <w:r>
              <w:rPr>
                <w:rFonts w:ascii="Liberation Mono" w:hAnsi="Liberation Mono"/>
                <w:color w:val="273746"/>
                <w:sz w:val="17"/>
              </w:rPr>
              <w:t>docker run --rm -p 8050:8050 climate-housing-exposure-index</w:t>
            </w:r>
          </w:p>
        </w:tc>
      </w:tr>
    </w:tbl>
    <w:p>
      <w:pPr>
        <w:spacing w:after="0"/>
      </w:pPr>
    </w:p>
    <w:p>
      <w:pPr>
        <w:spacing w:after="100" w:line="259" w:lineRule="auto"/>
      </w:pPr>
      <w:r>
        <w:rPr>
          <w:rFonts w:ascii="Liberation Sans" w:hAnsi="Liberation Sans"/>
          <w:color w:val="273746"/>
          <w:sz w:val="20"/>
        </w:rPr>
        <w:t>Test the local container at http://127.0.0.1:8050 and confirm that /api/health returns status=ok.</w:t>
      </w:r>
    </w:p>
    <w:p>
      <w:pPr>
        <w:pStyle w:val="Heading1"/>
        <w:spacing w:before="60" w:after="140"/>
      </w:pPr>
      <w:r>
        <w:rPr>
          <w:rFonts w:ascii="Liberation Sans" w:hAnsi="Liberation Sans"/>
          <w:b/>
          <w:color w:val="17324D"/>
          <w:sz w:val="36"/>
        </w:rPr>
        <w:t>7.2  Deploy to a container host</w:t>
      </w: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1</w:t>
            </w:r>
          </w:p>
        </w:tc>
        <w:tc>
          <w:tcPr>
            <w:tcW w:type="dxa" w:w="5227"/>
            <w:shd w:fill="F4F7F9"/>
            <w:tcMar>
              <w:top w:w="85" w:type="dxa"/>
              <w:start w:w="130" w:type="dxa"/>
              <w:bottom w:w="85" w:type="dxa"/>
              <w:end w:w="130" w:type="dxa"/>
            </w:tcMar>
          </w:tcPr>
          <w:p>
            <w:r>
              <w:rPr>
                <w:rFonts w:ascii="Liberation Sans" w:hAnsi="Liberation Sans"/>
                <w:b/>
                <w:color w:val="17324D"/>
                <w:sz w:val="21"/>
              </w:rPr>
              <w:t>Create a repository</w:t>
            </w:r>
          </w:p>
          <w:p>
            <w:pPr>
              <w:spacing w:after="0"/>
            </w:pPr>
            <w:r>
              <w:rPr>
                <w:rFonts w:ascii="Liberation Sans" w:hAnsi="Liberation Sans"/>
                <w:color w:val="273746"/>
                <w:sz w:val="19"/>
              </w:rPr>
              <w:t>For GitHub Pages, upload index.html and .nojekyll at minimum; the complete package also retains source code, documentation, and prepared data. Do not upload the extracted source geodatabase unless archival sharing is intended.</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2</w:t>
            </w:r>
          </w:p>
        </w:tc>
        <w:tc>
          <w:tcPr>
            <w:tcW w:type="dxa" w:w="5227"/>
            <w:shd w:fill="F4F7F9"/>
            <w:tcMar>
              <w:top w:w="85" w:type="dxa"/>
              <w:start w:w="130" w:type="dxa"/>
              <w:bottom w:w="85" w:type="dxa"/>
              <w:end w:w="130" w:type="dxa"/>
            </w:tcMar>
          </w:tcPr>
          <w:p>
            <w:r>
              <w:rPr>
                <w:rFonts w:ascii="Liberation Sans" w:hAnsi="Liberation Sans"/>
                <w:b/>
                <w:color w:val="17324D"/>
                <w:sz w:val="21"/>
              </w:rPr>
              <w:t>Create a Docker web service</w:t>
            </w:r>
          </w:p>
          <w:p>
            <w:pPr>
              <w:spacing w:after="0"/>
            </w:pPr>
            <w:r>
              <w:rPr>
                <w:rFonts w:ascii="Liberation Sans" w:hAnsi="Liberation Sans"/>
                <w:color w:val="273746"/>
                <w:sz w:val="19"/>
              </w:rPr>
              <w:t>Use the included Dockerfile or render.yaml example. Allocate enough image/storage capacity for the processed data and standalone HTML.</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3</w:t>
            </w:r>
          </w:p>
        </w:tc>
        <w:tc>
          <w:tcPr>
            <w:tcW w:type="dxa" w:w="5227"/>
            <w:shd w:fill="F4F7F9"/>
            <w:tcMar>
              <w:top w:w="85" w:type="dxa"/>
              <w:start w:w="130" w:type="dxa"/>
              <w:bottom w:w="85" w:type="dxa"/>
              <w:end w:w="130" w:type="dxa"/>
            </w:tcMar>
          </w:tcPr>
          <w:p>
            <w:r>
              <w:rPr>
                <w:rFonts w:ascii="Liberation Sans" w:hAnsi="Liberation Sans"/>
                <w:b/>
                <w:color w:val="17324D"/>
                <w:sz w:val="21"/>
              </w:rPr>
              <w:t>Verify the service</w:t>
            </w:r>
          </w:p>
          <w:p>
            <w:pPr>
              <w:spacing w:after="0"/>
            </w:pPr>
            <w:r>
              <w:rPr>
                <w:rFonts w:ascii="Liberation Sans" w:hAnsi="Liberation Sans"/>
                <w:color w:val="273746"/>
                <w:sz w:val="19"/>
              </w:rPr>
              <w:t>Open the platform URL, inspect several layers, pan the housing-point map, and check /api/health.</w:t>
            </w:r>
          </w:p>
        </w:tc>
      </w:tr>
    </w:tbl>
    <w:p>
      <w:pPr>
        <w:spacing w:after="0"/>
      </w:pPr>
    </w:p>
    <w:tbl>
      <w:tblPr>
        <w:tblW w:type="auto" w:w="0"/>
        <w:jc w:val="center"/>
        <w:tblLayout w:type="fixed"/>
        <w:tblLook w:firstColumn="1" w:firstRow="1" w:lastColumn="0" w:lastRow="0" w:noHBand="0" w:noVBand="1" w:val="04A0"/>
      </w:tblPr>
      <w:tblGrid>
        <w:gridCol w:w="691"/>
        <w:gridCol w:w="9144"/>
      </w:tblGrid>
      <w:tr>
        <w:tc>
          <w:tcPr>
            <w:tcW w:type="dxa" w:w="691"/>
            <w:shd w:fill="168C95"/>
            <w:vAlign w:val="center"/>
          </w:tcPr>
          <w:p>
            <w:pPr>
              <w:jc w:val="center"/>
            </w:pPr>
            <w:r>
              <w:rPr>
                <w:rFonts w:ascii="Liberation Sans" w:hAnsi="Liberation Sans"/>
                <w:b/>
                <w:color w:val="FFFFFF"/>
                <w:sz w:val="24"/>
              </w:rPr>
              <w:t>4</w:t>
            </w:r>
          </w:p>
        </w:tc>
        <w:tc>
          <w:tcPr>
            <w:tcW w:type="dxa" w:w="5227"/>
            <w:shd w:fill="F4F7F9"/>
            <w:tcMar>
              <w:top w:w="85" w:type="dxa"/>
              <w:start w:w="130" w:type="dxa"/>
              <w:bottom w:w="85" w:type="dxa"/>
              <w:end w:w="130" w:type="dxa"/>
            </w:tcMar>
          </w:tcPr>
          <w:p>
            <w:r>
              <w:rPr>
                <w:rFonts w:ascii="Liberation Sans" w:hAnsi="Liberation Sans"/>
                <w:b/>
                <w:color w:val="17324D"/>
                <w:sz w:val="21"/>
              </w:rPr>
              <w:t>Publish the access link</w:t>
            </w:r>
          </w:p>
          <w:p>
            <w:pPr>
              <w:spacing w:after="0"/>
            </w:pPr>
            <w:r>
              <w:rPr>
                <w:rFonts w:ascii="Liberation Sans" w:hAnsi="Liberation Sans"/>
                <w:color w:val="273746"/>
                <w:sz w:val="19"/>
              </w:rPr>
              <w:t>Use the provider-issued HTTPS address or map a custom domain. That address becomes the public dashboard access link.</w:t>
            </w:r>
          </w:p>
        </w:tc>
      </w:tr>
    </w:tbl>
    <w:p>
      <w:pPr>
        <w:spacing w:after="0"/>
      </w:pPr>
    </w:p>
    <w:p>
      <w:pPr>
        <w:spacing w:before="140" w:after="80"/>
      </w:pPr>
      <w:r>
        <w:rPr>
          <w:rFonts w:ascii="Liberation Sans" w:hAnsi="Liberation Sans"/>
          <w:b/>
          <w:color w:val="168C95"/>
          <w:sz w:val="25"/>
        </w:rPr>
        <w:t>Operational endpoints</w:t>
      </w:r>
    </w:p>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Dashboard HTML</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/api/health</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Application and source-point readiness check</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/api/metadata</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Data audit JSON</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/api/housing-points</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Viewport-filtered point response; maximum response size is capped</w:t>
            </w:r>
          </w:p>
        </w:tc>
      </w:tr>
    </w:tbl>
    <w:p>
      <w:pPr>
        <w:spacing w:after="0"/>
      </w:pPr>
    </w:p>
    <w:p>
      <w:pPr>
        <w:spacing w:after="100" w:line="259" w:lineRule="auto"/>
      </w:pPr>
      <w:r>
        <w:rPr>
          <w:rFonts w:ascii="Liberation Sans" w:hAnsi="Liberation Sans"/>
          <w:color w:val="273746"/>
          <w:sz w:val="20"/>
        </w:rPr>
        <w:t>A live external URL is not generated by the offline build environment. The standalone HTML is immediately accessible from the delivered package, and the public-deployment configuration is included for an authorized hosting account.</w:t>
      </w:r>
    </w:p>
    <w:p>
      <w:pPr>
        <w:pageBreakBefore/>
        <w:spacing w:before="0" w:after="0" w:line="20" w:lineRule="exact"/>
      </w:pPr>
      <w:r>
        <w:rPr>
          <w:sz w:val="2"/>
        </w:rPr>
      </w:r>
    </w:p>
    <w:tbl>
      <w:tblPr>
        <w:tblW w:type="auto" w:w="0"/>
        <w:jc w:val="center"/>
        <w:tblLayout w:type="fixed"/>
        <w:tblLook w:firstColumn="1" w:firstRow="1" w:lastColumn="0" w:lastRow="0" w:noHBand="0" w:noVBand="1" w:val="04A0"/>
      </w:tblPr>
      <w:tblGrid>
        <w:gridCol w:w="10454"/>
      </w:tblGrid>
      <w:tr>
        <w:tc>
          <w:tcPr>
            <w:tcW w:type="dxa" w:w="10080"/>
            <w:shd w:fill="17324D"/>
            <w:tcMar>
              <w:top w:w="150" w:type="dxa"/>
              <w:start w:w="190" w:type="dxa"/>
              <w:bottom w:w="150" w:type="dxa"/>
              <w:end w:w="190" w:type="dxa"/>
            </w:tcMar>
          </w:tcPr>
          <w:p>
            <w:pPr>
              <w:spacing w:after="40"/>
            </w:pPr>
            <w:r>
              <w:rPr>
                <w:rFonts w:ascii="Liberation Sans" w:hAnsi="Liberation Sans"/>
                <w:b/>
                <w:caps/>
                <w:color w:val="4CB8BE"/>
                <w:sz w:val="18"/>
              </w:rPr>
              <w:t>08  QUALITY, TERMS, AND SOURCES</w:t>
            </w:r>
          </w:p>
          <w:p>
            <w:pPr>
              <w:spacing w:after="40"/>
            </w:pPr>
            <w:r>
              <w:rPr>
                <w:rFonts w:ascii="Liberation Sans" w:hAnsi="Liberation Sans"/>
                <w:b/>
                <w:color w:val="FFFFFF"/>
                <w:sz w:val="42"/>
              </w:rPr>
              <w:t>Validation record and responsible-use requirements</w:t>
            </w:r>
          </w:p>
          <w:p>
            <w:pPr>
              <w:spacing w:after="0"/>
            </w:pPr>
            <w:r>
              <w:rPr>
                <w:rFonts w:ascii="Liberation Sans" w:hAnsi="Liberation Sans"/>
                <w:color w:val="D9E9ED"/>
                <w:sz w:val="21"/>
              </w:rPr>
              <w:t>Use the dashboard as an exploratory evidence layer, not as a sole decision basis</w:t>
            </w:r>
          </w:p>
        </w:tc>
      </w:tr>
    </w:tbl>
    <w:p>
      <w:pPr>
        <w:spacing w:after="0"/>
      </w:pPr>
    </w:p>
    <w:p>
      <w:pPr>
        <w:pStyle w:val="Heading1"/>
        <w:spacing w:before="60" w:after="140"/>
      </w:pPr>
      <w:r>
        <w:rPr>
          <w:rFonts w:ascii="Liberation Sans" w:hAnsi="Liberation Sans"/>
          <w:b/>
          <w:color w:val="17324D"/>
          <w:sz w:val="36"/>
        </w:rPr>
        <w:t>8.1  Completed validation</w:t>
      </w:r>
    </w:p>
    <w:tbl>
      <w:tblPr>
        <w:tblW w:type="auto" w:w="0"/>
        <w:jc w:val="center"/>
        <w:tblLayout w:type="fixed"/>
        <w:tblLook w:firstColumn="1" w:firstRow="1" w:lastColumn="0" w:lastRow="0" w:noHBand="0" w:noVBand="1" w:val="04A0"/>
      </w:tblPr>
      <w:tblGrid>
        <w:gridCol w:w="5227"/>
        <w:gridCol w:w="5227"/>
      </w:tblGrid>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Data integrity</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32 GDB layers inventoried; 1,115 tracts; 155 ZIP boundaries; 4 commissioner precincts; 20,344 parcels; sorted full-point arrays verified.</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Interactive behavior</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Clickable legends across tract, parcel, grid, climate-point, housing-point, hotspot, and kriging views; tract and ZIP search; all-ZIP overlay; precinct selection and all-precinct overlay; four Quick Decision actions; and tract/ZIP/precinct report generation tested without JavaScript exceptions.</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Server behavior</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Health endpoint, dashboard response, and capped combined housing-point query tested successfully.</w:t>
            </w:r>
          </w:p>
        </w:tc>
      </w:tr>
      <w:tr>
        <w:trPr>
          <w:cantSplit/>
        </w:trPr>
        <w:tc>
          <w:tcPr>
            <w:tcW w:type="dxa" w:w="3096"/>
            <w:shd w:fill="17324D"/>
            <w:tcMar>
              <w:top w:w="52" w:type="dxa"/>
              <w:start w:w="100" w:type="dxa"/>
              <w:bottom w:w="52" w:type="dxa"/>
              <w:end w:w="100" w:type="dxa"/>
            </w:tcMar>
          </w:tcPr>
          <w:p>
            <w:pPr>
              <w:spacing w:after="0" w:line="240" w:lineRule="auto"/>
            </w:pPr>
            <w:r>
              <w:rPr>
                <w:rFonts w:ascii="Liberation Sans" w:hAnsi="Liberation Sans"/>
                <w:b/>
                <w:color w:val="FFFFFF"/>
                <w:sz w:val="18"/>
              </w:rPr>
              <w:t>Visual review</w:t>
            </w:r>
          </w:p>
        </w:tc>
        <w:tc>
          <w:tcPr>
            <w:tcW w:type="dxa" w:w="6696"/>
            <w:shd w:fill="F4F7F9"/>
            <w:tcMar>
              <w:top w:w="52" w:type="dxa"/>
              <w:start w:w="100" w:type="dxa"/>
              <w:bottom w:w="52" w:type="dxa"/>
              <w:end w:w="100" w:type="dxa"/>
            </w:tcMar>
          </w:tcPr>
          <w:p>
            <w:pPr>
              <w:spacing w:after="0" w:line="240" w:lineRule="auto"/>
            </w:pPr>
            <w:r>
              <w:rPr>
                <w:rFonts w:ascii="Liberation Sans" w:hAnsi="Liberation Sans"/>
                <w:color w:val="273746"/>
                <w:sz w:val="18"/>
              </w:rPr>
              <w:t>Overview cards, contained legends, unclipped distributions, ZIP and precinct controls and outlines, Quick Decision panel, one-page letter report, explanatory panels, map, profiles, methods, footer, and terms inspected at desktop resolution.</w:t>
            </w:r>
          </w:p>
        </w:tc>
      </w:tr>
    </w:tbl>
    <w:p>
      <w:pPr>
        <w:spacing w:after="0"/>
      </w:pPr>
    </w:p>
    <w:p>
      <w:pPr>
        <w:pStyle w:val="Heading1"/>
        <w:spacing w:before="60" w:after="140"/>
      </w:pPr>
      <w:r>
        <w:rPr>
          <w:rFonts w:ascii="Liberation Sans" w:hAnsi="Liberation Sans"/>
          <w:b/>
          <w:color w:val="17324D"/>
          <w:sz w:val="36"/>
        </w:rPr>
        <w:t>8.2  Terms of use</w:t>
      </w:r>
    </w:p>
    <w:p>
      <w:pPr>
        <w:spacing w:after="100" w:line="259" w:lineRule="auto"/>
      </w:pPr>
      <w:r>
        <w:rPr>
          <w:rFonts w:ascii="Liberation Sans" w:hAnsi="Liberation Sans"/>
          <w:color w:val="273746"/>
          <w:sz w:val="20"/>
        </w:rPr>
        <w:t>This dashboard is developed to visualize and explore spatial data related to precipitation extremes, housing stocks, population, and land-use projections. The information is intended for research, educational, and informational purposes only.</w:t>
      </w:r>
    </w:p>
    <w:p>
      <w:pPr>
        <w:spacing w:after="100" w:line="259" w:lineRule="auto"/>
      </w:pPr>
      <w:r>
        <w:rPr>
          <w:rFonts w:ascii="Liberation Sans" w:hAnsi="Liberation Sans"/>
          <w:color w:val="273746"/>
          <w:sz w:val="20"/>
        </w:rPr>
        <w:t>The displayed data are derived from multiple sources and may include modeled, estimated, or projected values. While reasonable efforts have been made to support accuracy and reliability, no guarantee is made regarding completeness, accuracy, or timeliness. Users should not rely solely on this dashboard for decision-making, and the creators and affiliated institutions assume no responsibility or liability for errors, omissions, or damages arising from use.</w:t>
      </w:r>
    </w:p>
    <w:p>
      <w:pPr>
        <w:spacing w:after="100" w:line="259" w:lineRule="auto"/>
      </w:pPr>
      <w:r>
        <w:rPr>
          <w:rFonts w:ascii="Liberation Sans" w:hAnsi="Liberation Sans"/>
          <w:color w:val="273746"/>
          <w:sz w:val="20"/>
        </w:rPr>
        <w:t>Unless otherwise noted, the data and visualizations are provided for non-commercial use. Proper attribution should be given when referencing or reproducing the materials. By accessing and using the dashboard, users acknowledge and agree to these terms.</w:t>
      </w:r>
    </w:p>
    <w:p>
      <w:pPr>
        <w:pStyle w:val="Heading1"/>
        <w:spacing w:before="60" w:after="140"/>
      </w:pPr>
      <w:r>
        <w:rPr>
          <w:rFonts w:ascii="Liberation Sans" w:hAnsi="Liberation Sans"/>
          <w:b/>
          <w:color w:val="17324D"/>
          <w:sz w:val="36"/>
        </w:rPr>
        <w:t>8.3  Source organizations and contact</w:t>
      </w:r>
    </w:p>
    <w:p>
      <w:pPr>
        <w:spacing w:after="40"/>
      </w:pPr>
      <w:r>
        <w:rPr>
          <w:rFonts w:ascii="Liberation Sans" w:hAnsi="Liberation Sans"/>
          <w:b/>
          <w:color w:val="17324D"/>
          <w:sz w:val="18"/>
        </w:rPr>
        <w:t xml:space="preserve">Texas Tech University Climate Center: </w:t>
      </w:r>
      <w:hyperlink r:id="rId13">
        <w:r>
          <w:rPr>
            <w:color w:val="168C95"/>
            <w:u w:val="single"/>
          </w:rPr>
          <w:t>https://www.depts.ttu.edu/csc/</w:t>
        </w:r>
      </w:hyperlink>
    </w:p>
    <w:p>
      <w:pPr>
        <w:spacing w:after="40"/>
      </w:pPr>
      <w:r>
        <w:rPr>
          <w:rFonts w:ascii="Liberation Sans" w:hAnsi="Liberation Sans"/>
          <w:b/>
          <w:color w:val="17324D"/>
          <w:sz w:val="18"/>
        </w:rPr>
        <w:t xml:space="preserve">H-GAC Regional Growth Forecast: </w:t>
      </w:r>
      <w:hyperlink r:id="rId14">
        <w:r>
          <w:rPr>
            <w:color w:val="168C95"/>
            <w:u w:val="single"/>
          </w:rPr>
          <w:t>https://www.h-gac.com/regional-growth-forecast</w:t>
        </w:r>
      </w:hyperlink>
    </w:p>
    <w:p>
      <w:pPr>
        <w:spacing w:after="40"/>
      </w:pPr>
      <w:r>
        <w:rPr>
          <w:rFonts w:ascii="Liberation Sans" w:hAnsi="Liberation Sans"/>
          <w:b/>
          <w:color w:val="17324D"/>
          <w:sz w:val="18"/>
        </w:rPr>
        <w:t xml:space="preserve">H-GAC Regional Land Use Information System: </w:t>
      </w:r>
      <w:hyperlink r:id="rId15">
        <w:r>
          <w:rPr>
            <w:color w:val="168C95"/>
            <w:u w:val="single"/>
          </w:rPr>
          <w:t>https://datalab.h-gac.com/rluis/</w:t>
        </w:r>
      </w:hyperlink>
    </w:p>
    <w:p>
      <w:pPr>
        <w:spacing w:after="40"/>
      </w:pPr>
      <w:r>
        <w:rPr>
          <w:rFonts w:ascii="Liberation Sans" w:hAnsi="Liberation Sans"/>
          <w:b/>
          <w:color w:val="17324D"/>
          <w:sz w:val="18"/>
        </w:rPr>
        <w:t xml:space="preserve">Harris Central Appraisal District public data: </w:t>
      </w:r>
      <w:hyperlink r:id="rId16">
        <w:r>
          <w:rPr>
            <w:color w:val="168C95"/>
            <w:u w:val="single"/>
          </w:rPr>
          <w:t>https://hcad.org/hcad-online-services/pdata/</w:t>
        </w:r>
      </w:hyperlink>
    </w:p>
    <w:p>
      <w:pPr>
        <w:spacing w:after="40"/>
      </w:pPr>
      <w:r>
        <w:rPr>
          <w:rFonts w:ascii="Liberation Sans" w:hAnsi="Liberation Sans"/>
          <w:b/>
          <w:color w:val="17324D"/>
          <w:sz w:val="18"/>
        </w:rPr>
        <w:t xml:space="preserve">CDC/ATSDR Social Vulnerability Index: </w:t>
      </w:r>
      <w:hyperlink r:id="rId17">
        <w:r>
          <w:rPr>
            <w:color w:val="168C95"/>
            <w:u w:val="single"/>
          </w:rPr>
          <w:t>https://www.atsdr.cdc.gov/place-health/php/svi/svi-data-documentation-download.html</w:t>
        </w:r>
      </w:hyperlink>
    </w:p>
    <w:p>
      <w:pPr>
        <w:spacing w:before="160"/>
      </w:pPr>
      <w:r>
        <w:rPr>
          <w:rFonts w:ascii="Liberation Sans" w:hAnsi="Liberation Sans"/>
          <w:b/>
          <w:color w:val="168C95"/>
          <w:sz w:val="21"/>
        </w:rPr>
        <w:t>Questions or feedback: Kaifa Lu / CECREH / Kaifa.Lu@ttu.edu</w:t>
      </w:r>
    </w:p>
    <w:sectPr w:rsidR="00FC693F" w:rsidRPr="0006063C" w:rsidSect="00034616">
      <w:headerReference w:type="default" r:id="rId9"/>
      <w:footerReference w:type="default" r:id="rId10"/>
      <w:pgSz w:w="12240" w:h="15840"/>
      <w:pgMar w:top="792" w:right="893" w:bottom="792" w:left="893"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Liberation Sans" w:hAnsi="Liberation Sans"/>
        <w:sz w:val="18"/>
      </w:rPr>
      <w:t xml:space="preserve">Page </w:t>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rFonts w:ascii="Liberation Sans" w:hAnsi="Liberation Sans"/>
        <w:b/>
        <w:color w:val="617382"/>
        <w:sz w:val="16"/>
      </w:rPr>
      <w:t>CLIMATE HOUSING EXPOSURE INDEX  /  HARRIS COUNTY, TEXAS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ans" w:hAnsi="Liberation Sans"/>
      <w:color w:val="273746"/>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Liberation Sans" w:hAnsi="Liberation San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Liberation Sans" w:hAnsi="Liberation San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www.depts.ttu.edu/csc/" TargetMode="External"/><Relationship Id="rId14" Type="http://schemas.openxmlformats.org/officeDocument/2006/relationships/hyperlink" Target="https://www.h-gac.com/regional-growth-forecast" TargetMode="External"/><Relationship Id="rId15" Type="http://schemas.openxmlformats.org/officeDocument/2006/relationships/hyperlink" Target="https://datalab.h-gac.com/rluis/" TargetMode="External"/><Relationship Id="rId16" Type="http://schemas.openxmlformats.org/officeDocument/2006/relationships/hyperlink" Target="https://hcad.org/hcad-online-services/pdata/" TargetMode="External"/><Relationship Id="rId17" Type="http://schemas.openxmlformats.org/officeDocument/2006/relationships/hyperlink" Target="https://www.atsdr.cdc.gov/place-health/php/svi/svi-data-documentation-download.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Climate Housing Exposure Index Dashboard Reproducibility Guide</dc:title>
  <dc:subject>Harris County climate, housing, growth, and social vulnerability dashboard</dc:subject>
  <dc:creator>CECREH</dc:creator>
  <cp:keywords>Harris County, CHEI, climate precipitation, housing, SVI, ZIP code, commissioner precinct, interactive legend, decision brief, compound hotspot, dashboard</cp:keywords>
  <dc:description>generated by python-docx</dc:description>
  <cp:lastModifiedBy/>
  <cp:revision>1</cp:revision>
  <dcterms:created xsi:type="dcterms:W3CDTF">2013-12-23T23:15:00Z</dcterms:created>
  <dcterms:modified xsi:type="dcterms:W3CDTF">2013-12-23T23:15:00Z</dcterms:modified>
  <cp:category/>
</cp:coreProperties>
</file>