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C84CB">
      <w:pPr>
        <w:jc w:val="center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不可逆阈值：政府、企业与个体在 AI 放大器下的失控切割模型</w:t>
      </w:r>
    </w:p>
    <w:p w14:paraId="2563D731">
      <w:pPr>
        <w:jc w:val="center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Irreversible Thresholds: A Cut-Based Model of Government, Corporate, and Individual Loss under AI Amplification</w:t>
      </w:r>
    </w:p>
    <w:p w14:paraId="58C2218F">
      <w:pPr>
        <w:jc w:val="center"/>
        <w:rPr>
          <w:rFonts w:hint="default"/>
          <w:b/>
          <w:bCs/>
          <w:lang w:val="en-US" w:eastAsia="zh-CN"/>
        </w:rPr>
      </w:pPr>
    </w:p>
    <w:p w14:paraId="71262756">
      <w:pPr>
        <w:jc w:val="center"/>
        <w:rPr>
          <w:rFonts w:hint="default"/>
          <w:b/>
          <w:bCs/>
          <w:lang w:val="en-US" w:eastAsia="zh-CN"/>
        </w:rPr>
      </w:pPr>
    </w:p>
    <w:p w14:paraId="324CF0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 对象与终态定义</w:t>
      </w:r>
    </w:p>
    <w:p w14:paraId="2F910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 Objects and Terminal-State Definitions</w:t>
      </w:r>
    </w:p>
    <w:p w14:paraId="64EF2FCA">
      <w:pPr>
        <w:rPr>
          <w:rFonts w:hint="default"/>
          <w:lang w:val="en-US" w:eastAsia="zh-CN"/>
        </w:rPr>
      </w:pPr>
    </w:p>
    <w:p w14:paraId="17C25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We model “loss” as crossing an irreversible threshold in controllability or accountability.</w:t>
      </w:r>
    </w:p>
    <w:p w14:paraId="13D23B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我们把“失控/消亡”定义为：系统跨过可控性或可追责性的不可逆阈值。</w:t>
      </w:r>
    </w:p>
    <w:p w14:paraId="1AFEDDD3">
      <w:pPr>
        <w:rPr>
          <w:rFonts w:hint="default"/>
          <w:lang w:val="en-US" w:eastAsia="zh-CN"/>
        </w:rPr>
      </w:pPr>
    </w:p>
    <w:p w14:paraId="68F39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中：三类终态（可证伪）：</w:t>
      </w:r>
    </w:p>
    <w:p w14:paraId="10709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Three terminal states (falsifiable):</w:t>
      </w:r>
    </w:p>
    <w:p w14:paraId="70A14FE4">
      <w:pPr>
        <w:rPr>
          <w:rFonts w:hint="default"/>
          <w:lang w:val="en-US" w:eastAsia="zh-CN"/>
        </w:rPr>
      </w:pPr>
    </w:p>
    <w:p w14:paraId="33F99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Authority-loss (government)</w:t>
      </w:r>
    </w:p>
    <w:p w14:paraId="5A890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政府裁决权丧失</w:t>
      </w:r>
    </w:p>
    <w:p w14:paraId="7C8C17CD">
      <w:pPr>
        <w:rPr>
          <w:rFonts w:hint="default"/>
          <w:lang w:val="en-US" w:eastAsia="zh-CN"/>
        </w:rPr>
      </w:pPr>
    </w:p>
    <w:p w14:paraId="59E3B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Agency-loss (corporation)</w:t>
      </w:r>
    </w:p>
    <w:p w14:paraId="3AED6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企业主体性丧失</w:t>
      </w:r>
    </w:p>
    <w:p w14:paraId="3739E9B6">
      <w:pPr>
        <w:rPr>
          <w:rFonts w:hint="default"/>
          <w:lang w:val="en-US" w:eastAsia="zh-CN"/>
        </w:rPr>
      </w:pPr>
    </w:p>
    <w:p w14:paraId="3E032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Responsibility-loss (individual)</w:t>
      </w:r>
    </w:p>
    <w:p w14:paraId="5F6F1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个体责任位丧失</w:t>
      </w:r>
    </w:p>
    <w:p w14:paraId="57AC5D87">
      <w:pPr>
        <w:rPr>
          <w:rFonts w:hint="default"/>
          <w:lang w:val="en-US" w:eastAsia="zh-CN"/>
        </w:rPr>
      </w:pPr>
    </w:p>
    <w:p w14:paraId="400B15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三刀拆解</w:t>
      </w:r>
    </w:p>
    <w:p w14:paraId="07587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Three Cuts</w:t>
      </w:r>
    </w:p>
    <w:p w14:paraId="36B97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刀 1：可证伪性</w:t>
      </w:r>
    </w:p>
    <w:p w14:paraId="5C262D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Cut 1: Falsifiability</w:t>
      </w:r>
    </w:p>
    <w:p w14:paraId="09908A3C">
      <w:pPr>
        <w:rPr>
          <w:rFonts w:hint="default"/>
          <w:lang w:val="en-US" w:eastAsia="zh-CN"/>
        </w:rPr>
      </w:pPr>
    </w:p>
    <w:p w14:paraId="50045D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Every claim must imply an observation that could prove it wrong.</w:t>
      </w:r>
    </w:p>
    <w:p w14:paraId="0030E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每个判断都要对应一种“如果发生 X，则该判断为假”的观测。</w:t>
      </w:r>
    </w:p>
    <w:p w14:paraId="7BF68661">
      <w:pPr>
        <w:rPr>
          <w:rFonts w:hint="default"/>
          <w:lang w:val="en-US" w:eastAsia="zh-CN"/>
        </w:rPr>
      </w:pPr>
    </w:p>
    <w:p w14:paraId="1D268B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中：下面每条都配了反证条件（出现即推翻该条）。</w:t>
      </w:r>
    </w:p>
    <w:p w14:paraId="095AB0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Each threshold below includes an explicit falsifier (if observed, it refutes the claim).</w:t>
      </w:r>
    </w:p>
    <w:p w14:paraId="31A5B810">
      <w:pPr>
        <w:rPr>
          <w:rFonts w:hint="default"/>
          <w:lang w:val="en-US" w:eastAsia="zh-CN"/>
        </w:rPr>
      </w:pPr>
    </w:p>
    <w:p w14:paraId="055C0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刀 2：可回滚性</w:t>
      </w:r>
    </w:p>
    <w:p w14:paraId="7F06C5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Cut 2: Rollback</w:t>
      </w:r>
    </w:p>
    <w:p w14:paraId="52C2E4F5">
      <w:pPr>
        <w:rPr>
          <w:rFonts w:hint="default"/>
          <w:lang w:val="en-US" w:eastAsia="zh-CN"/>
        </w:rPr>
      </w:pPr>
    </w:p>
    <w:p w14:paraId="749981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If rollback requires heroism, it is not rollback.</w:t>
      </w:r>
    </w:p>
    <w:p w14:paraId="4F98D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如果回滚需要英雄主义，那就不叫回滚。</w:t>
      </w:r>
    </w:p>
    <w:p w14:paraId="2883E0CB">
      <w:pPr>
        <w:rPr>
          <w:rFonts w:hint="default"/>
          <w:lang w:val="en-US" w:eastAsia="zh-CN"/>
        </w:rPr>
      </w:pPr>
    </w:p>
    <w:p w14:paraId="2FD3D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中：所以阈值以制度化、常态化回滚能力为准。</w:t>
      </w:r>
    </w:p>
    <w:p w14:paraId="4A8DC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Therefore, thresholds are judged by institutionalised, routine rollback capacity.</w:t>
      </w:r>
    </w:p>
    <w:p w14:paraId="25CEF7AC">
      <w:pPr>
        <w:rPr>
          <w:rFonts w:hint="default"/>
          <w:lang w:val="en-US" w:eastAsia="zh-CN"/>
        </w:rPr>
      </w:pPr>
    </w:p>
    <w:p w14:paraId="57F12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刀 3：责任分配</w:t>
      </w:r>
    </w:p>
    <w:p w14:paraId="0BE48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Cut 3: Responsibility Allocation</w:t>
      </w:r>
    </w:p>
    <w:p w14:paraId="6EC58687">
      <w:pPr>
        <w:rPr>
          <w:rFonts w:hint="default"/>
          <w:lang w:val="en-US" w:eastAsia="zh-CN"/>
        </w:rPr>
      </w:pPr>
    </w:p>
    <w:p w14:paraId="7775A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If a harmful decision cannot be pinned to a named owner, the system is already drifting.</w:t>
      </w:r>
    </w:p>
    <w:p w14:paraId="566BE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如果伤害性决策无法钉死到具名责任人，系统已在漂移。</w:t>
      </w:r>
    </w:p>
    <w:p w14:paraId="1AE52D71">
      <w:pPr>
        <w:rPr>
          <w:rFonts w:hint="default"/>
          <w:lang w:val="en-US" w:eastAsia="zh-CN"/>
        </w:rPr>
      </w:pPr>
    </w:p>
    <w:p w14:paraId="7D62D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政府层：阈值切割</w:t>
      </w:r>
    </w:p>
    <w:p w14:paraId="585C1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Government Layer: Threshold Cuts</w:t>
      </w:r>
    </w:p>
    <w:p w14:paraId="216AC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 阈值：最终否决位消失</w:t>
      </w:r>
    </w:p>
    <w:p w14:paraId="3AB7C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 Threshold: The Final Veto Disappears</w:t>
      </w:r>
    </w:p>
    <w:p w14:paraId="41266BE0">
      <w:pPr>
        <w:rPr>
          <w:rFonts w:hint="default"/>
          <w:lang w:val="en-US" w:eastAsia="zh-CN"/>
        </w:rPr>
      </w:pPr>
    </w:p>
    <w:p w14:paraId="4AEC78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No human veto on irreversible state actions.</w:t>
      </w:r>
    </w:p>
    <w:p w14:paraId="059493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对不可逆国家行为无人类否决位。</w:t>
      </w:r>
    </w:p>
    <w:p w14:paraId="100D7D02">
      <w:pPr>
        <w:rPr>
          <w:rFonts w:hint="default"/>
          <w:lang w:val="en-US" w:eastAsia="zh-CN"/>
        </w:rPr>
      </w:pPr>
    </w:p>
    <w:p w14:paraId="7E6CAC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中：观测指标： 出现“自动触发—自动执行”的关键链路（执法/冻结/打击/军事响应）且无法被人工即时阻断。</w:t>
      </w:r>
    </w:p>
    <w:p w14:paraId="06206C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Observation: A critical chain becomes “auto-trigger → auto-execute” (law enforcement / asset freezing / strikes / military response) and cannot be interrupted by immediate human intervention.</w:t>
      </w:r>
    </w:p>
    <w:p w14:paraId="6F304B23">
      <w:pPr>
        <w:rPr>
          <w:rFonts w:hint="default"/>
          <w:lang w:val="en-US" w:eastAsia="zh-CN"/>
        </w:rPr>
      </w:pPr>
    </w:p>
    <w:p w14:paraId="2E2A43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中：反证条件： 存在被法律强制执行的人工否决位，并且有公开记录显示其多次成功阻断不可逆行动。</w:t>
      </w:r>
    </w:p>
    <w:p w14:paraId="218F9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Falsifier: A legally enforced human veto exists, and public records show it has repeatedly blocked irreversible actions.</w:t>
      </w:r>
    </w:p>
    <w:p w14:paraId="389F31CF">
      <w:pPr>
        <w:rPr>
          <w:rFonts w:hint="default"/>
          <w:lang w:val="en-US" w:eastAsia="zh-CN"/>
        </w:rPr>
      </w:pPr>
    </w:p>
    <w:p w14:paraId="6A05E1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G2 阈值：决策时间常态化 &lt; 人类审议时间</w:t>
      </w:r>
    </w:p>
    <w:p w14:paraId="45777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G2 Threshold: Decision Time Becomes Routinely Shorter Than Human Deliberation</w:t>
      </w:r>
    </w:p>
    <w:p w14:paraId="15C483A5">
      <w:pPr>
        <w:rPr>
          <w:rFonts w:hint="default"/>
          <w:lang w:val="en-US" w:eastAsia="zh-CN"/>
        </w:rPr>
      </w:pPr>
    </w:p>
    <w:p w14:paraId="0747E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The system’s required response time becomes consistently shorter than human deliberation.</w:t>
      </w:r>
    </w:p>
    <w:p w14:paraId="07B9A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系统要求的响应时间长期短于人类审议。</w:t>
      </w:r>
    </w:p>
    <w:p w14:paraId="320DF24C">
      <w:pPr>
        <w:rPr>
          <w:rFonts w:hint="default"/>
          <w:lang w:val="en-US" w:eastAsia="zh-CN"/>
        </w:rPr>
      </w:pPr>
    </w:p>
    <w:p w14:paraId="7A2D28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中：观测指标： 高风险决策的“允许窗口”长期处于秒级/分钟级，且被当作正常治理节奏。</w:t>
      </w:r>
    </w:p>
    <w:p w14:paraId="544A0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Observation: The “permitted window” for high-risk decisions is routinely seconds/minutes and treated as normal governance tempo.</w:t>
      </w:r>
    </w:p>
    <w:p w14:paraId="3AA54D77">
      <w:pPr>
        <w:rPr>
          <w:rFonts w:hint="default"/>
          <w:lang w:val="en-US" w:eastAsia="zh-CN"/>
        </w:rPr>
      </w:pPr>
    </w:p>
    <w:p w14:paraId="014C7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中：反证条件： 制度化延迟窗口（Cooling-off window）被普遍执行，且高风险事项不允许绕过。</w:t>
      </w:r>
    </w:p>
    <w:p w14:paraId="1E75E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Falsifier: An institutionalised delay window (cooling-off window) is widely enforced, and high-risk matters cannot bypass it.</w:t>
      </w:r>
    </w:p>
    <w:p w14:paraId="1400CAA9">
      <w:pPr>
        <w:rPr>
          <w:rFonts w:hint="default"/>
          <w:lang w:val="en-US" w:eastAsia="zh-CN"/>
        </w:rPr>
      </w:pPr>
    </w:p>
    <w:p w14:paraId="3B57D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G3 阈值：责任不可定位</w:t>
      </w:r>
    </w:p>
    <w:p w14:paraId="0A74E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G3 Threshold: Accountability Becomes Non-Attributable</w:t>
      </w:r>
    </w:p>
    <w:p w14:paraId="1C4ACB2B">
      <w:pPr>
        <w:rPr>
          <w:rFonts w:hint="default"/>
          <w:lang w:val="en-US" w:eastAsia="zh-CN"/>
        </w:rPr>
      </w:pPr>
    </w:p>
    <w:p w14:paraId="7CE43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Accountability dissolves across agencies, vendors, and models.</w:t>
      </w:r>
    </w:p>
    <w:p w14:paraId="19149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责任在机构/供应商/模型之间被稀释到不可定位。</w:t>
      </w:r>
    </w:p>
    <w:p w14:paraId="6936A342">
      <w:pPr>
        <w:rPr>
          <w:rFonts w:hint="default"/>
          <w:lang w:val="en-US" w:eastAsia="zh-CN"/>
        </w:rPr>
      </w:pPr>
    </w:p>
    <w:p w14:paraId="6B7CB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中：观测指标： 重大伤害事件后，调查结论长期停留在“系统性问题/流程问题”，无法落到具名责任链。</w:t>
      </w:r>
    </w:p>
    <w:p w14:paraId="3295D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Observation: After major harms, investigations remain at “systemic/process issues” and fail to resolve into a named accountability chain.</w:t>
      </w:r>
    </w:p>
    <w:p w14:paraId="6BAFF542">
      <w:pPr>
        <w:rPr>
          <w:rFonts w:hint="default"/>
          <w:lang w:val="en-US" w:eastAsia="zh-CN"/>
        </w:rPr>
      </w:pPr>
    </w:p>
    <w:p w14:paraId="00478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中：反证条件： 能稳定给出具名责任链（含审批、模型选择、阈值设置、上线签字）并可追溯到个人。</w:t>
      </w:r>
    </w:p>
    <w:p w14:paraId="71B20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Falsifier: A stable, named accountability chain exists (approvals, model selection, threshold-setting, production sign-off) traceable to individuals.</w:t>
      </w:r>
    </w:p>
    <w:p w14:paraId="772574FF">
      <w:pPr>
        <w:rPr>
          <w:rFonts w:hint="default"/>
          <w:lang w:val="en-US" w:eastAsia="zh-CN"/>
        </w:rPr>
      </w:pPr>
    </w:p>
    <w:p w14:paraId="3E997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企业层：阈值切割</w:t>
      </w:r>
    </w:p>
    <w:p w14:paraId="16163E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Corporate Layer: Threshold Cuts</w:t>
      </w:r>
    </w:p>
    <w:p w14:paraId="3E68C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C1 阈值：解释性在内部失效</w:t>
      </w:r>
    </w:p>
    <w:p w14:paraId="641A4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C1 Threshold: Explainability Fails Internally</w:t>
      </w:r>
    </w:p>
    <w:p w14:paraId="588040B6">
      <w:pPr>
        <w:rPr>
          <w:rFonts w:hint="default"/>
          <w:lang w:val="en-US" w:eastAsia="zh-CN"/>
        </w:rPr>
      </w:pPr>
    </w:p>
    <w:p w14:paraId="0F6597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Even insiders cannot explain why key decisions were made.</w:t>
      </w:r>
    </w:p>
    <w:p w14:paraId="099EF4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连内部也解释不了关键决策为何发生。</w:t>
      </w:r>
    </w:p>
    <w:p w14:paraId="7D079D34">
      <w:pPr>
        <w:rPr>
          <w:rFonts w:hint="default"/>
          <w:lang w:val="en-US" w:eastAsia="zh-CN"/>
        </w:rPr>
      </w:pPr>
    </w:p>
    <w:p w14:paraId="186595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中：观测指标： 重大决策的“理由”退化为指标输出/模型建议，无法给出可审计的因果链。</w:t>
      </w:r>
    </w:p>
    <w:p w14:paraId="6B0C5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Observation: The “reason” for major decisions collapses into metric outputs/model recommendations, with no auditable causal chain.</w:t>
      </w:r>
    </w:p>
    <w:p w14:paraId="1944BB6B">
      <w:pPr>
        <w:rPr>
          <w:rFonts w:hint="default"/>
          <w:lang w:val="en-US" w:eastAsia="zh-CN"/>
        </w:rPr>
      </w:pPr>
    </w:p>
    <w:p w14:paraId="7FC3F6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中：反证条件： 关键决策存在可审计因果链（输入、约束、权重、审批）且审计可复现同一结论。</w:t>
      </w:r>
    </w:p>
    <w:p w14:paraId="586314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Falsifier: Key decisions have an auditable causal chain (inputs, constraints, weights, approvals), and audits can reproduce the same conclusion.</w:t>
      </w:r>
    </w:p>
    <w:p w14:paraId="2808CF8D">
      <w:pPr>
        <w:rPr>
          <w:rFonts w:hint="default"/>
          <w:lang w:val="en-US" w:eastAsia="zh-CN"/>
        </w:rPr>
      </w:pPr>
    </w:p>
    <w:p w14:paraId="4AC9D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C2 阈值：人工接管带惩罚</w:t>
      </w:r>
    </w:p>
    <w:p w14:paraId="5B861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C2 Threshold: Human Override Is Penalised</w:t>
      </w:r>
    </w:p>
    <w:p w14:paraId="546E7097">
      <w:pPr>
        <w:rPr>
          <w:rFonts w:hint="default"/>
          <w:lang w:val="en-US" w:eastAsia="zh-CN"/>
        </w:rPr>
      </w:pPr>
    </w:p>
    <w:p w14:paraId="0C044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Human override exists only in theory because it is penalised.</w:t>
      </w:r>
    </w:p>
    <w:p w14:paraId="7E602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人工接管“名义存在”，但接管会被惩罚。</w:t>
      </w:r>
    </w:p>
    <w:p w14:paraId="74798570">
      <w:pPr>
        <w:rPr>
          <w:rFonts w:hint="default"/>
          <w:lang w:val="en-US" w:eastAsia="zh-CN"/>
        </w:rPr>
      </w:pPr>
    </w:p>
    <w:p w14:paraId="39E15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中：观测指标： 接管导致绩效惩罚、职业风险、预算惩罚，形成结构性不接管。</w:t>
      </w:r>
    </w:p>
    <w:p w14:paraId="1DE9E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Observation: Overrides trigger performance penalties, career risk, or budget penalties, producing structural non-override.</w:t>
      </w:r>
    </w:p>
    <w:p w14:paraId="671186EC">
      <w:pPr>
        <w:rPr>
          <w:rFonts w:hint="default"/>
          <w:lang w:val="en-US" w:eastAsia="zh-CN"/>
        </w:rPr>
      </w:pPr>
    </w:p>
    <w:p w14:paraId="312BE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中：反证条件： 存在“零惩罚接管”并有统计记录显示接管是常态工具。</w:t>
      </w:r>
    </w:p>
    <w:p w14:paraId="20FA8E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Falsifier: “Zero-penalty override” exists, and statistics show override is a routine tool.</w:t>
      </w:r>
    </w:p>
    <w:p w14:paraId="57ED1C54">
      <w:pPr>
        <w:rPr>
          <w:rFonts w:hint="default"/>
          <w:lang w:val="en-US" w:eastAsia="zh-CN"/>
        </w:rPr>
      </w:pPr>
    </w:p>
    <w:p w14:paraId="080FE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C3 阈值：局部最优压倒外部约束</w:t>
      </w:r>
    </w:p>
    <w:p w14:paraId="45A58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C3 Threshold: Local Optima Overwhelm External Constraints</w:t>
      </w:r>
    </w:p>
    <w:p w14:paraId="2D1683C2">
      <w:pPr>
        <w:rPr>
          <w:rFonts w:hint="default"/>
          <w:lang w:val="en-US" w:eastAsia="zh-CN"/>
        </w:rPr>
      </w:pPr>
    </w:p>
    <w:p w14:paraId="28222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Profit/efficiency metrics dominate legal, safety, and social constraints.</w:t>
      </w:r>
    </w:p>
    <w:p w14:paraId="3D34C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利润/效率指标压倒法律、安全与社会约束。</w:t>
      </w:r>
    </w:p>
    <w:p w14:paraId="45B767A7">
      <w:pPr>
        <w:rPr>
          <w:rFonts w:hint="default"/>
          <w:lang w:val="en-US" w:eastAsia="zh-CN"/>
        </w:rPr>
      </w:pPr>
    </w:p>
    <w:p w14:paraId="6A523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中：观测指标： 合规/安全团队被指标化为“成本中心”，其否决权被削弱到形式化。</w:t>
      </w:r>
    </w:p>
    <w:p w14:paraId="38EEC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Observation: Compliance/safety teams are metricised as “cost centres,” and their veto power is weakened into formality.</w:t>
      </w:r>
    </w:p>
    <w:p w14:paraId="2D34A125">
      <w:pPr>
        <w:rPr>
          <w:rFonts w:hint="default"/>
          <w:lang w:val="en-US" w:eastAsia="zh-CN"/>
        </w:rPr>
      </w:pPr>
    </w:p>
    <w:p w14:paraId="1013C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中：反证条件： 合规/安全拥有稳定否决权，且否决不会反向伤害其组织地位。</w:t>
      </w:r>
    </w:p>
    <w:p w14:paraId="63825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Falsifier: Compliance/safety has stable veto power, and vetoes do not backfire on their organisational standing.</w:t>
      </w:r>
    </w:p>
    <w:p w14:paraId="0E31B6C9">
      <w:pPr>
        <w:rPr>
          <w:rFonts w:hint="default"/>
          <w:lang w:val="en-US" w:eastAsia="zh-CN"/>
        </w:rPr>
      </w:pPr>
    </w:p>
    <w:p w14:paraId="10E3B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个体层：阈值切割</w:t>
      </w:r>
    </w:p>
    <w:p w14:paraId="66134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Individual Layer: Threshold Cuts</w:t>
      </w:r>
    </w:p>
    <w:p w14:paraId="6162E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I1 阈值：不可外包域消失</w:t>
      </w:r>
    </w:p>
    <w:p w14:paraId="366B0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I1 Threshold: No Non-Delegable Domain Remains</w:t>
      </w:r>
    </w:p>
    <w:p w14:paraId="77FA8051">
      <w:pPr>
        <w:rPr>
          <w:rFonts w:hint="default"/>
          <w:lang w:val="en-US" w:eastAsia="zh-CN"/>
        </w:rPr>
      </w:pPr>
    </w:p>
    <w:p w14:paraId="62CA3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No domain remains where the person insists on making the final call.</w:t>
      </w:r>
    </w:p>
    <w:p w14:paraId="59BADE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个体不存在任何“坚持自己最终拍板”的领域。</w:t>
      </w:r>
    </w:p>
    <w:p w14:paraId="4EF35A22">
      <w:pPr>
        <w:rPr>
          <w:rFonts w:hint="default"/>
          <w:lang w:val="en-US" w:eastAsia="zh-CN"/>
        </w:rPr>
      </w:pPr>
    </w:p>
    <w:p w14:paraId="747CF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中：观测指标： 健康、财务、亲密关系、职业路径等关键域全部交由推荐/外部权威决定。</w:t>
      </w:r>
    </w:p>
    <w:p w14:paraId="1CB3F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Observation: Key domains—health, finance, intimate relationships, career path—are fully handed to recommendations/external authorities.</w:t>
      </w:r>
    </w:p>
    <w:p w14:paraId="16A27D5D">
      <w:pPr>
        <w:rPr>
          <w:rFonts w:hint="default"/>
          <w:lang w:val="en-US" w:eastAsia="zh-CN"/>
        </w:rPr>
      </w:pPr>
    </w:p>
    <w:p w14:paraId="6EAFC0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中：反证条件： 至少一个关键域保持“我决定—我承担”，并能描述其代价与理由。</w:t>
      </w:r>
    </w:p>
    <w:p w14:paraId="4188A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Falsifier: At least one key domain remains “I decide—I bear,” with the costs and reasons articulable.</w:t>
      </w:r>
    </w:p>
    <w:p w14:paraId="78A21665">
      <w:pPr>
        <w:rPr>
          <w:rFonts w:hint="default"/>
          <w:lang w:val="en-US" w:eastAsia="zh-CN"/>
        </w:rPr>
      </w:pPr>
    </w:p>
    <w:p w14:paraId="365AB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 阈值：分歧能力萎缩</w:t>
      </w:r>
    </w:p>
    <w:p w14:paraId="11849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 Threshold: The Capacity for Disagreement Atrophies</w:t>
      </w:r>
    </w:p>
    <w:p w14:paraId="3E9605CD">
      <w:pPr>
        <w:rPr>
          <w:rFonts w:hint="default"/>
          <w:lang w:val="en-US" w:eastAsia="zh-CN"/>
        </w:rPr>
      </w:pPr>
    </w:p>
    <w:p w14:paraId="60C82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The person cannot sustain disagreement with the system.</w:t>
      </w:r>
    </w:p>
    <w:p w14:paraId="06610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个体无法持续与系统保持分歧。</w:t>
      </w:r>
    </w:p>
    <w:p w14:paraId="63E3E368">
      <w:pPr>
        <w:rPr>
          <w:rFonts w:hint="default"/>
          <w:lang w:val="en-US" w:eastAsia="zh-CN"/>
        </w:rPr>
      </w:pPr>
    </w:p>
    <w:p w14:paraId="149B4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中：观测指标： 一旦与推荐冲突即焦虑、退让、寻求再推荐；长期没有“反向选择”记录。</w:t>
      </w:r>
    </w:p>
    <w:p w14:paraId="129C6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Observation: Conflict with recommendations triggers anxiety, capitulation, and re-seeking recommendations; there is no long-run record of “counter-choices.”</w:t>
      </w:r>
    </w:p>
    <w:p w14:paraId="69065EE9">
      <w:pPr>
        <w:rPr>
          <w:rFonts w:hint="default"/>
          <w:lang w:val="en-US" w:eastAsia="zh-CN"/>
        </w:rPr>
      </w:pPr>
    </w:p>
    <w:p w14:paraId="5288C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中：反证条件： 存在稳定的反向选择历史，并能复盘其信息依据而非情绪冲动。</w:t>
      </w:r>
    </w:p>
    <w:p w14:paraId="5B13C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Falsifier: A stable history of counter-choices exists, with post-hoc review grounded in information rather than emotional impulse.</w:t>
      </w:r>
    </w:p>
    <w:p w14:paraId="24BC96D1">
      <w:pPr>
        <w:rPr>
          <w:rFonts w:hint="default"/>
          <w:lang w:val="en-US" w:eastAsia="zh-CN"/>
        </w:rPr>
      </w:pPr>
    </w:p>
    <w:p w14:paraId="768EB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I3 阈值：责任心理外包</w:t>
      </w:r>
    </w:p>
    <w:p w14:paraId="3B628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I3 Threshold: Emotional Outsourcing of Responsibility</w:t>
      </w:r>
    </w:p>
    <w:p w14:paraId="364F5765">
      <w:pPr>
        <w:rPr>
          <w:rFonts w:hint="default"/>
          <w:lang w:val="en-US" w:eastAsia="zh-CN"/>
        </w:rPr>
      </w:pPr>
    </w:p>
    <w:p w14:paraId="35F93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Responsibility is emotionally rejected and displaced onto systems/others.</w:t>
      </w:r>
    </w:p>
    <w:p w14:paraId="7DB91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责任被情绪性拒绝并转移给系统/他人。</w:t>
      </w:r>
    </w:p>
    <w:p w14:paraId="10678F25">
      <w:pPr>
        <w:rPr>
          <w:rFonts w:hint="default"/>
          <w:lang w:val="en-US" w:eastAsia="zh-CN"/>
        </w:rPr>
      </w:pPr>
    </w:p>
    <w:p w14:paraId="341BF9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中：观测指标： 解释失败时主要诉诸“系统让我/算法害我/环境逼我”，而非可改变量。</w:t>
      </w:r>
    </w:p>
    <w:p w14:paraId="7409D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Observation: When explanations fail, the dominant framing becomes “the system made me / the algorithm harmed me / the environment forced me,” rather than actionable variables.</w:t>
      </w:r>
    </w:p>
    <w:p w14:paraId="28082105">
      <w:pPr>
        <w:rPr>
          <w:rFonts w:hint="default"/>
          <w:lang w:val="en-US" w:eastAsia="zh-CN"/>
        </w:rPr>
      </w:pPr>
    </w:p>
    <w:p w14:paraId="1CBC0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中：反证条件： 失败复盘主要落在可操作变量，并能持续修正策略。</w:t>
      </w:r>
    </w:p>
    <w:p w14:paraId="5ABF9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Falsifier: Post-mortems focus on controllable variables, with sustained strategy updates.</w:t>
      </w:r>
    </w:p>
    <w:p w14:paraId="7E4F1007">
      <w:pPr>
        <w:rPr>
          <w:rFonts w:hint="default"/>
          <w:lang w:val="en-US" w:eastAsia="zh-CN"/>
        </w:rPr>
      </w:pPr>
    </w:p>
    <w:p w14:paraId="73A1D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跨层“不可逆”判据（硬切割）</w:t>
      </w:r>
    </w:p>
    <w:p w14:paraId="62F4D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Cross-Layer “Irreversibility” Criterion (Hard Cut)</w:t>
      </w:r>
    </w:p>
    <w:p w14:paraId="1843E532">
      <w:pPr>
        <w:rPr>
          <w:rFonts w:hint="default"/>
          <w:lang w:val="en-US" w:eastAsia="zh-CN"/>
        </w:rPr>
      </w:pPr>
    </w:p>
    <w:p w14:paraId="2833F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A threshold is irreversible if reversing it requires extraordinary coordination across actors who do not share incentives.</w:t>
      </w:r>
    </w:p>
    <w:p w14:paraId="4A70A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若要逆转该阈值，必须依赖激励不一致的多方进行非常规协同，则视为不可逆。</w:t>
      </w:r>
    </w:p>
    <w:p w14:paraId="623FD85F">
      <w:pPr>
        <w:rPr>
          <w:rFonts w:hint="default"/>
          <w:lang w:val="en-US" w:eastAsia="zh-CN"/>
        </w:rPr>
      </w:pPr>
    </w:p>
    <w:p w14:paraId="2BACD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Falsifiable counterexample: A large-scale reversal occurs without war/extreme catastrophe/leader’s personal will—then it is not irreversible.</w:t>
      </w:r>
    </w:p>
    <w:p w14:paraId="101BF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中：可证伪反例： 出现一次大规模逆转且无需战争/极端灾难/领袖个人意志，说明它不是不可逆。</w:t>
      </w:r>
    </w:p>
    <w:p w14:paraId="5FAFADA9">
      <w:pPr>
        <w:rPr>
          <w:rFonts w:hint="default"/>
          <w:lang w:val="en-US" w:eastAsia="zh-CN"/>
        </w:rPr>
      </w:pPr>
    </w:p>
    <w:p w14:paraId="58FF7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当前状态的“可观测分型”结论（不预测时间）</w:t>
      </w:r>
    </w:p>
    <w:p w14:paraId="621AB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Current “Observable Phase-Typing” Conclusion (No Timeline)</w:t>
      </w:r>
    </w:p>
    <w:p w14:paraId="64479335">
      <w:pPr>
        <w:rPr>
          <w:rFonts w:hint="default"/>
          <w:lang w:val="en-US" w:eastAsia="zh-CN"/>
        </w:rPr>
      </w:pPr>
    </w:p>
    <w:p w14:paraId="3E58D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中：只给分型，不给日期：</w:t>
      </w:r>
    </w:p>
    <w:p w14:paraId="74396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Phase-typing only, no dates.</w:t>
      </w:r>
    </w:p>
    <w:p w14:paraId="21BDBFBF">
      <w:pPr>
        <w:rPr>
          <w:rFonts w:hint="default"/>
          <w:lang w:val="en-US" w:eastAsia="zh-CN"/>
        </w:rPr>
      </w:pPr>
    </w:p>
    <w:p w14:paraId="7032C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Individuals are already past divergence onset; corporations are near override-penalty regimes; governments are approaching veto erosion.</w:t>
      </w:r>
    </w:p>
    <w:p w14:paraId="450087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 个体层已进入分化启动；企业层接近“接管惩罚区”；政府层接近“否决位侵蚀区”。</w:t>
      </w:r>
    </w:p>
    <w:p w14:paraId="1D65F27D">
      <w:pPr>
        <w:rPr>
          <w:rFonts w:hint="default"/>
          <w:lang w:val="en-US" w:eastAsia="zh-CN"/>
        </w:rPr>
      </w:pPr>
    </w:p>
    <w:p w14:paraId="1E871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EN: Global falsifier (overturns the whole diagnosis):</w:t>
      </w:r>
    </w:p>
    <w:p w14:paraId="49422F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widespread emergence across all three layers of: “named accountability chain + institutionalised cooling-off window + zero-penalty human override.”</w:t>
      </w:r>
    </w:p>
    <w:p w14:paraId="088AB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中：反证条件（整体推翻）：</w:t>
      </w:r>
    </w:p>
    <w:p w14:paraId="1835AE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三层同时出现可审计的“具名责任链 + 制度化延迟窗口 + 零惩罚人工接管”的普遍化。</w:t>
      </w:r>
    </w:p>
    <w:p w14:paraId="68BEDBBD">
      <w:pPr>
        <w:rPr>
          <w:rFonts w:hint="default"/>
          <w:lang w:val="en-US" w:eastAsia="zh-CN"/>
        </w:rPr>
      </w:pPr>
    </w:p>
    <w:p w14:paraId="70219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尾注 / Epigraph</w:t>
      </w:r>
      <w:bookmarkStart w:id="0" w:name="_GoBack"/>
      <w:bookmarkEnd w:id="0"/>
    </w:p>
    <w:p w14:paraId="26E72863">
      <w:pPr>
        <w:rPr>
          <w:rFonts w:hint="default"/>
          <w:lang w:val="en-US" w:eastAsia="zh-CN"/>
        </w:rPr>
      </w:pPr>
    </w:p>
    <w:p w14:paraId="26E8A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中文： 文章本天成，妙手偶得之。</w:t>
      </w:r>
    </w:p>
    <w:p w14:paraId="25F3C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English: The work exists of itself; the deft hand merely happens upon it.</w:t>
      </w:r>
    </w:p>
    <w:p w14:paraId="408236ED">
      <w:pPr>
        <w:rPr>
          <w:rFonts w:hint="default"/>
          <w:lang w:val="en-US" w:eastAsia="zh-CN"/>
        </w:rPr>
      </w:pPr>
    </w:p>
    <w:p w14:paraId="388248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署名 / Signature: 谢凯凡 kaifanxie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BB40B1"/>
    <w:rsid w:val="4FD9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2025-12-28T16:58:00Z</dcterms:created>
  <dc:creator>User</dc:creator>
  <cp:lastModifiedBy>小个</cp:lastModifiedBy>
  <dcterms:modified xsi:type="dcterms:W3CDTF">2025-12-28T17:10:55Z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E1BBBCBA19414C4E9074A0DC689FC938_12</vt:lpwstr>
  </property>
</Properties>
</file>