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B3A6B"/>
          <w:sz w:val="52"/>
          <w:szCs w:val="52"/>
        </w:rPr>
        <w:t xml:space="preserve">INQUISITORIAL CONSENSUS DEBATE</w:t>
      </w:r>
    </w:p>
    <w:p>
      <w:pPr>
        <w:spacing w:after="80" w:before="0"/>
        <w:jc w:val="center"/>
      </w:pPr>
      <w:r>
        <w:rPr>
          <w:rFonts w:ascii="Arial" w:cs="Arial" w:eastAsia="Arial" w:hAnsi="Arial"/>
          <w:b/>
          <w:bCs/>
          <w:color w:val="C0392B"/>
          <w:sz w:val="72"/>
          <w:szCs w:val="72"/>
        </w:rPr>
        <w:t xml:space="preserve">ICD</w:t>
      </w:r>
    </w:p>
    <w:p>
      <w:pPr>
        <w:spacing w:after="400" w:before="0"/>
        <w:jc w:val="center"/>
      </w:pPr>
      <w:r>
        <w:rPr>
          <w:rFonts w:ascii="Arial" w:cs="Arial" w:eastAsia="Arial" w:hAnsi="Arial"/>
          <w:color w:val="555555"/>
          <w:sz w:val="28"/>
          <w:szCs w:val="28"/>
        </w:rPr>
        <w:t xml:space="preserve">Formal Framework &amp; Ruleset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CCCCCC" w:sz="1"/>
              <w:left w:val="single" w:color="CCCCCC" w:sz="1"/>
              <w:bottom w:val="single" w:color="CCCCCC" w:sz="1"/>
              <w:right w:val="single" w:color="CCCCCC" w:sz="1"/>
            </w:tcBorders>
            <w:shd w:fill="D0DDEF" w:val="clear"/>
            <w:tcMar>
              <w:top w:type="dxa" w:w="160"/>
              <w:left w:type="dxa" w:w="240"/>
              <w:bottom w:type="dxa" w:w="160"/>
              <w:right w:type="dxa" w:w="240"/>
            </w:tcMar>
          </w:tcPr>
          <w:p>
            <w:pPr>
              <w:spacing w:after="80" w:before="0"/>
              <w:jc w:val="center"/>
            </w:pPr>
            <w:r>
              <w:rPr>
                <w:rFonts w:ascii="Arial" w:cs="Arial" w:eastAsia="Arial" w:hAnsi="Arial"/>
                <w:b/>
                <w:bCs/>
                <w:color w:val="1B3A6B"/>
                <w:sz w:val="21"/>
                <w:szCs w:val="21"/>
              </w:rPr>
              <w:t xml:space="preserve">Purpose</w:t>
            </w:r>
          </w:p>
          <w:p>
            <w:pPr>
              <w:spacing w:after="0" w:before="0"/>
              <w:jc w:val="center"/>
            </w:pPr>
            <w:r>
              <w:rPr>
                <w:rFonts w:ascii="Arial" w:cs="Arial" w:eastAsia="Arial" w:hAnsi="Arial"/>
                <w:i/>
                <w:iCs/>
                <w:sz w:val="21"/>
                <w:szCs w:val="21"/>
              </w:rPr>
              <w:t xml:space="preserve">A structured debate format designed not to produce a winner,</w:t>
            </w:r>
          </w:p>
          <w:p>
            <w:pPr>
              <w:spacing w:after="0" w:before="0"/>
              <w:jc w:val="center"/>
            </w:pPr>
            <w:r>
              <w:rPr>
                <w:rFonts w:ascii="Arial" w:cs="Arial" w:eastAsia="Arial" w:hAnsi="Arial"/>
                <w:i/>
                <w:iCs/>
                <w:sz w:val="21"/>
                <w:szCs w:val="21"/>
              </w:rPr>
              <w:t xml:space="preserve">but to forge reliable, logic-tested consensus through</w:t>
            </w:r>
          </w:p>
          <w:p>
            <w:pPr>
              <w:spacing w:after="0" w:before="0"/>
              <w:jc w:val="center"/>
            </w:pPr>
            <w:r>
              <w:rPr>
                <w:rFonts w:ascii="Arial" w:cs="Arial" w:eastAsia="Arial" w:hAnsi="Arial"/>
                <w:i/>
                <w:iCs/>
                <w:sz w:val="21"/>
                <w:szCs w:val="21"/>
              </w:rPr>
              <w:t xml:space="preserve">inquisitorial interrogation and democratic observation.</w:t>
            </w:r>
          </w:p>
        </w:tc>
      </w:tr>
    </w:tbl>
    <w:p>
      <w:pPr>
        <w:spacing w:after="240" w:before="0"/>
      </w:pPr>
      <w:r>
        <w:t xml:space="preserve"/>
      </w:r>
    </w:p>
    <w:p>
      <w:pPr>
        <w:spacing w:after="60" w:before="0"/>
        <w:jc w:val="center"/>
      </w:pPr>
      <w:r>
        <w:rPr>
          <w:rFonts w:ascii="Arial" w:cs="Arial" w:eastAsia="Arial" w:hAnsi="Arial"/>
          <w:color w:val="888888"/>
          <w:sz w:val="20"/>
          <w:szCs w:val="20"/>
        </w:rPr>
        <w:t xml:space="preserve">Original Format Conceived by:</w:t>
      </w:r>
    </w:p>
    <w:p>
      <w:pPr>
        <w:spacing w:after="60" w:before="0"/>
        <w:jc w:val="center"/>
      </w:pPr>
      <w:r>
        <w:rPr>
          <w:rFonts w:ascii="Arial" w:cs="Arial" w:eastAsia="Arial" w:hAnsi="Arial"/>
          <w:b/>
          <w:bCs/>
          <w:color w:val="1B3A6B"/>
          <w:sz w:val="22"/>
          <w:szCs w:val="22"/>
        </w:rPr>
        <w:t xml:space="preserve">MD. KAIF AL TAHSIN</w:t>
      </w:r>
    </w:p>
    <w:p>
      <w:pPr>
        <w:spacing w:after="60" w:before="0"/>
        <w:jc w:val="center"/>
      </w:pPr>
      <w:r>
        <w:rPr>
          <w:rFonts w:ascii="Arial" w:cs="Arial" w:eastAsia="Arial" w:hAnsi="Arial"/>
          <w:color w:val="888888"/>
          <w:sz w:val="20"/>
          <w:szCs w:val="20"/>
        </w:rPr>
        <w:t xml:space="preserve">Version 1.0  |  2026</w:t>
      </w:r>
    </w:p>
    <w:p>
      <w:pPr>
        <w:spacing w:after="1440" w:before="0"/>
      </w:pPr>
      <w:r>
        <w:t xml:space="preserve"/>
      </w:r>
    </w:p>
    <w:p>
      <w:pPr>
        <w:pStyle w:val="Heading1"/>
        <w:pBdr>
          <w:bottom w:val="single" w:color="1B3A6B" w:sz="8" w:space="4"/>
        </w:pBdr>
        <w:spacing w:after="180" w:before="360"/>
      </w:pPr>
      <w:r>
        <w:rPr>
          <w:rFonts w:ascii="Arial" w:cs="Arial" w:eastAsia="Arial" w:hAnsi="Arial"/>
          <w:b/>
          <w:bCs/>
          <w:color w:val="1B3A6B"/>
          <w:sz w:val="28"/>
          <w:szCs w:val="28"/>
        </w:rPr>
        <w:t xml:space="preserve">1. Overview</w:t>
      </w:r>
    </w:p>
    <w:p>
      <w:pPr>
        <w:spacing w:after="120" w:before="80"/>
      </w:pPr>
      <w:r>
        <w:rPr>
          <w:rFonts w:ascii="Arial" w:cs="Arial" w:eastAsia="Arial" w:hAnsi="Arial"/>
          <w:sz w:val="22"/>
          <w:szCs w:val="22"/>
        </w:rPr>
        <w:t xml:space="preserve">The Inquisitorial Consensus Debate (ICD) is an original structured debate format built around one foundational principle: the purpose of discourse is not to defeat an opponent, but to extract truth and build a reliable, collectively-tested consensus.</w:t>
      </w:r>
    </w:p>
    <w:p>
      <w:pPr>
        <w:spacing w:after="120" w:before="0"/>
      </w:pPr>
      <w:r>
        <w:t xml:space="preserve"/>
      </w:r>
    </w:p>
    <w:p>
      <w:pPr>
        <w:spacing w:after="120" w:before="80"/>
      </w:pPr>
      <w:r>
        <w:rPr>
          <w:rFonts w:ascii="Arial" w:cs="Arial" w:eastAsia="Arial" w:hAnsi="Arial"/>
          <w:sz w:val="22"/>
          <w:szCs w:val="22"/>
        </w:rPr>
        <w:t xml:space="preserve">Unlike adversarial debate formats that declare a winner, ICD deploys three independent bodies — Competing Teams, Observer Panels, and a Judge Panel — each with distinct roles and power levels, creating a triangular system of checks that filters weak arguments and rewards intellectual rigor.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DDEF"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The Core Distinction</w:t>
            </w:r>
          </w:p>
          <w:p>
            <w:pPr>
              <w:spacing w:after="0" w:before="0"/>
            </w:pPr>
            <w:r>
              <w:rPr>
                <w:rFonts w:ascii="Arial" w:cs="Arial" w:eastAsia="Arial" w:hAnsi="Arial"/>
                <w:sz w:val="21"/>
                <w:szCs w:val="21"/>
              </w:rPr>
              <w:t xml:space="preserve">ICD is not won. It is resolved. The end product is a consensus statement, not a scoreboard.</w:t>
            </w:r>
          </w:p>
        </w:tc>
      </w:tr>
    </w:tbl>
    <w:p>
      <w:pPr>
        <w:spacing w:after="120" w:before="0"/>
      </w:pPr>
      <w:r>
        <w:t xml:space="preserve"/>
      </w:r>
    </w:p>
    <w:p>
      <w:pPr>
        <w:pStyle w:val="Heading2"/>
        <w:spacing w:after="120" w:before="280"/>
      </w:pPr>
      <w:r>
        <w:rPr>
          <w:rFonts w:ascii="Arial" w:cs="Arial" w:eastAsia="Arial" w:hAnsi="Arial"/>
          <w:b/>
          <w:bCs/>
          <w:color w:val="C0392B"/>
          <w:sz w:val="24"/>
          <w:szCs w:val="24"/>
        </w:rPr>
        <w:t xml:space="preserve">1.1  Design Philosophy</w:t>
      </w:r>
    </w:p>
    <w:p>
      <w:pPr>
        <w:pStyle w:val="ListParagraph"/>
        <w:numPr>
          <w:ilvl w:val="0"/>
          <w:numId w:val="2"/>
        </w:numPr>
        <w:spacing w:after="60" w:before="60"/>
      </w:pPr>
      <w:r>
        <w:rPr>
          <w:rFonts w:ascii="Arial" w:cs="Arial" w:eastAsia="Arial" w:hAnsi="Arial"/>
          <w:sz w:val="22"/>
          <w:szCs w:val="22"/>
        </w:rPr>
        <w:t xml:space="preserve">Arguments must survive interrogation, not just persuasion.</w:t>
      </w:r>
    </w:p>
    <w:p>
      <w:pPr>
        <w:pStyle w:val="ListParagraph"/>
        <w:numPr>
          <w:ilvl w:val="0"/>
          <w:numId w:val="2"/>
        </w:numPr>
        <w:spacing w:after="60" w:before="60"/>
      </w:pPr>
      <w:r>
        <w:rPr>
          <w:rFonts w:ascii="Arial" w:cs="Arial" w:eastAsia="Arial" w:hAnsi="Arial"/>
          <w:sz w:val="22"/>
          <w:szCs w:val="22"/>
        </w:rPr>
        <w:t xml:space="preserve">No single body controls the entire debate — power is distributed.</w:t>
      </w:r>
    </w:p>
    <w:p>
      <w:pPr>
        <w:pStyle w:val="ListParagraph"/>
        <w:numPr>
          <w:ilvl w:val="0"/>
          <w:numId w:val="2"/>
        </w:numPr>
        <w:spacing w:after="60" w:before="60"/>
      </w:pPr>
      <w:r>
        <w:rPr>
          <w:rFonts w:ascii="Arial" w:cs="Arial" w:eastAsia="Arial" w:hAnsi="Arial"/>
          <w:sz w:val="22"/>
          <w:szCs w:val="22"/>
        </w:rPr>
        <w:t xml:space="preserve">Logical quality is enforceable, not merely aspirational.</w:t>
      </w:r>
    </w:p>
    <w:p>
      <w:pPr>
        <w:pStyle w:val="ListParagraph"/>
        <w:numPr>
          <w:ilvl w:val="0"/>
          <w:numId w:val="2"/>
        </w:numPr>
        <w:spacing w:after="60" w:before="60"/>
      </w:pPr>
      <w:r>
        <w:rPr>
          <w:rFonts w:ascii="Arial" w:cs="Arial" w:eastAsia="Arial" w:hAnsi="Arial"/>
          <w:sz w:val="22"/>
          <w:szCs w:val="22"/>
        </w:rPr>
        <w:t xml:space="preserve">Consensus is built progressively through the debate, not declared at the end.</w:t>
      </w:r>
    </w:p>
    <w:p>
      <w:pPr>
        <w:spacing w:after="120" w:before="0"/>
      </w:pPr>
      <w:r>
        <w:t xml:space="preserve"/>
      </w:r>
    </w:p>
    <w:p>
      <w:pPr>
        <w:pStyle w:val="Heading2"/>
        <w:spacing w:after="120" w:before="280"/>
      </w:pPr>
      <w:r>
        <w:rPr>
          <w:rFonts w:ascii="Arial" w:cs="Arial" w:eastAsia="Arial" w:hAnsi="Arial"/>
          <w:b/>
          <w:bCs/>
          <w:color w:val="C0392B"/>
          <w:sz w:val="24"/>
          <w:szCs w:val="24"/>
        </w:rPr>
        <w:t xml:space="preserve">1.2  Distinguishing ICD from Existing Formats</w:t>
      </w:r>
    </w:p>
    <w:p>
      <w:pPr>
        <w:spacing w:after="120" w:before="80"/>
      </w:pPr>
      <w:r>
        <w:rPr>
          <w:rFonts w:ascii="Arial" w:cs="Arial" w:eastAsia="Arial" w:hAnsi="Arial"/>
          <w:sz w:val="22"/>
          <w:szCs w:val="22"/>
        </w:rPr>
        <w:t xml:space="preserve">ICD draws conceptual DNA from several traditions but is architecturally distinct: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Format</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Similarity to ICD</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Key Difference</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Structured Academic Controversy</w:t>
            </w:r>
          </w:p>
        </w:tc>
        <w:tc>
          <w:tcPr>
            <w:tcW w:type="dxa" w:w="32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Consensus goal over winning</w:t>
            </w:r>
          </w:p>
        </w:tc>
        <w:tc>
          <w:tcPr>
            <w:tcW w:type="dxa" w:w="32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No observer panel; no inquisitorial judge power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Fishbowl Debate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Outer ring observes inner ring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Observers are passive; judges don't interrogate them</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Oxford-Style Debate</w:t>
            </w:r>
          </w:p>
        </w:tc>
        <w:tc>
          <w:tcPr>
            <w:tcW w:type="dxa" w:w="32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Audience participates by voting</w:t>
            </w:r>
          </w:p>
        </w:tc>
        <w:tc>
          <w:tcPr>
            <w:tcW w:type="dxa" w:w="32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Audience has no structured query role; winner is declared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Socratic Seminar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Questions drive discourse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 competing teams; no formal power hierarchy</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Parliamentary Debate</w:t>
            </w:r>
          </w:p>
        </w:tc>
        <w:tc>
          <w:tcPr>
            <w:tcW w:type="dxa" w:w="32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Strong moderator control</w:t>
            </w:r>
          </w:p>
        </w:tc>
        <w:tc>
          <w:tcPr>
            <w:tcW w:type="dxa" w:w="32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Winner declared; no observer panel layer</w:t>
            </w:r>
          </w:p>
        </w:tc>
      </w:tr>
    </w:tbl>
    <w:p>
      <w:pPr>
        <w:spacing w:after="120" w:before="0"/>
      </w:pPr>
      <w:r>
        <w:t xml:space="preserve"/>
      </w:r>
    </w:p>
    <w:p>
      <w:pPr>
        <w:pStyle w:val="Heading1"/>
        <w:pBdr>
          <w:bottom w:val="single" w:color="1B3A6B" w:sz="8" w:space="4"/>
        </w:pBdr>
        <w:spacing w:after="180" w:before="360"/>
      </w:pPr>
      <w:r>
        <w:rPr>
          <w:rFonts w:ascii="Arial" w:cs="Arial" w:eastAsia="Arial" w:hAnsi="Arial"/>
          <w:b/>
          <w:bCs/>
          <w:color w:val="1B3A6B"/>
          <w:sz w:val="28"/>
          <w:szCs w:val="28"/>
        </w:rPr>
        <w:t xml:space="preserve">2. Structural Bodies</w:t>
      </w:r>
    </w:p>
    <w:p>
      <w:pPr>
        <w:spacing w:after="120" w:before="80"/>
      </w:pPr>
      <w:r>
        <w:rPr>
          <w:rFonts w:ascii="Arial" w:cs="Arial" w:eastAsia="Arial" w:hAnsi="Arial"/>
          <w:sz w:val="22"/>
          <w:szCs w:val="22"/>
        </w:rPr>
        <w:t xml:space="preserve">ICD is composed of three independent bodies arranged in a deliberate power hierarchy. Each body has defined authorities and limitations.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Role</w:t>
            </w:r>
          </w:p>
        </w:tc>
        <w:tc>
          <w:tcPr>
            <w:tcW w:type="dxa" w:w="33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Responsibilities</w:t>
            </w:r>
          </w:p>
        </w:tc>
        <w:tc>
          <w:tcPr>
            <w:tcW w:type="dxa" w:w="33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Restrictions</w:t>
            </w:r>
          </w:p>
        </w:tc>
      </w:tr>
      <w:tr>
        <w:tc>
          <w:tcPr>
            <w:tcW w:type="dxa" w:w="26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1"/>
                <w:szCs w:val="21"/>
              </w:rPr>
              <w:t xml:space="preserve">Competing Teams
(Team A &amp; Team B)</w:t>
            </w:r>
          </w:p>
        </w:tc>
        <w:tc>
          <w:tcPr>
            <w:tcW w:type="dxa" w:w="33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Present, argue, and defend positions. Can use any resources — open internet, internal discussion, collaborative tools. May speak freely during their allotted turns.</w:t>
            </w:r>
          </w:p>
        </w:tc>
        <w:tc>
          <w:tcPr>
            <w:tcW w:type="dxa" w:w="33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No control over Observer Panels. Cannot directly address or lobby Observers. Cannot interrupt the Judge Panel.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Observer Panels
(Panel 1 &amp; Panel 2)</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Signal agreement or disagreement when queried by judges. Provide justifications when called upon by the Judge Panel. Represent a queryable public intelligence layer.</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Cannot self-initiate. Cannot speak without being called upon by a judge. Have no authority over Competing Teams or other Observers.</w:t>
            </w:r>
          </w:p>
        </w:tc>
      </w:tr>
      <w:tr>
        <w:tc>
          <w:tcPr>
            <w:tcW w:type="dxa" w:w="26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1"/>
                <w:szCs w:val="21"/>
              </w:rPr>
              <w:t xml:space="preserve">Judge Panel
(Supreme Judge + Judges)</w:t>
            </w:r>
          </w:p>
        </w:tc>
        <w:tc>
          <w:tcPr>
            <w:tcW w:type="dxa" w:w="33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Pose points for justification. Select which observers or teams to question. Direct the flow of the debate. Issue penalties.</w:t>
            </w:r>
          </w:p>
        </w:tc>
        <w:tc>
          <w:tcPr>
            <w:tcW w:type="dxa" w:w="33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Judges (non-supreme) may not override the Supreme Judge's rulings.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Supreme Judge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Full authority over all three bodies. Can restrict speaking rights, issue logic penalties, redirect debate flow, dissolve unproductive threads, and ratify the final consensus.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Must exercise authority with wisdom and impartiality. Cannot use power to favour a team's position — only to improve the quality of discourse.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DDEF"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The Triangular Power Model</w:t>
            </w:r>
          </w:p>
          <w:p>
            <w:pPr>
              <w:spacing w:after="0" w:before="0"/>
            </w:pPr>
            <w:r>
              <w:rPr>
                <w:rFonts w:ascii="Arial" w:cs="Arial" w:eastAsia="Arial" w:hAnsi="Arial"/>
                <w:sz w:val="21"/>
                <w:szCs w:val="21"/>
              </w:rPr>
              <w:t xml:space="preserve">Teams → produce arguments. Observers → reflect on them independently. Judges → interrogate both. Supreme Judge → controls the entire system. No body can capture the process.</w:t>
            </w:r>
          </w:p>
        </w:tc>
      </w:tr>
    </w:tbl>
    <w:p>
      <w:pPr>
        <w:spacing w:after="120" w:before="0"/>
      </w:pPr>
      <w:r>
        <w:t xml:space="preserve"/>
      </w:r>
    </w:p>
    <w:p>
      <w:pPr>
        <w:pStyle w:val="Heading1"/>
        <w:pBdr>
          <w:bottom w:val="single" w:color="1B3A6B" w:sz="8" w:space="4"/>
        </w:pBdr>
        <w:spacing w:after="180" w:before="360"/>
      </w:pPr>
      <w:r>
        <w:rPr>
          <w:rFonts w:ascii="Arial" w:cs="Arial" w:eastAsia="Arial" w:hAnsi="Arial"/>
          <w:b/>
          <w:bCs/>
          <w:color w:val="1B3A6B"/>
          <w:sz w:val="28"/>
          <w:szCs w:val="28"/>
        </w:rPr>
        <w:t xml:space="preserve">3. The Observer Panel System</w:t>
      </w:r>
    </w:p>
    <w:p>
      <w:pPr>
        <w:spacing w:after="120" w:before="80"/>
      </w:pPr>
      <w:r>
        <w:rPr>
          <w:rFonts w:ascii="Arial" w:cs="Arial" w:eastAsia="Arial" w:hAnsi="Arial"/>
          <w:sz w:val="22"/>
          <w:szCs w:val="22"/>
        </w:rPr>
        <w:t xml:space="preserve">The Observer Panel is ICD's most original structural contribution. It functions as an independent, queryable intelligence layer — neither audience nor judge, but a structured witness body with democratic signal capability.</w:t>
      </w:r>
    </w:p>
    <w:p>
      <w:pPr>
        <w:spacing w:after="120" w:before="0"/>
      </w:pPr>
      <w:r>
        <w:t xml:space="preserve"/>
      </w:r>
    </w:p>
    <w:p>
      <w:pPr>
        <w:pStyle w:val="Heading2"/>
        <w:spacing w:after="120" w:before="280"/>
      </w:pPr>
      <w:r>
        <w:rPr>
          <w:rFonts w:ascii="Arial" w:cs="Arial" w:eastAsia="Arial" w:hAnsi="Arial"/>
          <w:b/>
          <w:bCs/>
          <w:color w:val="C0392B"/>
          <w:sz w:val="24"/>
          <w:szCs w:val="24"/>
        </w:rPr>
        <w:t xml:space="preserve">3.1  Composition</w:t>
      </w:r>
    </w:p>
    <w:p>
      <w:pPr>
        <w:pStyle w:val="ListParagraph"/>
        <w:numPr>
          <w:ilvl w:val="0"/>
          <w:numId w:val="2"/>
        </w:numPr>
        <w:spacing w:after="60" w:before="60"/>
      </w:pPr>
      <w:r>
        <w:rPr>
          <w:rFonts w:ascii="Arial" w:cs="Arial" w:eastAsia="Arial" w:hAnsi="Arial"/>
          <w:sz w:val="22"/>
          <w:szCs w:val="22"/>
        </w:rPr>
        <w:t xml:space="preserve">There are exactly two Observer Panels (Panel 1 and Panel 2).</w:t>
      </w:r>
    </w:p>
    <w:p>
      <w:pPr>
        <w:pStyle w:val="ListParagraph"/>
        <w:numPr>
          <w:ilvl w:val="0"/>
          <w:numId w:val="2"/>
        </w:numPr>
        <w:spacing w:after="60" w:before="60"/>
      </w:pPr>
      <w:r>
        <w:rPr>
          <w:rFonts w:ascii="Arial" w:cs="Arial" w:eastAsia="Arial" w:hAnsi="Arial"/>
          <w:sz w:val="22"/>
          <w:szCs w:val="22"/>
        </w:rPr>
        <w:t xml:space="preserve">Each panel is independent of both Competing Teams.</w:t>
      </w:r>
    </w:p>
    <w:p>
      <w:pPr>
        <w:pStyle w:val="ListParagraph"/>
        <w:numPr>
          <w:ilvl w:val="0"/>
          <w:numId w:val="2"/>
        </w:numPr>
        <w:spacing w:after="60" w:before="60"/>
      </w:pPr>
      <w:r>
        <w:rPr>
          <w:rFonts w:ascii="Arial" w:cs="Arial" w:eastAsia="Arial" w:hAnsi="Arial"/>
          <w:sz w:val="22"/>
          <w:szCs w:val="22"/>
        </w:rPr>
        <w:t xml:space="preserve">Panel members may hold pre-existing viewpoints but must engage with arguments presented during the debate.</w:t>
      </w:r>
    </w:p>
    <w:p>
      <w:pPr>
        <w:spacing w:after="120" w:before="0"/>
      </w:pPr>
      <w:r>
        <w:t xml:space="preserve"/>
      </w:r>
    </w:p>
    <w:p>
      <w:pPr>
        <w:pStyle w:val="Heading2"/>
        <w:spacing w:after="120" w:before="280"/>
      </w:pPr>
      <w:r>
        <w:rPr>
          <w:rFonts w:ascii="Arial" w:cs="Arial" w:eastAsia="Arial" w:hAnsi="Arial"/>
          <w:b/>
          <w:bCs/>
          <w:color w:val="C0392B"/>
          <w:sz w:val="24"/>
          <w:szCs w:val="24"/>
        </w:rPr>
        <w:t xml:space="preserve">3.2  How Observers Are Queried</w:t>
      </w:r>
    </w:p>
    <w:p>
      <w:pPr>
        <w:pStyle w:val="ListParagraph"/>
        <w:numPr>
          <w:ilvl w:val="0"/>
          <w:numId w:val="2"/>
        </w:numPr>
        <w:spacing w:after="60" w:before="60"/>
      </w:pPr>
      <w:r>
        <w:rPr>
          <w:rFonts w:ascii="Arial" w:cs="Arial" w:eastAsia="Arial" w:hAnsi="Arial"/>
          <w:sz w:val="22"/>
          <w:szCs w:val="22"/>
        </w:rPr>
        <w:t xml:space="preserve">A judge poses a specific point, question, or proposition.</w:t>
      </w:r>
    </w:p>
    <w:p>
      <w:pPr>
        <w:pStyle w:val="ListParagraph"/>
        <w:numPr>
          <w:ilvl w:val="0"/>
          <w:numId w:val="2"/>
        </w:numPr>
        <w:spacing w:after="60" w:before="60"/>
      </w:pPr>
      <w:r>
        <w:rPr>
          <w:rFonts w:ascii="Arial" w:cs="Arial" w:eastAsia="Arial" w:hAnsi="Arial"/>
          <w:sz w:val="22"/>
          <w:szCs w:val="22"/>
        </w:rPr>
        <w:t xml:space="preserve">The judge specifies the scope: both panels, a single panel, or an individual observer.</w:t>
      </w:r>
    </w:p>
    <w:p>
      <w:pPr>
        <w:pStyle w:val="ListParagraph"/>
        <w:numPr>
          <w:ilvl w:val="0"/>
          <w:numId w:val="2"/>
        </w:numPr>
        <w:spacing w:after="60" w:before="60"/>
      </w:pPr>
      <w:r>
        <w:rPr>
          <w:rFonts w:ascii="Arial" w:cs="Arial" w:eastAsia="Arial" w:hAnsi="Arial"/>
          <w:sz w:val="22"/>
          <w:szCs w:val="22"/>
        </w:rPr>
        <w:t xml:space="preserve">Observers raise hands to signal agreement or disagreement.</w:t>
      </w:r>
    </w:p>
    <w:p>
      <w:pPr>
        <w:pStyle w:val="ListParagraph"/>
        <w:numPr>
          <w:ilvl w:val="0"/>
          <w:numId w:val="2"/>
        </w:numPr>
        <w:spacing w:after="60" w:before="60"/>
      </w:pPr>
      <w:r>
        <w:rPr>
          <w:rFonts w:ascii="Arial" w:cs="Arial" w:eastAsia="Arial" w:hAnsi="Arial"/>
          <w:sz w:val="22"/>
          <w:szCs w:val="22"/>
        </w:rPr>
        <w:t xml:space="preserve">The judge may then invite verbal justification from selected observers.</w:t>
      </w:r>
    </w:p>
    <w:p>
      <w:pPr>
        <w:spacing w:after="120" w:before="0"/>
      </w:pPr>
      <w:r>
        <w:t xml:space="preserve"/>
      </w:r>
    </w:p>
    <w:p>
      <w:pPr>
        <w:pStyle w:val="Heading2"/>
        <w:spacing w:after="120" w:before="280"/>
      </w:pPr>
      <w:r>
        <w:rPr>
          <w:rFonts w:ascii="Arial" w:cs="Arial" w:eastAsia="Arial" w:hAnsi="Arial"/>
          <w:b/>
          <w:bCs/>
          <w:color w:val="C0392B"/>
          <w:sz w:val="24"/>
          <w:szCs w:val="24"/>
        </w:rPr>
        <w:t xml:space="preserve">3.3  Observer Conduct Rules</w:t>
      </w:r>
    </w:p>
    <w:p>
      <w:pPr>
        <w:pStyle w:val="ListParagraph"/>
        <w:numPr>
          <w:ilvl w:val="0"/>
          <w:numId w:val="2"/>
        </w:numPr>
        <w:spacing w:after="60" w:before="60"/>
      </w:pPr>
      <w:r>
        <w:rPr>
          <w:rFonts w:ascii="Arial" w:cs="Arial" w:eastAsia="Arial" w:hAnsi="Arial"/>
          <w:sz w:val="22"/>
          <w:szCs w:val="22"/>
        </w:rPr>
        <w:t xml:space="preserve">Observers must not communicate with Competing Teams at any point.</w:t>
      </w:r>
    </w:p>
    <w:p>
      <w:pPr>
        <w:pStyle w:val="ListParagraph"/>
        <w:numPr>
          <w:ilvl w:val="0"/>
          <w:numId w:val="2"/>
        </w:numPr>
        <w:spacing w:after="60" w:before="60"/>
      </w:pPr>
      <w:r>
        <w:rPr>
          <w:rFonts w:ascii="Arial" w:cs="Arial" w:eastAsia="Arial" w:hAnsi="Arial"/>
          <w:sz w:val="22"/>
          <w:szCs w:val="22"/>
        </w:rPr>
        <w:t xml:space="preserve">Observers may not speak unless directly invited by a judge.</w:t>
      </w:r>
    </w:p>
    <w:p>
      <w:pPr>
        <w:pStyle w:val="ListParagraph"/>
        <w:numPr>
          <w:ilvl w:val="0"/>
          <w:numId w:val="2"/>
        </w:numPr>
        <w:spacing w:after="60" w:before="60"/>
      </w:pPr>
      <w:r>
        <w:rPr>
          <w:rFonts w:ascii="Arial" w:cs="Arial" w:eastAsia="Arial" w:hAnsi="Arial"/>
          <w:sz w:val="22"/>
          <w:szCs w:val="22"/>
        </w:rPr>
        <w:t xml:space="preserve">Observers must give honest, reasoned justifications — not diplomatic hedges.</w:t>
      </w:r>
    </w:p>
    <w:p>
      <w:pPr>
        <w:pStyle w:val="ListParagraph"/>
        <w:numPr>
          <w:ilvl w:val="0"/>
          <w:numId w:val="2"/>
        </w:numPr>
        <w:spacing w:after="60" w:before="60"/>
      </w:pPr>
      <w:r>
        <w:rPr>
          <w:rFonts w:ascii="Arial" w:cs="Arial" w:eastAsia="Arial" w:hAnsi="Arial"/>
          <w:sz w:val="22"/>
          <w:szCs w:val="22"/>
        </w:rPr>
        <w:t xml:space="preserve">An observer who repeatedly gives unjustified or evasive responses may be excluded by the Supreme Judge.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DDEF"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Why Two Panels?</w:t>
            </w:r>
          </w:p>
          <w:p>
            <w:pPr>
              <w:spacing w:after="0" w:before="0"/>
            </w:pPr>
            <w:r>
              <w:rPr>
                <w:rFonts w:ascii="Arial" w:cs="Arial" w:eastAsia="Arial" w:hAnsi="Arial"/>
                <w:sz w:val="21"/>
                <w:szCs w:val="21"/>
              </w:rPr>
              <w:t xml:space="preserve">Two independent panels allow the Judge Panel to detect divergence in perception. If both panels align, the argument is broadly persuasive. If they diverge, it signals a complexity worth interrogating further.</w:t>
            </w:r>
          </w:p>
        </w:tc>
      </w:tr>
    </w:tbl>
    <w:p>
      <w:pPr>
        <w:spacing w:after="120" w:before="0"/>
      </w:pPr>
      <w:r>
        <w:t xml:space="preserve"/>
      </w:r>
    </w:p>
    <w:p>
      <w:pPr>
        <w:pStyle w:val="Heading1"/>
        <w:pBdr>
          <w:bottom w:val="single" w:color="1B3A6B" w:sz="8" w:space="4"/>
        </w:pBdr>
        <w:spacing w:after="180" w:before="360"/>
      </w:pPr>
      <w:r>
        <w:rPr>
          <w:rFonts w:ascii="Arial" w:cs="Arial" w:eastAsia="Arial" w:hAnsi="Arial"/>
          <w:b/>
          <w:bCs/>
          <w:color w:val="1B3A6B"/>
          <w:sz w:val="28"/>
          <w:szCs w:val="28"/>
        </w:rPr>
        <w:t xml:space="preserve">4. The Judge Panel</w:t>
      </w:r>
    </w:p>
    <w:p>
      <w:pPr>
        <w:spacing w:after="120" w:before="0"/>
      </w:pPr>
      <w:r>
        <w:t xml:space="preserve"/>
      </w:r>
    </w:p>
    <w:p>
      <w:pPr>
        <w:pStyle w:val="Heading2"/>
        <w:spacing w:after="120" w:before="280"/>
      </w:pPr>
      <w:r>
        <w:rPr>
          <w:rFonts w:ascii="Arial" w:cs="Arial" w:eastAsia="Arial" w:hAnsi="Arial"/>
          <w:b/>
          <w:bCs/>
          <w:color w:val="C0392B"/>
          <w:sz w:val="24"/>
          <w:szCs w:val="24"/>
        </w:rPr>
        <w:t xml:space="preserve">4.1  Standard Judges</w:t>
      </w:r>
    </w:p>
    <w:p>
      <w:pPr>
        <w:pStyle w:val="ListParagraph"/>
        <w:numPr>
          <w:ilvl w:val="0"/>
          <w:numId w:val="2"/>
        </w:numPr>
        <w:spacing w:after="60" w:before="60"/>
      </w:pPr>
      <w:r>
        <w:rPr>
          <w:rFonts w:ascii="Arial" w:cs="Arial" w:eastAsia="Arial" w:hAnsi="Arial"/>
          <w:sz w:val="22"/>
          <w:szCs w:val="22"/>
        </w:rPr>
        <w:t xml:space="preserve">Standard judges are responsible for raising points for discussion and formulating precise questions for observer panels.</w:t>
      </w:r>
    </w:p>
    <w:p>
      <w:pPr>
        <w:pStyle w:val="ListParagraph"/>
        <w:numPr>
          <w:ilvl w:val="0"/>
          <w:numId w:val="2"/>
        </w:numPr>
        <w:spacing w:after="60" w:before="60"/>
      </w:pPr>
      <w:r>
        <w:rPr>
          <w:rFonts w:ascii="Arial" w:cs="Arial" w:eastAsia="Arial" w:hAnsi="Arial"/>
          <w:sz w:val="22"/>
          <w:szCs w:val="22"/>
        </w:rPr>
        <w:t xml:space="preserve">They may select which body to query: both panels, one panel, or a specific individual.</w:t>
      </w:r>
    </w:p>
    <w:p>
      <w:pPr>
        <w:pStyle w:val="ListParagraph"/>
        <w:numPr>
          <w:ilvl w:val="0"/>
          <w:numId w:val="2"/>
        </w:numPr>
        <w:spacing w:after="60" w:before="60"/>
      </w:pPr>
      <w:r>
        <w:rPr>
          <w:rFonts w:ascii="Arial" w:cs="Arial" w:eastAsia="Arial" w:hAnsi="Arial"/>
          <w:sz w:val="22"/>
          <w:szCs w:val="22"/>
        </w:rPr>
        <w:t xml:space="preserve">They may redirect a question to the Competing Teams if observer responses are insufficient.</w:t>
      </w:r>
    </w:p>
    <w:p>
      <w:pPr>
        <w:pStyle w:val="ListParagraph"/>
        <w:numPr>
          <w:ilvl w:val="0"/>
          <w:numId w:val="2"/>
        </w:numPr>
        <w:spacing w:after="60" w:before="60"/>
      </w:pPr>
      <w:r>
        <w:rPr>
          <w:rFonts w:ascii="Arial" w:cs="Arial" w:eastAsia="Arial" w:hAnsi="Arial"/>
          <w:sz w:val="22"/>
          <w:szCs w:val="22"/>
        </w:rPr>
        <w:t xml:space="preserve">They operate under the authority of the Supreme Judge.</w:t>
      </w:r>
    </w:p>
    <w:p>
      <w:pPr>
        <w:spacing w:after="120" w:before="0"/>
      </w:pPr>
      <w:r>
        <w:t xml:space="preserve"/>
      </w:r>
    </w:p>
    <w:p>
      <w:pPr>
        <w:pStyle w:val="Heading2"/>
        <w:spacing w:after="120" w:before="280"/>
      </w:pPr>
      <w:r>
        <w:rPr>
          <w:rFonts w:ascii="Arial" w:cs="Arial" w:eastAsia="Arial" w:hAnsi="Arial"/>
          <w:b/>
          <w:bCs/>
          <w:color w:val="C0392B"/>
          <w:sz w:val="24"/>
          <w:szCs w:val="24"/>
        </w:rPr>
        <w:t xml:space="preserve">4.2  The Supreme Judge</w:t>
      </w:r>
    </w:p>
    <w:p>
      <w:pPr>
        <w:spacing w:after="120" w:before="80"/>
      </w:pPr>
      <w:r>
        <w:rPr>
          <w:rFonts w:ascii="Arial" w:cs="Arial" w:eastAsia="Arial" w:hAnsi="Arial"/>
          <w:sz w:val="22"/>
          <w:szCs w:val="22"/>
        </w:rPr>
        <w:t xml:space="preserve">The Supreme Judge is the most critical role in ICD. Their function is not to pick a winner but to protect the integrity of the consensus-building process.</w:t>
      </w:r>
    </w:p>
    <w:p>
      <w:pPr>
        <w:spacing w:after="120" w:before="0"/>
      </w:pPr>
      <w:r>
        <w:t xml:space="preserve"/>
      </w:r>
    </w:p>
    <w:p>
      <w:pPr>
        <w:pStyle w:val="Heading3"/>
        <w:spacing w:after="100" w:before="200"/>
      </w:pPr>
      <w:r>
        <w:rPr>
          <w:rFonts w:ascii="Arial" w:cs="Arial" w:eastAsia="Arial" w:hAnsi="Arial"/>
          <w:b/>
          <w:bCs/>
          <w:color w:val="1B3A6B"/>
          <w:sz w:val="22"/>
          <w:szCs w:val="22"/>
        </w:rPr>
        <w:t xml:space="preserve">Powers of the Supreme Judge</w:t>
      </w:r>
    </w:p>
    <w:p>
      <w:pPr>
        <w:pStyle w:val="ListParagraph"/>
        <w:numPr>
          <w:ilvl w:val="0"/>
          <w:numId w:val="2"/>
        </w:numPr>
        <w:spacing w:after="60" w:before="60"/>
      </w:pPr>
      <w:r>
        <w:rPr>
          <w:rFonts w:ascii="Arial" w:cs="Arial" w:eastAsia="Arial" w:hAnsi="Arial"/>
          <w:b/>
          <w:bCs/>
          <w:sz w:val="22"/>
          <w:szCs w:val="22"/>
        </w:rPr>
        <w:t xml:space="preserve">Restrict: </w:t>
      </w:r>
      <w:r>
        <w:rPr>
          <w:rFonts w:ascii="Arial" w:cs="Arial" w:eastAsia="Arial" w:hAnsi="Arial"/>
          <w:sz w:val="22"/>
          <w:szCs w:val="22"/>
        </w:rPr>
        <w:t xml:space="preserve">Restrict speaking rights</w:t>
      </w:r>
    </w:p>
    <w:p>
      <w:pPr>
        <w:pStyle w:val="ListParagraph"/>
        <w:numPr>
          <w:ilvl w:val="0"/>
          <w:numId w:val="3"/>
        </w:numPr>
        <w:spacing w:after="40" w:before="40"/>
      </w:pPr>
      <w:r>
        <w:rPr>
          <w:rFonts w:ascii="Arial" w:cs="Arial" w:eastAsia="Arial" w:hAnsi="Arial"/>
          <w:sz w:val="20"/>
          <w:szCs w:val="20"/>
        </w:rPr>
        <w:t xml:space="preserve">Can silence any participant, from any body, who is producing logicless, repetitive, or bad-faith arguments.</w:t>
      </w:r>
    </w:p>
    <w:p>
      <w:pPr>
        <w:spacing w:after="120" w:before="0"/>
      </w:pPr>
      <w:r>
        <w:t xml:space="preserve"/>
      </w:r>
    </w:p>
    <w:p>
      <w:pPr>
        <w:pStyle w:val="ListParagraph"/>
        <w:numPr>
          <w:ilvl w:val="0"/>
          <w:numId w:val="2"/>
        </w:numPr>
        <w:spacing w:after="60" w:before="60"/>
      </w:pPr>
      <w:r>
        <w:rPr>
          <w:rFonts w:ascii="Arial" w:cs="Arial" w:eastAsia="Arial" w:hAnsi="Arial"/>
          <w:b/>
          <w:bCs/>
          <w:sz w:val="22"/>
          <w:szCs w:val="22"/>
        </w:rPr>
        <w:t xml:space="preserve">Penalise: </w:t>
      </w:r>
      <w:r>
        <w:rPr>
          <w:rFonts w:ascii="Arial" w:cs="Arial" w:eastAsia="Arial" w:hAnsi="Arial"/>
          <w:sz w:val="22"/>
          <w:szCs w:val="22"/>
        </w:rPr>
        <w:t xml:space="preserve">Issue logic penalties</w:t>
      </w:r>
    </w:p>
    <w:p>
      <w:pPr>
        <w:pStyle w:val="ListParagraph"/>
        <w:numPr>
          <w:ilvl w:val="0"/>
          <w:numId w:val="3"/>
        </w:numPr>
        <w:spacing w:after="40" w:before="40"/>
      </w:pPr>
      <w:r>
        <w:rPr>
          <w:rFonts w:ascii="Arial" w:cs="Arial" w:eastAsia="Arial" w:hAnsi="Arial"/>
          <w:sz w:val="20"/>
          <w:szCs w:val="20"/>
        </w:rPr>
        <w:t xml:space="preserve">Formally mark arguments that deteriorate into fallacy, distortion, or bullshit — these carry weight in the final consensus assessment.</w:t>
      </w:r>
    </w:p>
    <w:p>
      <w:pPr>
        <w:spacing w:after="120" w:before="0"/>
      </w:pPr>
      <w:r>
        <w:t xml:space="preserve"/>
      </w:r>
    </w:p>
    <w:p>
      <w:pPr>
        <w:pStyle w:val="ListParagraph"/>
        <w:numPr>
          <w:ilvl w:val="0"/>
          <w:numId w:val="2"/>
        </w:numPr>
        <w:spacing w:after="60" w:before="60"/>
      </w:pPr>
      <w:r>
        <w:rPr>
          <w:rFonts w:ascii="Arial" w:cs="Arial" w:eastAsia="Arial" w:hAnsi="Arial"/>
          <w:b/>
          <w:bCs/>
          <w:sz w:val="22"/>
          <w:szCs w:val="22"/>
        </w:rPr>
        <w:t xml:space="preserve">Dissolve: </w:t>
      </w:r>
      <w:r>
        <w:rPr>
          <w:rFonts w:ascii="Arial" w:cs="Arial" w:eastAsia="Arial" w:hAnsi="Arial"/>
          <w:sz w:val="22"/>
          <w:szCs w:val="22"/>
        </w:rPr>
        <w:t xml:space="preserve">Dissolve dead threads</w:t>
      </w:r>
    </w:p>
    <w:p>
      <w:pPr>
        <w:pStyle w:val="ListParagraph"/>
        <w:numPr>
          <w:ilvl w:val="0"/>
          <w:numId w:val="3"/>
        </w:numPr>
        <w:spacing w:after="40" w:before="40"/>
      </w:pPr>
      <w:r>
        <w:rPr>
          <w:rFonts w:ascii="Arial" w:cs="Arial" w:eastAsia="Arial" w:hAnsi="Arial"/>
          <w:sz w:val="20"/>
          <w:szCs w:val="20"/>
        </w:rPr>
        <w:t xml:space="preserve">Terminate lines of discussion that are consuming time without producing insight.</w:t>
      </w:r>
    </w:p>
    <w:p>
      <w:pPr>
        <w:spacing w:after="120" w:before="0"/>
      </w:pPr>
      <w:r>
        <w:t xml:space="preserve"/>
      </w:r>
    </w:p>
    <w:p>
      <w:pPr>
        <w:pStyle w:val="ListParagraph"/>
        <w:numPr>
          <w:ilvl w:val="0"/>
          <w:numId w:val="2"/>
        </w:numPr>
        <w:spacing w:after="60" w:before="60"/>
      </w:pPr>
      <w:r>
        <w:rPr>
          <w:rFonts w:ascii="Arial" w:cs="Arial" w:eastAsia="Arial" w:hAnsi="Arial"/>
          <w:b/>
          <w:bCs/>
          <w:sz w:val="22"/>
          <w:szCs w:val="22"/>
        </w:rPr>
        <w:t xml:space="preserve">Redirect: </w:t>
      </w:r>
      <w:r>
        <w:rPr>
          <w:rFonts w:ascii="Arial" w:cs="Arial" w:eastAsia="Arial" w:hAnsi="Arial"/>
          <w:sz w:val="22"/>
          <w:szCs w:val="22"/>
        </w:rPr>
        <w:t xml:space="preserve">Redirect debate flow</w:t>
      </w:r>
    </w:p>
    <w:p>
      <w:pPr>
        <w:pStyle w:val="ListParagraph"/>
        <w:numPr>
          <w:ilvl w:val="0"/>
          <w:numId w:val="3"/>
        </w:numPr>
        <w:spacing w:after="40" w:before="40"/>
      </w:pPr>
      <w:r>
        <w:rPr>
          <w:rFonts w:ascii="Arial" w:cs="Arial" w:eastAsia="Arial" w:hAnsi="Arial"/>
          <w:sz w:val="20"/>
          <w:szCs w:val="20"/>
        </w:rPr>
        <w:t xml:space="preserve">Shift focus to underexplored dimensions of the topic when the debate becomes one-dimensional.</w:t>
      </w:r>
    </w:p>
    <w:p>
      <w:pPr>
        <w:spacing w:after="120" w:before="0"/>
      </w:pPr>
      <w:r>
        <w:t xml:space="preserve"/>
      </w:r>
    </w:p>
    <w:p>
      <w:pPr>
        <w:pStyle w:val="ListParagraph"/>
        <w:numPr>
          <w:ilvl w:val="0"/>
          <w:numId w:val="2"/>
        </w:numPr>
        <w:spacing w:after="60" w:before="60"/>
      </w:pPr>
      <w:r>
        <w:rPr>
          <w:rFonts w:ascii="Arial" w:cs="Arial" w:eastAsia="Arial" w:hAnsi="Arial"/>
          <w:b/>
          <w:bCs/>
          <w:sz w:val="22"/>
          <w:szCs w:val="22"/>
        </w:rPr>
        <w:t xml:space="preserve">Ratify: </w:t>
      </w:r>
      <w:r>
        <w:rPr>
          <w:rFonts w:ascii="Arial" w:cs="Arial" w:eastAsia="Arial" w:hAnsi="Arial"/>
          <w:sz w:val="22"/>
          <w:szCs w:val="22"/>
        </w:rPr>
        <w:t xml:space="preserve">Ratify the consensus</w:t>
      </w:r>
    </w:p>
    <w:p>
      <w:pPr>
        <w:pStyle w:val="ListParagraph"/>
        <w:numPr>
          <w:ilvl w:val="0"/>
          <w:numId w:val="3"/>
        </w:numPr>
        <w:spacing w:after="40" w:before="40"/>
      </w:pPr>
      <w:r>
        <w:rPr>
          <w:rFonts w:ascii="Arial" w:cs="Arial" w:eastAsia="Arial" w:hAnsi="Arial"/>
          <w:sz w:val="20"/>
          <w:szCs w:val="20"/>
        </w:rPr>
        <w:t xml:space="preserve">Draft and formally declare the final consensus statement at the conclusion of the debate.</w:t>
      </w:r>
    </w:p>
    <w:p>
      <w:pPr>
        <w:spacing w:after="120" w:before="0"/>
      </w:pPr>
      <w:r>
        <w:t xml:space="preserve"/>
      </w:r>
    </w:p>
    <w:p>
      <w:pPr>
        <w:pStyle w:val="Heading3"/>
        <w:spacing w:after="100" w:before="200"/>
      </w:pPr>
      <w:r>
        <w:rPr>
          <w:rFonts w:ascii="Arial" w:cs="Arial" w:eastAsia="Arial" w:hAnsi="Arial"/>
          <w:b/>
          <w:bCs/>
          <w:color w:val="1B3A6B"/>
          <w:sz w:val="22"/>
          <w:szCs w:val="22"/>
        </w:rPr>
        <w:t xml:space="preserve">Constraints on the Supreme Judge</w:t>
      </w:r>
    </w:p>
    <w:p>
      <w:pPr>
        <w:pStyle w:val="ListParagraph"/>
        <w:numPr>
          <w:ilvl w:val="0"/>
          <w:numId w:val="2"/>
        </w:numPr>
        <w:spacing w:after="60" w:before="60"/>
      </w:pPr>
      <w:r>
        <w:rPr>
          <w:rFonts w:ascii="Arial" w:cs="Arial" w:eastAsia="Arial" w:hAnsi="Arial"/>
          <w:sz w:val="22"/>
          <w:szCs w:val="22"/>
        </w:rPr>
        <w:t xml:space="preserve">Must not use power to advantage a particular team's position.</w:t>
      </w:r>
    </w:p>
    <w:p>
      <w:pPr>
        <w:pStyle w:val="ListParagraph"/>
        <w:numPr>
          <w:ilvl w:val="0"/>
          <w:numId w:val="2"/>
        </w:numPr>
        <w:spacing w:after="60" w:before="60"/>
      </w:pPr>
      <w:r>
        <w:rPr>
          <w:rFonts w:ascii="Arial" w:cs="Arial" w:eastAsia="Arial" w:hAnsi="Arial"/>
          <w:sz w:val="22"/>
          <w:szCs w:val="22"/>
        </w:rPr>
        <w:t xml:space="preserve">Must not silence participants for expressing unpopular but logically valid views.</w:t>
      </w:r>
    </w:p>
    <w:p>
      <w:pPr>
        <w:pStyle w:val="ListParagraph"/>
        <w:numPr>
          <w:ilvl w:val="0"/>
          <w:numId w:val="2"/>
        </w:numPr>
        <w:spacing w:after="60" w:before="60"/>
      </w:pPr>
      <w:r>
        <w:rPr>
          <w:rFonts w:ascii="Arial" w:cs="Arial" w:eastAsia="Arial" w:hAnsi="Arial"/>
          <w:sz w:val="22"/>
          <w:szCs w:val="22"/>
        </w:rPr>
        <w:t xml:space="preserve">Must justify penalties publicly so all parties understand the grounds.</w:t>
      </w:r>
    </w:p>
    <w:p>
      <w:pPr>
        <w:pStyle w:val="ListParagraph"/>
        <w:numPr>
          <w:ilvl w:val="0"/>
          <w:numId w:val="2"/>
        </w:numPr>
        <w:spacing w:after="60" w:before="60"/>
      </w:pPr>
      <w:r>
        <w:rPr>
          <w:rFonts w:ascii="Arial" w:cs="Arial" w:eastAsia="Arial" w:hAnsi="Arial"/>
          <w:sz w:val="22"/>
          <w:szCs w:val="22"/>
        </w:rPr>
        <w:t xml:space="preserve">Should model the intellectual standard they require from others.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DDEF"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On the Wisdom Requirement</w:t>
            </w:r>
          </w:p>
          <w:p>
            <w:pPr>
              <w:spacing w:after="0" w:before="0"/>
            </w:pPr>
            <w:r>
              <w:rPr>
                <w:rFonts w:ascii="Arial" w:cs="Arial" w:eastAsia="Arial" w:hAnsi="Arial"/>
                <w:sz w:val="21"/>
                <w:szCs w:val="21"/>
              </w:rPr>
              <w:t xml:space="preserve">The Supreme Judge role demands more than authority — it demands judgment. An unjust Supreme Judge will corrupt the consensus. The format's integrity depends on this role being filled by someone who can distinguish weak logic from unpopular opinion, and who governs with restraint.</w:t>
            </w:r>
          </w:p>
        </w:tc>
      </w:tr>
    </w:tbl>
    <w:p>
      <w:pPr>
        <w:spacing w:after="120" w:before="0"/>
      </w:pPr>
      <w:r>
        <w:t xml:space="preserve"/>
      </w:r>
    </w:p>
    <w:p>
      <w:pPr>
        <w:pStyle w:val="Heading1"/>
        <w:pBdr>
          <w:bottom w:val="single" w:color="1B3A6B" w:sz="8" w:space="4"/>
        </w:pBdr>
        <w:spacing w:after="180" w:before="360"/>
      </w:pPr>
      <w:r>
        <w:rPr>
          <w:rFonts w:ascii="Arial" w:cs="Arial" w:eastAsia="Arial" w:hAnsi="Arial"/>
          <w:b/>
          <w:bCs/>
          <w:color w:val="1B3A6B"/>
          <w:sz w:val="28"/>
          <w:szCs w:val="28"/>
        </w:rPr>
        <w:t xml:space="preserve">5. Competing Teams</w:t>
      </w:r>
    </w:p>
    <w:p>
      <w:pPr>
        <w:spacing w:after="120" w:before="0"/>
      </w:pPr>
      <w:r>
        <w:t xml:space="preserve"/>
      </w:r>
    </w:p>
    <w:p>
      <w:pPr>
        <w:pStyle w:val="Heading2"/>
        <w:spacing w:after="120" w:before="280"/>
      </w:pPr>
      <w:r>
        <w:rPr>
          <w:rFonts w:ascii="Arial" w:cs="Arial" w:eastAsia="Arial" w:hAnsi="Arial"/>
          <w:b/>
          <w:bCs/>
          <w:color w:val="C0392B"/>
          <w:sz w:val="24"/>
          <w:szCs w:val="24"/>
        </w:rPr>
        <w:t xml:space="preserve">5.1  Freedoms</w:t>
      </w:r>
    </w:p>
    <w:p>
      <w:pPr>
        <w:pStyle w:val="ListParagraph"/>
        <w:numPr>
          <w:ilvl w:val="0"/>
          <w:numId w:val="2"/>
        </w:numPr>
        <w:spacing w:after="60" w:before="60"/>
      </w:pPr>
      <w:r>
        <w:rPr>
          <w:rFonts w:ascii="Arial" w:cs="Arial" w:eastAsia="Arial" w:hAnsi="Arial"/>
          <w:sz w:val="22"/>
          <w:szCs w:val="22"/>
        </w:rPr>
        <w:t xml:space="preserve">Teams may access any external source of information during the debate — open internet, reference material, AI tools.</w:t>
      </w:r>
    </w:p>
    <w:p>
      <w:pPr>
        <w:pStyle w:val="ListParagraph"/>
        <w:numPr>
          <w:ilvl w:val="0"/>
          <w:numId w:val="2"/>
        </w:numPr>
        <w:spacing w:after="60" w:before="60"/>
      </w:pPr>
      <w:r>
        <w:rPr>
          <w:rFonts w:ascii="Arial" w:cs="Arial" w:eastAsia="Arial" w:hAnsi="Arial"/>
          <w:sz w:val="22"/>
          <w:szCs w:val="22"/>
        </w:rPr>
        <w:t xml:space="preserve">Team members may confer with each other at any time, including during other teams' arguments.</w:t>
      </w:r>
    </w:p>
    <w:p>
      <w:pPr>
        <w:pStyle w:val="ListParagraph"/>
        <w:numPr>
          <w:ilvl w:val="0"/>
          <w:numId w:val="2"/>
        </w:numPr>
        <w:spacing w:after="60" w:before="60"/>
      </w:pPr>
      <w:r>
        <w:rPr>
          <w:rFonts w:ascii="Arial" w:cs="Arial" w:eastAsia="Arial" w:hAnsi="Arial"/>
          <w:sz w:val="22"/>
          <w:szCs w:val="22"/>
        </w:rPr>
        <w:t xml:space="preserve">Teams may revise their position during the debate in response to evidence and arguments. Position updates are encouraged, not penalised.</w:t>
      </w:r>
    </w:p>
    <w:p>
      <w:pPr>
        <w:spacing w:after="120" w:before="0"/>
      </w:pPr>
      <w:r>
        <w:t xml:space="preserve"/>
      </w:r>
    </w:p>
    <w:p>
      <w:pPr>
        <w:pStyle w:val="Heading2"/>
        <w:spacing w:after="120" w:before="280"/>
      </w:pPr>
      <w:r>
        <w:rPr>
          <w:rFonts w:ascii="Arial" w:cs="Arial" w:eastAsia="Arial" w:hAnsi="Arial"/>
          <w:b/>
          <w:bCs/>
          <w:color w:val="C0392B"/>
          <w:sz w:val="24"/>
          <w:szCs w:val="24"/>
        </w:rPr>
        <w:t xml:space="preserve">5.2  Responsibilities</w:t>
      </w:r>
    </w:p>
    <w:p>
      <w:pPr>
        <w:pStyle w:val="ListParagraph"/>
        <w:numPr>
          <w:ilvl w:val="0"/>
          <w:numId w:val="2"/>
        </w:numPr>
        <w:spacing w:after="60" w:before="60"/>
      </w:pPr>
      <w:r>
        <w:rPr>
          <w:rFonts w:ascii="Arial" w:cs="Arial" w:eastAsia="Arial" w:hAnsi="Arial"/>
          <w:sz w:val="22"/>
          <w:szCs w:val="22"/>
        </w:rPr>
        <w:t xml:space="preserve">Teams must respond when called upon by the Judge Panel.</w:t>
      </w:r>
    </w:p>
    <w:p>
      <w:pPr>
        <w:pStyle w:val="ListParagraph"/>
        <w:numPr>
          <w:ilvl w:val="0"/>
          <w:numId w:val="2"/>
        </w:numPr>
        <w:spacing w:after="60" w:before="60"/>
      </w:pPr>
      <w:r>
        <w:rPr>
          <w:rFonts w:ascii="Arial" w:cs="Arial" w:eastAsia="Arial" w:hAnsi="Arial"/>
          <w:sz w:val="22"/>
          <w:szCs w:val="22"/>
        </w:rPr>
        <w:t xml:space="preserve">Teams must provide sourced or reasoned justifications — assertion alone is insufficient.</w:t>
      </w:r>
    </w:p>
    <w:p>
      <w:pPr>
        <w:pStyle w:val="ListParagraph"/>
        <w:numPr>
          <w:ilvl w:val="0"/>
          <w:numId w:val="2"/>
        </w:numPr>
        <w:spacing w:after="60" w:before="60"/>
      </w:pPr>
      <w:r>
        <w:rPr>
          <w:rFonts w:ascii="Arial" w:cs="Arial" w:eastAsia="Arial" w:hAnsi="Arial"/>
          <w:sz w:val="22"/>
          <w:szCs w:val="22"/>
        </w:rPr>
        <w:t xml:space="preserve">Teams must accept and acknowledge logic penalties when issued by the Supreme Judge.</w:t>
      </w:r>
    </w:p>
    <w:p>
      <w:pPr>
        <w:spacing w:after="120" w:before="0"/>
      </w:pPr>
      <w:r>
        <w:t xml:space="preserve"/>
      </w:r>
    </w:p>
    <w:p>
      <w:pPr>
        <w:pStyle w:val="Heading2"/>
        <w:spacing w:after="120" w:before="280"/>
      </w:pPr>
      <w:r>
        <w:rPr>
          <w:rFonts w:ascii="Arial" w:cs="Arial" w:eastAsia="Arial" w:hAnsi="Arial"/>
          <w:b/>
          <w:bCs/>
          <w:color w:val="C0392B"/>
          <w:sz w:val="24"/>
          <w:szCs w:val="24"/>
        </w:rPr>
        <w:t xml:space="preserve">5.3  Prohibitions</w:t>
      </w:r>
    </w:p>
    <w:p>
      <w:pPr>
        <w:pStyle w:val="ListParagraph"/>
        <w:numPr>
          <w:ilvl w:val="0"/>
          <w:numId w:val="2"/>
        </w:numPr>
        <w:spacing w:after="60" w:before="60"/>
      </w:pPr>
      <w:r>
        <w:rPr>
          <w:rFonts w:ascii="Arial" w:cs="Arial" w:eastAsia="Arial" w:hAnsi="Arial"/>
          <w:sz w:val="22"/>
          <w:szCs w:val="22"/>
        </w:rPr>
        <w:t xml:space="preserve">Teams may not contact, lobby, or signal to Observer Panels.</w:t>
      </w:r>
    </w:p>
    <w:p>
      <w:pPr>
        <w:pStyle w:val="ListParagraph"/>
        <w:numPr>
          <w:ilvl w:val="0"/>
          <w:numId w:val="2"/>
        </w:numPr>
        <w:spacing w:after="60" w:before="60"/>
      </w:pPr>
      <w:r>
        <w:rPr>
          <w:rFonts w:ascii="Arial" w:cs="Arial" w:eastAsia="Arial" w:hAnsi="Arial"/>
          <w:sz w:val="22"/>
          <w:szCs w:val="22"/>
        </w:rPr>
        <w:t xml:space="preserve">Teams may not interrupt the Judge Panel or each other outside of designated speaking turns.</w:t>
      </w:r>
    </w:p>
    <w:p>
      <w:pPr>
        <w:pStyle w:val="ListParagraph"/>
        <w:numPr>
          <w:ilvl w:val="0"/>
          <w:numId w:val="2"/>
        </w:numPr>
        <w:spacing w:after="60" w:before="60"/>
      </w:pPr>
      <w:r>
        <w:rPr>
          <w:rFonts w:ascii="Arial" w:cs="Arial" w:eastAsia="Arial" w:hAnsi="Arial"/>
          <w:sz w:val="22"/>
          <w:szCs w:val="22"/>
        </w:rPr>
        <w:t xml:space="preserve">Teams may not misrepresent sources — fabricated or distorted evidence is grounds for immediate penalty.</w:t>
      </w:r>
    </w:p>
    <w:p>
      <w:pPr>
        <w:spacing w:after="120" w:before="0"/>
      </w:pPr>
      <w:r>
        <w:t xml:space="preserve"/>
      </w:r>
    </w:p>
    <w:p>
      <w:pPr>
        <w:pStyle w:val="Heading1"/>
        <w:pBdr>
          <w:bottom w:val="single" w:color="1B3A6B" w:sz="8" w:space="4"/>
        </w:pBdr>
        <w:spacing w:after="180" w:before="360"/>
      </w:pPr>
      <w:r>
        <w:rPr>
          <w:rFonts w:ascii="Arial" w:cs="Arial" w:eastAsia="Arial" w:hAnsi="Arial"/>
          <w:b/>
          <w:bCs/>
          <w:color w:val="1B3A6B"/>
          <w:sz w:val="28"/>
          <w:szCs w:val="28"/>
        </w:rPr>
        <w:t xml:space="preserve">6. Debate Procedure</w:t>
      </w:r>
    </w:p>
    <w:p>
      <w:pPr>
        <w:spacing w:after="120" w:before="0"/>
      </w:pPr>
      <w:r>
        <w:t xml:space="preserve"/>
      </w:r>
    </w:p>
    <w:p>
      <w:pPr>
        <w:pStyle w:val="Heading2"/>
        <w:spacing w:after="120" w:before="280"/>
      </w:pPr>
      <w:r>
        <w:rPr>
          <w:rFonts w:ascii="Arial" w:cs="Arial" w:eastAsia="Arial" w:hAnsi="Arial"/>
          <w:b/>
          <w:bCs/>
          <w:color w:val="C0392B"/>
          <w:sz w:val="24"/>
          <w:szCs w:val="24"/>
        </w:rPr>
        <w:t xml:space="preserve">6.1  Phase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560"/>
        <w:gridCol w:w="1400"/>
      </w:tblGrid>
      <w:tr>
        <w:tc>
          <w:tcPr>
            <w:tcW w:type="dxa" w:w="1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Phase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Name</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Duration</w:t>
            </w:r>
          </w:p>
        </w:tc>
      </w:tr>
      <w:tr>
        <w:tc>
          <w:tcPr>
            <w:tcW w:type="dxa" w:w="1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0"/>
                <w:szCs w:val="20"/>
              </w:rPr>
              <w:t xml:space="preserve">0</w:t>
            </w:r>
          </w:p>
        </w:tc>
        <w:tc>
          <w:tcPr>
            <w:tcW w:type="dxa" w:w="2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Preparation</w:t>
            </w:r>
          </w:p>
        </w:tc>
        <w:tc>
          <w:tcPr>
            <w:tcW w:type="dxa" w:w="45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Teams receive the debate topic. Observer panels are briefed on their role (not the topic). Judge panel is constituted.</w:t>
            </w:r>
          </w:p>
        </w:tc>
        <w:tc>
          <w:tcPr>
            <w:tcW w:type="dxa" w:w="14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Pre-debate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Opening Positions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Each team presents their opening position on the topic. No interruptions permitted.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10–15 min each</w:t>
            </w:r>
          </w:p>
        </w:tc>
      </w:tr>
      <w:tr>
        <w:tc>
          <w:tcPr>
            <w:tcW w:type="dxa" w:w="1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First Inquisition</w:t>
            </w:r>
          </w:p>
        </w:tc>
        <w:tc>
          <w:tcPr>
            <w:tcW w:type="dxa" w:w="45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Judges interrogate Observer Panels on the opening positions. Observers signal and justify.</w:t>
            </w:r>
          </w:p>
        </w:tc>
        <w:tc>
          <w:tcPr>
            <w:tcW w:type="dxa" w:w="14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20–30 min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Team Response Round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Teams respond to what emerged in the First Inquisition. May update or reinforce position.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10 min each</w:t>
            </w:r>
          </w:p>
        </w:tc>
      </w:tr>
      <w:tr>
        <w:tc>
          <w:tcPr>
            <w:tcW w:type="dxa" w:w="1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Deep Inquisition</w:t>
            </w:r>
          </w:p>
        </w:tc>
        <w:tc>
          <w:tcPr>
            <w:tcW w:type="dxa" w:w="45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Judges raise specific contested points. Query both teams and observer panels. Supreme Judge may intervene.</w:t>
            </w:r>
          </w:p>
        </w:tc>
        <w:tc>
          <w:tcPr>
            <w:tcW w:type="dxa" w:w="14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30–45 min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Convergence Round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Teams identify points of potential agreement and remaining disagreement. Explicit consensus-building.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10–15 min each</w:t>
            </w:r>
          </w:p>
        </w:tc>
      </w:tr>
      <w:tr>
        <w:tc>
          <w:tcPr>
            <w:tcW w:type="dxa" w:w="1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Final Observer Pulse</w:t>
            </w:r>
          </w:p>
        </w:tc>
        <w:tc>
          <w:tcPr>
            <w:tcW w:type="dxa" w:w="45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Judges query observers on the current state of convergence — what has been resolved, what remains contested.</w:t>
            </w:r>
          </w:p>
        </w:tc>
        <w:tc>
          <w:tcPr>
            <w:tcW w:type="dxa" w:w="14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15–20 min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Consensus Ratification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Supreme Judge drafts and reads the consensus statement. Panels and teams may flag omissions. Supreme Judge finalises.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15–20 min</w:t>
            </w:r>
          </w:p>
        </w:tc>
      </w:tr>
    </w:tbl>
    <w:p>
      <w:pPr>
        <w:spacing w:after="120" w:before="0"/>
      </w:pPr>
      <w:r>
        <w:t xml:space="preserve"/>
      </w:r>
    </w:p>
    <w:p>
      <w:pPr>
        <w:pStyle w:val="Heading2"/>
        <w:spacing w:after="120" w:before="280"/>
      </w:pPr>
      <w:r>
        <w:rPr>
          <w:rFonts w:ascii="Arial" w:cs="Arial" w:eastAsia="Arial" w:hAnsi="Arial"/>
          <w:b/>
          <w:bCs/>
          <w:color w:val="C0392B"/>
          <w:sz w:val="24"/>
          <w:szCs w:val="24"/>
        </w:rPr>
        <w:t xml:space="preserve">6.2  Logic Penalty System</w:t>
      </w:r>
    </w:p>
    <w:p>
      <w:pPr>
        <w:spacing w:after="120" w:before="80"/>
      </w:pPr>
      <w:r>
        <w:rPr>
          <w:rFonts w:ascii="Arial" w:cs="Arial" w:eastAsia="Arial" w:hAnsi="Arial"/>
          <w:sz w:val="22"/>
          <w:szCs w:val="22"/>
        </w:rPr>
        <w:t xml:space="preserve">The logic penalty system is ICD's quality enforcement mechanism. It is not punitive in the traditional sense — its purpose is to signal to all participants that an argument does not meet the standard required for consensus inclusion.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268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Penalty Level</w:t>
            </w:r>
          </w:p>
        </w:tc>
        <w:tc>
          <w:tcPr>
            <w:tcW w:type="dxa" w:w="38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Grounds</w:t>
            </w:r>
          </w:p>
        </w:tc>
        <w:tc>
          <w:tcPr>
            <w:tcW w:type="dxa" w:w="2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Consequence</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Yellow — Caution</w:t>
            </w:r>
          </w:p>
        </w:tc>
        <w:tc>
          <w:tcPr>
            <w:tcW w:type="dxa" w:w="38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Weak reasoning, unsubstantiated claim, logical inconsistency</w:t>
            </w:r>
          </w:p>
        </w:tc>
        <w:tc>
          <w:tcPr>
            <w:tcW w:type="dxa" w:w="26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Public notice issued; argument flagged for re-examination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Orange — Strike</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Deliberate distortion, repeated fallacy, refusal to support claim</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Speaking restriction for one round; argument disqualified from consensus</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Red — Exclusion</w:t>
            </w:r>
          </w:p>
        </w:tc>
        <w:tc>
          <w:tcPr>
            <w:tcW w:type="dxa" w:w="38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Bad faith argumentation, fabricated evidence, continued violation after Orange</w:t>
            </w:r>
          </w:p>
        </w:tc>
        <w:tc>
          <w:tcPr>
            <w:tcW w:type="dxa" w:w="268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sz w:val="20"/>
                <w:szCs w:val="20"/>
              </w:rPr>
              <w:t xml:space="preserve">Participant removed from active debate for remainder of session</w:t>
            </w:r>
          </w:p>
        </w:tc>
      </w:tr>
    </w:tbl>
    <w:p>
      <w:pPr>
        <w:spacing w:after="120" w:before="0"/>
      </w:pPr>
      <w:r>
        <w:t xml:space="preserve"/>
      </w:r>
    </w:p>
    <w:p>
      <w:pPr>
        <w:pStyle w:val="Heading1"/>
        <w:pBdr>
          <w:bottom w:val="single" w:color="1B3A6B" w:sz="8" w:space="4"/>
        </w:pBdr>
        <w:spacing w:after="180" w:before="360"/>
      </w:pPr>
      <w:r>
        <w:rPr>
          <w:rFonts w:ascii="Arial" w:cs="Arial" w:eastAsia="Arial" w:hAnsi="Arial"/>
          <w:b/>
          <w:bCs/>
          <w:color w:val="1B3A6B"/>
          <w:sz w:val="28"/>
          <w:szCs w:val="28"/>
        </w:rPr>
        <w:t xml:space="preserve">7. The Consensus Output</w:t>
      </w:r>
    </w:p>
    <w:p>
      <w:pPr>
        <w:spacing w:after="120" w:before="80"/>
      </w:pPr>
      <w:r>
        <w:rPr>
          <w:rFonts w:ascii="Arial" w:cs="Arial" w:eastAsia="Arial" w:hAnsi="Arial"/>
          <w:sz w:val="22"/>
          <w:szCs w:val="22"/>
        </w:rPr>
        <w:t xml:space="preserve">The final product of every ICD session is a Consensus Statement — a written document produced by the Supreme Judge summarising:</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Points of full consensus: claims that both teams converged on and that observer panels broadly affirmed.</w:t>
      </w:r>
    </w:p>
    <w:p>
      <w:pPr>
        <w:pStyle w:val="ListParagraph"/>
        <w:numPr>
          <w:ilvl w:val="0"/>
          <w:numId w:val="2"/>
        </w:numPr>
        <w:spacing w:after="60" w:before="60"/>
      </w:pPr>
      <w:r>
        <w:rPr>
          <w:rFonts w:ascii="Arial" w:cs="Arial" w:eastAsia="Arial" w:hAnsi="Arial"/>
          <w:sz w:val="22"/>
          <w:szCs w:val="22"/>
        </w:rPr>
        <w:t xml:space="preserve">Points of partial consensus: areas of significant but not universal agreement, with the nature of the remaining disagreement noted.</w:t>
      </w:r>
    </w:p>
    <w:p>
      <w:pPr>
        <w:pStyle w:val="ListParagraph"/>
        <w:numPr>
          <w:ilvl w:val="0"/>
          <w:numId w:val="2"/>
        </w:numPr>
        <w:spacing w:after="60" w:before="60"/>
      </w:pPr>
      <w:r>
        <w:rPr>
          <w:rFonts w:ascii="Arial" w:cs="Arial" w:eastAsia="Arial" w:hAnsi="Arial"/>
          <w:sz w:val="22"/>
          <w:szCs w:val="22"/>
        </w:rPr>
        <w:t xml:space="preserve">Unresolved points: areas where no meaningful convergence was reached, with the core of the disagreement preserved for future discourse.</w:t>
      </w:r>
    </w:p>
    <w:p>
      <w:pPr>
        <w:pStyle w:val="ListParagraph"/>
        <w:numPr>
          <w:ilvl w:val="0"/>
          <w:numId w:val="2"/>
        </w:numPr>
        <w:spacing w:after="60" w:before="60"/>
      </w:pPr>
      <w:r>
        <w:rPr>
          <w:rFonts w:ascii="Arial" w:cs="Arial" w:eastAsia="Arial" w:hAnsi="Arial"/>
          <w:sz w:val="22"/>
          <w:szCs w:val="22"/>
        </w:rPr>
        <w:t xml:space="preserve">Penalised arguments: a record of any arguments formally struck from consensus consideration, and why.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DDEF"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The Consensus Statement is not a victory declaration.</w:t>
            </w:r>
          </w:p>
          <w:p>
            <w:pPr>
              <w:spacing w:after="0" w:before="0"/>
            </w:pPr>
            <w:r>
              <w:rPr>
                <w:rFonts w:ascii="Arial" w:cs="Arial" w:eastAsia="Arial" w:hAnsi="Arial"/>
                <w:sz w:val="21"/>
                <w:szCs w:val="21"/>
              </w:rPr>
              <w:t xml:space="preserve">It is an honest record of where collective reasoning arrived. Partial consensus and documented disagreement are legitimate, valuable outcomes. Forcing false unanimity would betray the format's purpose.</w:t>
            </w:r>
          </w:p>
        </w:tc>
      </w:tr>
    </w:tbl>
    <w:p>
      <w:pPr>
        <w:spacing w:after="120" w:before="0"/>
      </w:pPr>
      <w:r>
        <w:t xml:space="preserve"/>
      </w:r>
    </w:p>
    <w:p>
      <w:pPr>
        <w:pStyle w:val="Heading1"/>
        <w:pBdr>
          <w:bottom w:val="single" w:color="1B3A6B" w:sz="8" w:space="4"/>
        </w:pBdr>
        <w:spacing w:after="180" w:before="360"/>
      </w:pPr>
      <w:r>
        <w:rPr>
          <w:rFonts w:ascii="Arial" w:cs="Arial" w:eastAsia="Arial" w:hAnsi="Arial"/>
          <w:b/>
          <w:bCs/>
          <w:color w:val="1B3A6B"/>
          <w:sz w:val="28"/>
          <w:szCs w:val="28"/>
        </w:rPr>
        <w:t xml:space="preserve">8. Suitable Topics for ICD</w:t>
      </w:r>
    </w:p>
    <w:p>
      <w:pPr>
        <w:spacing w:after="120" w:before="80"/>
      </w:pPr>
      <w:r>
        <w:rPr>
          <w:rFonts w:ascii="Arial" w:cs="Arial" w:eastAsia="Arial" w:hAnsi="Arial"/>
          <w:sz w:val="22"/>
          <w:szCs w:val="22"/>
        </w:rPr>
        <w:t xml:space="preserve">ICD is not suited for simple factual debates. It is designed for complex, contested topics where multiple perspectives contain genuine insight and where premature winner-declaring forecloses understanding.</w:t>
      </w:r>
    </w:p>
    <w:p>
      <w:pPr>
        <w:spacing w:after="120" w:before="0"/>
      </w:pPr>
      <w:r>
        <w:t xml:space="preserve"/>
      </w:r>
    </w:p>
    <w:p>
      <w:pPr>
        <w:pStyle w:val="Heading2"/>
        <w:spacing w:after="120" w:before="280"/>
      </w:pPr>
      <w:r>
        <w:rPr>
          <w:rFonts w:ascii="Arial" w:cs="Arial" w:eastAsia="Arial" w:hAnsi="Arial"/>
          <w:b/>
          <w:bCs/>
          <w:color w:val="C0392B"/>
          <w:sz w:val="24"/>
          <w:szCs w:val="24"/>
        </w:rPr>
        <w:t xml:space="preserve">ICD is well-suited for:</w:t>
      </w:r>
    </w:p>
    <w:p>
      <w:pPr>
        <w:pStyle w:val="ListParagraph"/>
        <w:numPr>
          <w:ilvl w:val="0"/>
          <w:numId w:val="2"/>
        </w:numPr>
        <w:spacing w:after="60" w:before="60"/>
      </w:pPr>
      <w:r>
        <w:rPr>
          <w:rFonts w:ascii="Arial" w:cs="Arial" w:eastAsia="Arial" w:hAnsi="Arial"/>
          <w:sz w:val="22"/>
          <w:szCs w:val="22"/>
        </w:rPr>
        <w:t xml:space="preserve">Policy and governance questions where tradeoffs are real and evidence is contested.</w:t>
      </w:r>
    </w:p>
    <w:p>
      <w:pPr>
        <w:pStyle w:val="ListParagraph"/>
        <w:numPr>
          <w:ilvl w:val="0"/>
          <w:numId w:val="2"/>
        </w:numPr>
        <w:spacing w:after="60" w:before="60"/>
      </w:pPr>
      <w:r>
        <w:rPr>
          <w:rFonts w:ascii="Arial" w:cs="Arial" w:eastAsia="Arial" w:hAnsi="Arial"/>
          <w:sz w:val="22"/>
          <w:szCs w:val="22"/>
        </w:rPr>
        <w:t xml:space="preserve">Ethical dilemmas where multiple frameworks lead to different but defensible conclusions.</w:t>
      </w:r>
    </w:p>
    <w:p>
      <w:pPr>
        <w:pStyle w:val="ListParagraph"/>
        <w:numPr>
          <w:ilvl w:val="0"/>
          <w:numId w:val="2"/>
        </w:numPr>
        <w:spacing w:after="60" w:before="60"/>
      </w:pPr>
      <w:r>
        <w:rPr>
          <w:rFonts w:ascii="Arial" w:cs="Arial" w:eastAsia="Arial" w:hAnsi="Arial"/>
          <w:sz w:val="22"/>
          <w:szCs w:val="22"/>
        </w:rPr>
        <w:t xml:space="preserve">Scientific or technical questions where evidence is emerging or methodology is disputed.</w:t>
      </w:r>
    </w:p>
    <w:p>
      <w:pPr>
        <w:pStyle w:val="ListParagraph"/>
        <w:numPr>
          <w:ilvl w:val="0"/>
          <w:numId w:val="2"/>
        </w:numPr>
        <w:spacing w:after="60" w:before="60"/>
      </w:pPr>
      <w:r>
        <w:rPr>
          <w:rFonts w:ascii="Arial" w:cs="Arial" w:eastAsia="Arial" w:hAnsi="Arial"/>
          <w:sz w:val="22"/>
          <w:szCs w:val="22"/>
        </w:rPr>
        <w:t xml:space="preserve">Institutional decisions that affect diverse stakeholders with legitimate competing interests.</w:t>
      </w:r>
    </w:p>
    <w:p>
      <w:pPr>
        <w:spacing w:after="120" w:before="0"/>
      </w:pPr>
      <w:r>
        <w:t xml:space="preserve"/>
      </w:r>
    </w:p>
    <w:p>
      <w:pPr>
        <w:pStyle w:val="Heading2"/>
        <w:spacing w:after="120" w:before="280"/>
      </w:pPr>
      <w:r>
        <w:rPr>
          <w:rFonts w:ascii="Arial" w:cs="Arial" w:eastAsia="Arial" w:hAnsi="Arial"/>
          <w:b/>
          <w:bCs/>
          <w:color w:val="C0392B"/>
          <w:sz w:val="24"/>
          <w:szCs w:val="24"/>
        </w:rPr>
        <w:t xml:space="preserve">ICD is not suited for:</w:t>
      </w:r>
    </w:p>
    <w:p>
      <w:pPr>
        <w:pStyle w:val="ListParagraph"/>
        <w:numPr>
          <w:ilvl w:val="0"/>
          <w:numId w:val="2"/>
        </w:numPr>
        <w:spacing w:after="60" w:before="60"/>
      </w:pPr>
      <w:r>
        <w:rPr>
          <w:rFonts w:ascii="Arial" w:cs="Arial" w:eastAsia="Arial" w:hAnsi="Arial"/>
          <w:sz w:val="22"/>
          <w:szCs w:val="22"/>
        </w:rPr>
        <w:t xml:space="preserve">Binary factual questions with verifiable answers — use a fact-finding process instead.</w:t>
      </w:r>
    </w:p>
    <w:p>
      <w:pPr>
        <w:pStyle w:val="ListParagraph"/>
        <w:numPr>
          <w:ilvl w:val="0"/>
          <w:numId w:val="2"/>
        </w:numPr>
        <w:spacing w:after="60" w:before="60"/>
      </w:pPr>
      <w:r>
        <w:rPr>
          <w:rFonts w:ascii="Arial" w:cs="Arial" w:eastAsia="Arial" w:hAnsi="Arial"/>
          <w:sz w:val="22"/>
          <w:szCs w:val="22"/>
        </w:rPr>
        <w:t xml:space="preserve">Topics where one position is demonstrably harmful — ICD does not lend false legitimacy to bad-faith positions.</w:t>
      </w:r>
    </w:p>
    <w:p>
      <w:pPr>
        <w:pStyle w:val="ListParagraph"/>
        <w:numPr>
          <w:ilvl w:val="0"/>
          <w:numId w:val="2"/>
        </w:numPr>
        <w:spacing w:after="60" w:before="60"/>
      </w:pPr>
      <w:r>
        <w:rPr>
          <w:rFonts w:ascii="Arial" w:cs="Arial" w:eastAsia="Arial" w:hAnsi="Arial"/>
          <w:sz w:val="22"/>
          <w:szCs w:val="22"/>
        </w:rPr>
        <w:t xml:space="preserve">Contexts requiring a single winner or ranked outcome — use a standard debate format.</w:t>
      </w:r>
    </w:p>
    <w:p>
      <w:pPr>
        <w:spacing w:after="120" w:before="0"/>
      </w:pPr>
      <w:r>
        <w:t xml:space="preserve"/>
      </w:r>
    </w:p>
    <w:p>
      <w:pPr>
        <w:pStyle w:val="Heading1"/>
        <w:pBdr>
          <w:bottom w:val="single" w:color="1B3A6B" w:sz="8" w:space="4"/>
        </w:pBdr>
        <w:spacing w:after="180" w:before="360"/>
      </w:pPr>
      <w:r>
        <w:rPr>
          <w:rFonts w:ascii="Arial" w:cs="Arial" w:eastAsia="Arial" w:hAnsi="Arial"/>
          <w:b/>
          <w:bCs/>
          <w:color w:val="1B3A6B"/>
          <w:sz w:val="28"/>
          <w:szCs w:val="28"/>
        </w:rPr>
        <w:t xml:space="preserve">9. Quick Reference Card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Element</w:t>
            </w:r>
          </w:p>
        </w:tc>
        <w:tc>
          <w:tcPr>
            <w:tcW w:type="dxa" w:w="7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Summary</w:t>
            </w:r>
          </w:p>
        </w:tc>
      </w:tr>
      <w:tr>
        <w:tc>
          <w:tcPr>
            <w:tcW w:type="dxa" w:w="20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0"/>
                <w:szCs w:val="20"/>
              </w:rPr>
              <w:t xml:space="preserve">Goal</w:t>
            </w:r>
          </w:p>
        </w:tc>
        <w:tc>
          <w:tcPr>
            <w:tcW w:type="dxa" w:w="73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Build consensus, not declare a winner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Teams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2 teams, full resource freedom, no observer contact</w:t>
            </w:r>
          </w:p>
        </w:tc>
      </w:tr>
      <w:tr>
        <w:tc>
          <w:tcPr>
            <w:tcW w:type="dxa" w:w="20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0"/>
                <w:szCs w:val="20"/>
              </w:rPr>
              <w:t xml:space="preserve">Observers</w:t>
            </w:r>
          </w:p>
        </w:tc>
        <w:tc>
          <w:tcPr>
            <w:tcW w:type="dxa" w:w="73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2 panels, query-only, no self-initiation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Judges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Interrogate observers and teams, direct debate flow</w:t>
            </w:r>
          </w:p>
        </w:tc>
      </w:tr>
      <w:tr>
        <w:tc>
          <w:tcPr>
            <w:tcW w:type="dxa" w:w="20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0"/>
                <w:szCs w:val="20"/>
              </w:rPr>
              <w:t xml:space="preserve">Supreme Judge</w:t>
            </w:r>
          </w:p>
        </w:tc>
        <w:tc>
          <w:tcPr>
            <w:tcW w:type="dxa" w:w="73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Full authority, wisdom-dependent, ratifies final consensus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Penalties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Yellow / Orange / Red — logic-based, publicly justified</w:t>
            </w:r>
          </w:p>
        </w:tc>
      </w:tr>
      <w:tr>
        <w:tc>
          <w:tcPr>
            <w:tcW w:type="dxa" w:w="20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0"/>
                <w:szCs w:val="20"/>
              </w:rPr>
              <w:t xml:space="preserve">Output</w:t>
            </w:r>
          </w:p>
        </w:tc>
        <w:tc>
          <w:tcPr>
            <w:tcW w:type="dxa" w:w="73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0"/>
                <w:szCs w:val="20"/>
              </w:rPr>
              <w:t xml:space="preserve">Written Consensus Statement with full / partial / unresolved areas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Unique Feature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Observer Panel as queryable independent intelligence layer</w:t>
            </w:r>
          </w:p>
        </w:tc>
      </w:tr>
    </w:tbl>
    <w:p>
      <w:pPr>
        <w:spacing w:after="120" w:before="0"/>
      </w:pPr>
      <w:r>
        <w:t xml:space="preserve"/>
      </w:r>
    </w:p>
    <w:p>
      <w:pPr>
        <w:spacing w:after="120" w:before="0"/>
      </w:pPr>
      <w:r>
        <w:t xml:space="preserve"/>
      </w:r>
    </w:p>
    <w:p>
      <w:pPr>
        <w:spacing w:after="0" w:before="200"/>
        <w:jc w:val="center"/>
      </w:pPr>
      <w:r>
        <w:rPr>
          <w:rFonts w:ascii="Arial" w:cs="Arial" w:eastAsia="Arial" w:hAnsi="Arial"/>
          <w:i/>
          <w:iCs/>
          <w:color w:val="888888"/>
          <w:sz w:val="20"/>
          <w:szCs w:val="20"/>
        </w:rPr>
        <w:t xml:space="preserve">— End of ICD Framework Document, Version 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tabs>
        <w:tab w:val="right" w:pos="9026"/>
      </w:tabs>
      <w:spacing w:after="0" w:before="120"/>
    </w:pPr>
    <w:r>
      <w:rPr>
        <w:rFonts w:ascii="Arial" w:cs="Arial" w:eastAsia="Arial" w:hAnsi="Arial"/>
        <w:color w:val="888888"/>
        <w:sz w:val="18"/>
        <w:szCs w:val="18"/>
      </w:rPr>
      <w:t xml:space="preserve">© ICD Format — MD. KAIF AL TAHSIN</w:t>
    </w:r>
    <w:r>
      <w:rPr>
        <w:rFonts w:ascii="Arial" w:cs="Arial" w:eastAsia="Arial" w:hAnsi="Arial"/>
        <w:sz w:val="18"/>
        <w:szCs w:val="18"/>
      </w:rPr>
      <w:t xml:space="preserve">	</w:t>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spacing w:after="120" w:before="0"/>
    </w:pPr>
    <w:r>
      <w:rPr>
        <w:rFonts w:ascii="Arial" w:cs="Arial" w:eastAsia="Arial" w:hAnsi="Arial"/>
        <w:b/>
        <w:bCs/>
        <w:color w:val="1B3A6B"/>
        <w:sz w:val="18"/>
        <w:szCs w:val="18"/>
      </w:rPr>
      <w:t xml:space="preserve">Inquisitorial Consensus Debate (ICD)</w:t>
    </w:r>
    <w:r>
      <w:rPr>
        <w:rFonts w:ascii="Arial" w:cs="Arial" w:eastAsia="Arial" w:hAnsi="Arial"/>
        <w:color w:val="888888"/>
        <w:sz w:val="18"/>
        <w:szCs w:val="18"/>
      </w:rPr>
      <w:t xml:space="preserve">   |   Formal Framework &amp; Ruleset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C0392B"/>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2026-05-21T05:59:19.819Z</dcterms:created>
  <dcterms:modified xsi:type="dcterms:W3CDTF">2026-05-21T05:59:19.834Z</dcterms:modified>
</cp:coreProperties>
</file>

<file path=docProps/custom.xml><?xml version="1.0" encoding="utf-8"?>
<Properties xmlns="http://schemas.openxmlformats.org/officeDocument/2006/custom-properties" xmlns:vt="http://schemas.openxmlformats.org/officeDocument/2006/docPropsVTypes"/>
</file>