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8D10" w14:textId="2B1D7DCA" w:rsidR="00906EDA" w:rsidRDefault="00EE616A"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6F7FE8" wp14:editId="0A2857D8">
                <wp:simplePos x="0" y="0"/>
                <wp:positionH relativeFrom="column">
                  <wp:posOffset>0</wp:posOffset>
                </wp:positionH>
                <wp:positionV relativeFrom="paragraph">
                  <wp:posOffset>32385</wp:posOffset>
                </wp:positionV>
                <wp:extent cx="5943600" cy="3141345"/>
                <wp:effectExtent l="0" t="0" r="12700" b="8255"/>
                <wp:wrapThrough wrapText="bothSides">
                  <wp:wrapPolygon edited="0">
                    <wp:start x="0" y="0"/>
                    <wp:lineTo x="0" y="21569"/>
                    <wp:lineTo x="21600" y="21569"/>
                    <wp:lineTo x="21600" y="0"/>
                    <wp:lineTo x="0" y="0"/>
                  </wp:wrapPolygon>
                </wp:wrapThrough>
                <wp:docPr id="11044216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141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852F2" w14:textId="77777777" w:rsidR="00EE616A" w:rsidRDefault="00EE616A" w:rsidP="00EE616A">
                            <w:r w:rsidRPr="00273583">
                              <w:rPr>
                                <w:noProof/>
                              </w:rPr>
                              <w:drawing>
                                <wp:inline distT="0" distB="0" distL="0" distR="0" wp14:anchorId="1C71E6ED" wp14:editId="4CEA7F1C">
                                  <wp:extent cx="5340018" cy="2214154"/>
                                  <wp:effectExtent l="0" t="0" r="0" b="0"/>
                                  <wp:docPr id="3821477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214774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40018" cy="22141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9D2C523" w14:textId="5751A69C" w:rsidR="00EE616A" w:rsidRPr="00273583" w:rsidRDefault="00EE616A" w:rsidP="00EE616A">
                            <w:pPr>
                              <w:spacing w:line="240" w:lineRule="auto"/>
                              <w:contextualSpacing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73583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Figure </w:t>
                            </w:r>
                            <w:r w:rsidR="00092556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 (response to </w:t>
                            </w:r>
                            <w:r w:rsidR="009569FA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r</w:t>
                            </w:r>
                            <w:r w:rsidR="00092556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eviewer </w:t>
                            </w:r>
                            <w:r w:rsidR="009569FA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#</w:t>
                            </w:r>
                            <w:r w:rsidR="00092556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4)</w:t>
                            </w:r>
                            <w:r w:rsidRPr="0027358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. Boxplots of cell percentage between EFE and age-matched control group (CTRL).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A. Cell percentage difference between EFE and CTRL groups for each cell type. B. Cell percentage in EFE and CTRL groups for each cell type and EC subtypes. Asterisks indicate significant (</w:t>
                            </w:r>
                            <w:r w:rsidRPr="00273583">
                              <w:rPr>
                                <w:rFonts w:ascii="Arial" w:hAnsi="Arial" w:cs="Arial"/>
                                <w:i/>
                                <w:iCs/>
                                <w:sz w:val="18"/>
                                <w:szCs w:val="18"/>
                              </w:rPr>
                              <w:t>FDR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&lt;0.05) overabundance of a cell type in EFE compared to all other control groups. </w:t>
                            </w:r>
                            <w:r w:rsidRPr="00BB20A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We used FDR threshold to infer significance to account for multiple testing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BB20A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Each dot represents a replicate subject.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F7F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.55pt;width:468pt;height:24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" fillcolor="white [3201]" strokeweight=".5pt">
                <v:textbox>
                  <w:txbxContent>
                    <w:p w14:paraId="063852F2" w14:textId="77777777" w:rsidR="00EE616A" w:rsidRDefault="00EE616A" w:rsidP="00EE616A">
                      <w:r w:rsidRPr="00273583">
                        <w:rPr>
                          <w:noProof/>
                        </w:rPr>
                        <w:drawing>
                          <wp:inline distT="0" distB="0" distL="0" distR="0" wp14:anchorId="1C71E6ED" wp14:editId="4CEA7F1C">
                            <wp:extent cx="5340018" cy="2214154"/>
                            <wp:effectExtent l="0" t="0" r="0" b="0"/>
                            <wp:docPr id="3821477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214774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40018" cy="22141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9D2C523" w14:textId="5751A69C" w:rsidR="00EE616A" w:rsidRPr="00273583" w:rsidRDefault="00EE616A" w:rsidP="00EE616A">
                      <w:pPr>
                        <w:spacing w:line="240" w:lineRule="auto"/>
                        <w:contextualSpacing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73583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Figure </w:t>
                      </w:r>
                      <w:r w:rsidR="00092556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E (response to </w:t>
                      </w:r>
                      <w:r w:rsidR="009569FA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r</w:t>
                      </w:r>
                      <w:r w:rsidR="00092556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eviewer </w:t>
                      </w:r>
                      <w:r w:rsidR="009569FA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#</w:t>
                      </w:r>
                      <w:r w:rsidR="00092556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4)</w:t>
                      </w:r>
                      <w:r w:rsidRPr="00273583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. Boxplots of cell percentage between EFE and age-matched control group (CTRL).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A. Cell percentage difference between EFE and CTRL groups for each cell type. B. Cell percentage in EFE and CTRL groups for each cell type and EC subtypes. Asterisks indicate significant (</w:t>
                      </w:r>
                      <w:r w:rsidRPr="00273583">
                        <w:rPr>
                          <w:rFonts w:ascii="Arial" w:hAnsi="Arial" w:cs="Arial"/>
                          <w:i/>
                          <w:iCs/>
                          <w:sz w:val="18"/>
                          <w:szCs w:val="18"/>
                        </w:rPr>
                        <w:t>FDR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&lt;0.05) overabundance of a cell type in EFE compared to all other control groups. </w:t>
                      </w:r>
                      <w:r w:rsidRPr="00BB20A8">
                        <w:rPr>
                          <w:rFonts w:ascii="Arial" w:hAnsi="Arial" w:cs="Arial"/>
                          <w:sz w:val="18"/>
                          <w:szCs w:val="18"/>
                        </w:rPr>
                        <w:t>We used FDR threshold to infer significance to account for multiple testing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.</w:t>
                      </w:r>
                      <w:r w:rsidRPr="00BB20A8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Each dot represents a replicate subject.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906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6A"/>
    <w:rsid w:val="00092556"/>
    <w:rsid w:val="00156D35"/>
    <w:rsid w:val="001C17A9"/>
    <w:rsid w:val="003D7EA3"/>
    <w:rsid w:val="00906EDA"/>
    <w:rsid w:val="009569FA"/>
    <w:rsid w:val="00BF2420"/>
    <w:rsid w:val="00E0503F"/>
    <w:rsid w:val="00E57B82"/>
    <w:rsid w:val="00EE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98B94"/>
  <w15:chartTrackingRefBased/>
  <w15:docId w15:val="{08D35933-1899-FB42-9C19-07652B6A2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16A"/>
  </w:style>
  <w:style w:type="paragraph" w:styleId="Heading1">
    <w:name w:val="heading 1"/>
    <w:basedOn w:val="Normal"/>
    <w:next w:val="Normal"/>
    <w:link w:val="Heading1Char"/>
    <w:uiPriority w:val="9"/>
    <w:qFormat/>
    <w:rsid w:val="00EE6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Yang</dc:creator>
  <cp:keywords/>
  <dc:description/>
  <cp:lastModifiedBy>Yu, Yang</cp:lastModifiedBy>
  <cp:revision>3</cp:revision>
  <dcterms:created xsi:type="dcterms:W3CDTF">2026-03-05T23:05:00Z</dcterms:created>
  <dcterms:modified xsi:type="dcterms:W3CDTF">2026-03-05T23:07:00Z</dcterms:modified>
</cp:coreProperties>
</file>