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Проверка отчёта по источникам-гиперссылкам</w:t>
      </w:r>
    </w:p>
    <w:p>
      <w:r>
        <w:t>Файл проверки: «Отчет_АВТ-343 (3).docx» (отчёт по учебной практике, тема «Методы снижения размерности»). Каждый абзац со ссылкой [1]–[16] сверен с текстом статьи/книги/страницы документации, на которую ведёт гиперссылка. Если утверждение не совпадало с источником, оно заменено на то, что написано в источнике; рядом указана страница источника и цитата.</w:t>
      </w:r>
    </w:p>
    <w:p>
      <w:r>
        <w:t>Итого абзацев: 191. Совпало (исправлены только номера страниц): 74. Исправлено частично: 47. Не совпадало, заменено текстом источника: 66. Удалено (подтвердить нечем): 4.</w:t>
      </w:r>
    </w:p>
    <w:p>
      <w:pPr>
        <w:pStyle w:val="Heading1"/>
      </w:pPr>
      <w:r>
        <w:t>Как читать номера страниц</w:t>
      </w:r>
    </w:p>
    <w:p>
      <w:pPr>
        <w:pStyle w:val="ListBullet"/>
      </w:pPr>
      <w:r>
        <w:t>[1] van der Maaten и др. (2009): номер страницы — по нумерации статьи (в PDF-файле страница на 1 больше: у PDF есть титульный лист).</w:t>
      </w:r>
    </w:p>
    <w:p>
      <w:pPr>
        <w:pStyle w:val="ListBullet"/>
      </w:pPr>
      <w:r>
        <w:t>[2] Jolliffe (2002): нумерация книги; в PDF-файле на сайте uu.nl номер страницы на 31 больше (например, с. 112 книги = стр. 143 PDF).</w:t>
      </w:r>
    </w:p>
    <w:p>
      <w:pPr>
        <w:pStyle w:val="ListBullet"/>
      </w:pPr>
      <w:r>
        <w:t>[3] Fisher (1936): нумерация журнала (Annals of Eugenics, 7, 179–188).</w:t>
      </w:r>
    </w:p>
    <w:p>
      <w:pPr>
        <w:pStyle w:val="ListBullet"/>
      </w:pPr>
      <w:r>
        <w:t>[5], [6], [7], [9]: нумерация журналов (Science 290, 2319–2326; JMLR 9, 2579–2605; Science 313, 504–507).</w:t>
      </w:r>
    </w:p>
    <w:p>
      <w:pPr>
        <w:pStyle w:val="ListBullet"/>
      </w:pPr>
      <w:r>
        <w:t>[4] Meulman: страницы заметки (1–4), в PDF совпадают.</w:t>
      </w:r>
    </w:p>
    <w:p>
      <w:pPr>
        <w:pStyle w:val="ListBullet"/>
      </w:pPr>
      <w:r>
        <w:t>[8] UMAP и [10] Kingma–Welling: страницы arXiv-версий (UMAP v3, 64 с.; VAE v11).</w:t>
      </w:r>
    </w:p>
    <w:p>
      <w:pPr>
        <w:pStyle w:val="Heading1"/>
      </w:pPr>
      <w:r>
        <w:t>Ограничения проверки</w:t>
      </w:r>
    </w:p>
    <w:p>
      <w:pPr>
        <w:pStyle w:val="ListBullet"/>
      </w:pPr>
      <w:r>
        <w:t>[4] Kruskal (1964) платная, поэтому ссылка [4] заменена на свободно доступную заметку Meulman J. J. «Nonmetric multidimensional scaling» (Psychometrika Society, 4 с.), посвящённую именно этим статьям Kruskal: в ней есть определение MDS, формула классического MDS S = −½JΔ²J, идея неметрического MDS и функция потерь stress (с. 1–3). Формулы классического MDS дополнительно подтверждены обзором [1] и статьёй [6]. Полный текст самой статьи Kruskal не использовался.</w:t>
      </w:r>
    </w:p>
    <w:p>
      <w:pPr>
        <w:pStyle w:val="ListBullet"/>
      </w:pPr>
      <w:r>
        <w:t>Полные тексты [3], [5], [6], [9] открыты по свободным копиям (Fisher — репозиторий Rothamsted; Roweis–Saul — копия на ccs.neu.edu; Tenenbaum и др. — копия на gatech.edu; Hinton–Salakhutdinov — копия на cs.toronto.edu). Это те же статьи с теми же страницами, что и по DOI-ссылкам (доступ по DOI закрыт paywall).</w:t>
      </w:r>
    </w:p>
    <w:p>
      <w:pPr>
        <w:pStyle w:val="ListBullet"/>
      </w:pPr>
      <w:r>
        <w:t>Ссылки [11]–[16] ведут на страницы документации scikit-learn: у них нет страниц, сверка выполнена по тексту страниц (версия документации 1.9.1).</w:t>
      </w:r>
    </w:p>
    <w:p>
      <w:pPr>
        <w:pStyle w:val="ListBullet"/>
      </w:pPr>
      <w:r>
        <w:t>Оглавление в начале отчёта набрано вручную; после правок объём текста изменился, поэтому номера страниц в оглавлении нужно обновить в Word.</w:t>
      </w:r>
    </w:p>
    <w:p>
      <w:pPr>
        <w:pStyle w:val="Heading1"/>
      </w:pPr>
      <w:r>
        <w:t>Самые существенные расхождения</w:t>
      </w:r>
    </w:p>
    <w:p>
      <w:pPr>
        <w:pStyle w:val="ListBullet"/>
      </w:pPr>
      <w:r>
        <w:t>PCA, доля объяснённой дисперсии: в тексте «например, 95 %», в книге Jolliffe «say 80% or 90%», разумный порог 70–90 % (с. 112–113).</w:t>
      </w:r>
    </w:p>
    <w:p>
      <w:pPr>
        <w:pStyle w:val="ListBullet"/>
      </w:pPr>
      <w:r>
        <w:t>LDA: матрица S_B, отношение Рэлея, обобщённая задача на собственные значения и «не более C−1 осей» в статье Фишера 1936 г. отсутствуют. У Фишера — два вида, критерий D²/S и система уравнений Σ S_pq λ_q = d_p (с. 179–182).</w:t>
      </w:r>
    </w:p>
    <w:p>
      <w:pPr>
        <w:pStyle w:val="ListBullet"/>
      </w:pPr>
      <w:r>
        <w:t>MDS: ссылка [4] на платную статью Kruskal заменена на свободную заметку Meulman о ней. Формулы классического MDS и идея неметрического MDS подтверждены заметкой (с. 1–3), обзором [1] (с. 3–4) и статьёй [6] (с. 2319, 2322); «взвешенное MDS» в источниках не упоминается — заменено функцией потерь stress.</w:t>
      </w:r>
    </w:p>
    <w:p>
      <w:pPr>
        <w:pStyle w:val="ListBullet"/>
      </w:pPr>
      <w:r>
        <w:t>SVD: в книге разложение записано в экономной форме (U — n×r, L — r×r, A — p×r), а не как «унитарные матрицы n×n и m×m» (с. 44). Утверждения про SVD++, решение линейных систем, «связь с LDA и MDS» в разделе 3.5 книги отсутствуют.</w:t>
      </w:r>
    </w:p>
    <w:p>
      <w:pPr>
        <w:pStyle w:val="ListBullet"/>
      </w:pPr>
      <w:r>
        <w:t>t-SNE: скорость обучения в статье 100 (в тексте 200), число итераций 1000 (в тексте 1000–5000), инициализация случайная N(0,10⁻⁴I), а не PCA (PCA используется лишь для предварительного снижения до 30 измерений), perplexity в экспериментах 40 (с. 2587–2589). Утверждение «не сохраняет глобальную структуру» не подтверждено — авторы пишут, что t-SNE показывает и глобальную структуру (с. 2580).</w:t>
      </w:r>
    </w:p>
    <w:p>
      <w:pPr>
        <w:pStyle w:val="ListBullet"/>
      </w:pPr>
      <w:r>
        <w:t>UMAP: формула сходства в тексте записана с ошибкой (exp[(−d − ρ_i)/σ_i]); в статье exp(−max(0, d − ρ_i)/σ_i) (с. 15). Метод transform() в статье не описан — он назван направлением будущей работы (с. 50–51). Значение n_neighbors = 15 по умолчанию в статье не приводится.</w:t>
      </w:r>
    </w:p>
    <w:p>
      <w:pPr>
        <w:pStyle w:val="ListBullet"/>
      </w:pPr>
      <w:r>
        <w:t>Isomap: упоминание алгоритма Дейкстры и «чувствительности к шуму» в статье отсутствуют; в сноске 16 назван алгоритм Флойда (O(N³)), в сноске 18 — условие на размер окрестности (с. 2322).</w:t>
      </w:r>
    </w:p>
    <w:p>
      <w:pPr>
        <w:pStyle w:val="ListBullet"/>
      </w:pPr>
      <w:r>
        <w:t>LLE: «Hessian LLE более устойчива к шуму» не подтверждено; названия «Modified LLE» в статье нет — описана регуляризация весов (сноска 7, с. 2325–2326).</w:t>
      </w:r>
    </w:p>
    <w:p>
      <w:pPr>
        <w:pStyle w:val="ListBullet"/>
      </w:pPr>
      <w:r>
        <w:t>Автоэнкодеры: свёрточные/рекуррентные слои, «неупорядоченное латентное пространство», «дыры» в пространстве в статье Hinton–Salakhutdinov не обсуждаются; в статье названы трудность оптимизации глубоких автоэнкодеров и необходимость предобучения (с. 505, 507).</w:t>
      </w:r>
    </w:p>
    <w:p>
      <w:pPr>
        <w:pStyle w:val="ListBullet"/>
      </w:pPr>
      <w:r>
        <w:t>VAE: «размытые изображения из-за MSE/KL» и «гладкое непрерывное латентное пространство» в статье Kingma–Welling не сформулированы.</w:t>
      </w:r>
    </w:p>
    <w:p>
      <w:pPr>
        <w:pStyle w:val="Heading1"/>
      </w:pPr>
      <w:r>
        <w:t>Что не менялось, но вызывает вопросы</w:t>
      </w:r>
    </w:p>
    <w:p>
      <w:r>
        <w:t>В п. 4.4 («Интерпретация эксперимента») сказано, что «Isomap и LLE ориентированы на локальную геометрию многообразия». По статье [6] Isomap сохраняет глобальную геометрию многообразия (геодезические расстояния, с. 2319–2320), а локальную геометрию сохраняет LLE. Это место не имеет гиперссылки, поэтому в текст не вносилось.</w:t>
      </w:r>
    </w:p>
    <w:p>
      <w:pPr>
        <w:pStyle w:val="Heading1"/>
      </w:pPr>
      <w:r>
        <w:t>Таблица сверки</w:t>
      </w:r>
    </w:p>
    <w:p>
      <w:r>
        <w:t>Цвета: зелёный — совпадает; жёлтый — исправлено частично; оранжевый — заменено текстом источника; серый — удалено.</w:t>
      </w:r>
    </w:p>
    <w:p>
      <w:pPr>
        <w:pStyle w:val="Heading2"/>
      </w:pPr>
      <w:r>
        <w:t>1.2. Цели и задачи снижения размерности</w:t>
      </w:r>
    </w:p>
    <w:tbl>
      <w:tblPr>
        <w:tblStyle w:val="TableGrid"/>
        <w:tblW w:type="auto" w:w="0"/>
        <w:tblLook w:firstColumn="1" w:firstRow="1" w:lastColumn="0" w:lastRow="0" w:noHBand="0" w:noVBand="1" w:val="04A0"/>
      </w:tblPr>
      <w:tblGrid>
        <w:gridCol w:w="3535"/>
        <w:gridCol w:w="3535"/>
        <w:gridCol w:w="3535"/>
        <w:gridCol w:w="3535"/>
      </w:tblGrid>
      <w:tr>
        <w:tc>
          <w:tcPr>
            <w:tcW w:type="dxa" w:w="3515"/>
            <w:shd w:val="clear" w:color="auto" w:fill="BFBFBF"/>
          </w:tcPr>
          <w:p>
            <w:pPr>
              <w:spacing w:after="40"/>
            </w:pPr>
            <w:r>
              <w:rPr>
                <w:b/>
                <w:i w:val="0"/>
                <w:sz w:val="18"/>
              </w:rPr>
              <w:t>Было в отчёте</w:t>
            </w:r>
          </w:p>
        </w:tc>
        <w:tc>
          <w:tcPr>
            <w:tcW w:type="dxa" w:w="1474"/>
            <w:shd w:val="clear" w:color="auto" w:fill="BFBFBF"/>
          </w:tcPr>
          <w:p>
            <w:pPr>
              <w:spacing w:after="40"/>
            </w:pPr>
            <w:r>
              <w:rPr>
                <w:b/>
                <w:i w:val="0"/>
                <w:sz w:val="18"/>
              </w:rPr>
              <w:t>Статус</w:t>
            </w:r>
          </w:p>
        </w:tc>
        <w:tc>
          <w:tcPr>
            <w:tcW w:type="dxa" w:w="4932"/>
            <w:shd w:val="clear" w:color="auto" w:fill="BFBFBF"/>
          </w:tcPr>
          <w:p>
            <w:pPr>
              <w:spacing w:after="40"/>
            </w:pPr>
            <w:r>
              <w:rPr>
                <w:b/>
                <w:i w:val="0"/>
                <w:sz w:val="18"/>
              </w:rPr>
              <w:t>Источник: страница и цитата</w:t>
            </w:r>
          </w:p>
        </w:tc>
        <w:tc>
          <w:tcPr>
            <w:tcW w:type="dxa" w:w="5102"/>
            <w:shd w:val="clear" w:color="auto" w:fill="BFBFBF"/>
          </w:tcPr>
          <w:p>
            <w:pPr>
              <w:spacing w:after="40"/>
            </w:pPr>
            <w:r>
              <w:rPr>
                <w:b/>
                <w:i w:val="0"/>
                <w:sz w:val="18"/>
              </w:rPr>
              <w:t>Стало / что исправлено</w:t>
            </w:r>
          </w:p>
        </w:tc>
      </w:tr>
      <w:tr>
        <w:tc>
          <w:tcPr>
            <w:tcW w:type="dxa" w:w="3515"/>
          </w:tcPr>
          <w:p>
            <w:pPr>
              <w:spacing w:after="40"/>
            </w:pPr>
            <w:r>
              <w:rPr>
                <w:b w:val="0"/>
                <w:i w:val="0"/>
                <w:sz w:val="17"/>
              </w:rPr>
              <w:t>Методы DR решают несколько взаимосвязанных задач:</w:t>
            </w:r>
          </w:p>
        </w:tc>
        <w:tc>
          <w:tcPr>
            <w:tcW w:type="dxa" w:w="1474"/>
            <w:shd w:val="clear" w:color="auto" w:fill="E2F0D9"/>
          </w:tcPr>
          <w:p>
            <w:pPr>
              <w:spacing w:after="40"/>
            </w:pPr>
            <w:r>
              <w:rPr>
                <w:b/>
                <w:i w:val="0"/>
                <w:sz w:val="17"/>
              </w:rPr>
              <w:t>Совпадает</w:t>
            </w:r>
          </w:p>
        </w:tc>
        <w:tc>
          <w:tcPr>
            <w:tcW w:type="dxa" w:w="4932"/>
          </w:tcPr>
          <w:p>
            <w:pPr>
              <w:spacing w:after="40"/>
            </w:pPr>
            <w:r>
              <w:rPr>
                <w:b/>
                <w:i w:val="0"/>
                <w:sz w:val="17"/>
              </w:rPr>
              <w:t>Страницы в отчёте: [1] с. 1</w:t>
            </w:r>
          </w:p>
          <w:p>
            <w:pPr>
              <w:spacing w:after="40"/>
            </w:pPr>
            <w:r>
              <w:rPr>
                <w:b w:val="0"/>
                <w:i/>
                <w:sz w:val="17"/>
              </w:rPr>
              <w:t>с. 1: «Dimensionality reduction facilitates, among others, classification, visualization, and compression of high-dimensional data.»</w:t>
            </w:r>
          </w:p>
        </w:tc>
        <w:tc>
          <w:tcPr>
            <w:tcW w:type="dxa" w:w="5102"/>
          </w:tcPr>
          <w:p>
            <w:pPr>
              <w:spacing w:after="40"/>
            </w:pPr>
            <w:r>
              <w:rPr>
                <w:b w:val="0"/>
                <w:i w:val="0"/>
                <w:sz w:val="17"/>
              </w:rPr>
              <w:t>(текст сохранён)</w:t>
            </w:r>
          </w:p>
          <w:p>
            <w:pPr>
              <w:spacing w:after="40"/>
            </w:pPr>
            <w:r>
              <w:rPr>
                <w:b w:val="0"/>
                <w:i w:val="0"/>
                <w:sz w:val="16"/>
              </w:rPr>
              <w:t>Пояснение: Страницы «1–5» заменены на точную: утверждение содержится на с. 1.</w:t>
            </w:r>
          </w:p>
        </w:tc>
      </w:tr>
      <w:tr>
        <w:tc>
          <w:tcPr>
            <w:tcW w:type="dxa" w:w="3515"/>
          </w:tcPr>
          <w:p>
            <w:pPr>
              <w:spacing w:after="40"/>
            </w:pPr>
            <w:r>
              <w:rPr>
                <w:b w:val="0"/>
                <w:i w:val="0"/>
                <w:sz w:val="17"/>
              </w:rPr>
              <w:t>Визуализация данных (Exploratory Data Analysis, EDA): проекция данных на 2D или 3D пространство для выявления кластеров, аномалий и закономерностей.</w:t>
            </w:r>
          </w:p>
        </w:tc>
        <w:tc>
          <w:tcPr>
            <w:tcW w:type="dxa" w:w="1474"/>
            <w:shd w:val="clear" w:color="auto" w:fill="FCE4D6"/>
          </w:tcPr>
          <w:p>
            <w:pPr>
              <w:spacing w:after="40"/>
            </w:pPr>
            <w:r>
              <w:rPr>
                <w:b/>
                <w:i w:val="0"/>
                <w:sz w:val="17"/>
              </w:rPr>
              <w:t>Не совпадало — заменено</w:t>
            </w:r>
          </w:p>
        </w:tc>
        <w:tc>
          <w:tcPr>
            <w:tcW w:type="dxa" w:w="4932"/>
          </w:tcPr>
          <w:p>
            <w:pPr>
              <w:spacing w:after="40"/>
            </w:pPr>
            <w:r>
              <w:rPr>
                <w:b/>
                <w:i w:val="0"/>
                <w:sz w:val="17"/>
              </w:rPr>
              <w:t>Страницы в отчёте: [1] с. 1</w:t>
            </w:r>
          </w:p>
          <w:p>
            <w:pPr>
              <w:spacing w:after="40"/>
            </w:pPr>
            <w:r>
              <w:rPr>
                <w:b w:val="0"/>
                <w:i/>
                <w:sz w:val="17"/>
              </w:rPr>
              <w:t>с. 1: «Dimensionality reduction facilitates, among others, classification, visualization, and compression of high-dimensional data.»</w:t>
            </w:r>
          </w:p>
        </w:tc>
        <w:tc>
          <w:tcPr>
            <w:tcW w:type="dxa" w:w="5102"/>
          </w:tcPr>
          <w:p>
            <w:pPr>
              <w:spacing w:after="40"/>
            </w:pPr>
            <w:r>
              <w:rPr>
                <w:b w:val="0"/>
                <w:i w:val="0"/>
                <w:sz w:val="17"/>
              </w:rPr>
              <w:t>Визуализация данных: снижение размерности облегчает визуализацию многомерных данных.</w:t>
            </w:r>
          </w:p>
          <w:p>
            <w:pPr>
              <w:spacing w:after="40"/>
            </w:pPr>
            <w:r>
              <w:rPr>
                <w:b w:val="0"/>
                <w:i w:val="0"/>
                <w:sz w:val="16"/>
              </w:rPr>
              <w:t>Пояснение: Про «2D/3D-проекцию, выявление кластеров и аномалий» в источнике нет; оставлено то, что сказано в статье.</w:t>
            </w:r>
          </w:p>
        </w:tc>
      </w:tr>
      <w:tr>
        <w:tc>
          <w:tcPr>
            <w:tcW w:type="dxa" w:w="3515"/>
          </w:tcPr>
          <w:p>
            <w:pPr>
              <w:spacing w:after="40"/>
            </w:pPr>
            <w:r>
              <w:rPr>
                <w:b w:val="0"/>
                <w:i w:val="0"/>
                <w:sz w:val="17"/>
              </w:rPr>
              <w:t>Сжатие данных и уменьшение шума: удаление избыточных и неинформативных признаков, фильтрация шума.</w:t>
            </w:r>
          </w:p>
        </w:tc>
        <w:tc>
          <w:tcPr>
            <w:tcW w:type="dxa" w:w="1474"/>
            <w:shd w:val="clear" w:color="auto" w:fill="FCE4D6"/>
          </w:tcPr>
          <w:p>
            <w:pPr>
              <w:spacing w:after="40"/>
            </w:pPr>
            <w:r>
              <w:rPr>
                <w:b/>
                <w:i w:val="0"/>
                <w:sz w:val="17"/>
              </w:rPr>
              <w:t>Не совпадало — заменено</w:t>
            </w:r>
          </w:p>
        </w:tc>
        <w:tc>
          <w:tcPr>
            <w:tcW w:type="dxa" w:w="4932"/>
          </w:tcPr>
          <w:p>
            <w:pPr>
              <w:spacing w:after="40"/>
            </w:pPr>
            <w:r>
              <w:rPr>
                <w:b/>
                <w:i w:val="0"/>
                <w:sz w:val="17"/>
              </w:rPr>
              <w:t>Страницы в отчёте: [1] с. 1</w:t>
            </w:r>
          </w:p>
          <w:p>
            <w:pPr>
              <w:spacing w:after="40"/>
            </w:pPr>
            <w:r>
              <w:rPr>
                <w:b w:val="0"/>
                <w:i/>
                <w:sz w:val="17"/>
              </w:rPr>
              <w:t>с. 1: «Dimensionality reduction facilitates, among others, classification, visualization, and compression of high-dimensional data.»</w:t>
            </w:r>
          </w:p>
        </w:tc>
        <w:tc>
          <w:tcPr>
            <w:tcW w:type="dxa" w:w="5102"/>
          </w:tcPr>
          <w:p>
            <w:pPr>
              <w:spacing w:after="40"/>
            </w:pPr>
            <w:r>
              <w:rPr>
                <w:b w:val="0"/>
                <w:i w:val="0"/>
                <w:sz w:val="17"/>
              </w:rPr>
              <w:t>Сжатие данных: снижение размерности облегчает сжатие многомерных данных.</w:t>
            </w:r>
          </w:p>
          <w:p>
            <w:pPr>
              <w:spacing w:after="40"/>
            </w:pPr>
            <w:r>
              <w:rPr>
                <w:b w:val="0"/>
                <w:i w:val="0"/>
                <w:sz w:val="16"/>
              </w:rPr>
              <w:t>Пояснение: Про «удаление шума» и «фильтрацию» в источнике (с. 1–5) нет.</w:t>
            </w:r>
          </w:p>
        </w:tc>
      </w:tr>
      <w:tr>
        <w:tc>
          <w:tcPr>
            <w:tcW w:type="dxa" w:w="3515"/>
          </w:tcPr>
          <w:p>
            <w:pPr>
              <w:spacing w:after="40"/>
            </w:pPr>
            <w:r>
              <w:rPr>
                <w:b w:val="0"/>
                <w:i w:val="0"/>
                <w:sz w:val="17"/>
              </w:rPr>
              <w:t>Ускорение обучения алгоритмов: работа в пространстве меньшей размерности сокращает время тренировки и потребление памяти.</w:t>
            </w:r>
          </w:p>
        </w:tc>
        <w:tc>
          <w:tcPr>
            <w:tcW w:type="dxa" w:w="1474"/>
            <w:shd w:val="clear" w:color="auto" w:fill="FCE4D6"/>
          </w:tcPr>
          <w:p>
            <w:pPr>
              <w:spacing w:after="40"/>
            </w:pPr>
            <w:r>
              <w:rPr>
                <w:b/>
                <w:i w:val="0"/>
                <w:sz w:val="17"/>
              </w:rPr>
              <w:t>Не совпадало — заменено</w:t>
            </w:r>
          </w:p>
        </w:tc>
        <w:tc>
          <w:tcPr>
            <w:tcW w:type="dxa" w:w="4932"/>
          </w:tcPr>
          <w:p>
            <w:pPr>
              <w:spacing w:after="40"/>
            </w:pPr>
            <w:r>
              <w:rPr>
                <w:b/>
                <w:i w:val="0"/>
                <w:sz w:val="17"/>
              </w:rPr>
              <w:t>Страницы в отчёте: [1] с. 1</w:t>
            </w:r>
          </w:p>
          <w:p>
            <w:pPr>
              <w:spacing w:after="40"/>
            </w:pPr>
            <w:r>
              <w:rPr>
                <w:b w:val="0"/>
                <w:i/>
                <w:sz w:val="17"/>
              </w:rPr>
              <w:t>с. 1: «Dimensionality reduction facilitates, among others, classification, visualization, and compression of high-dimensional data.»</w:t>
            </w:r>
          </w:p>
        </w:tc>
        <w:tc>
          <w:tcPr>
            <w:tcW w:type="dxa" w:w="5102"/>
          </w:tcPr>
          <w:p>
            <w:pPr>
              <w:spacing w:after="40"/>
            </w:pPr>
            <w:r>
              <w:rPr>
                <w:b w:val="0"/>
                <w:i w:val="0"/>
                <w:sz w:val="17"/>
              </w:rPr>
              <w:t>Классификация: снижение размерности облегчает классификацию многомерных данных.</w:t>
            </w:r>
          </w:p>
          <w:p>
            <w:pPr>
              <w:spacing w:after="40"/>
            </w:pPr>
            <w:r>
              <w:rPr>
                <w:b w:val="0"/>
                <w:i w:val="0"/>
                <w:sz w:val="16"/>
              </w:rPr>
              <w:t>Пояснение: Про «ускорение обучения и память» в источнике нет; заменено пунктом из статьи.</w:t>
            </w:r>
          </w:p>
        </w:tc>
      </w:tr>
      <w:tr>
        <w:tc>
          <w:tcPr>
            <w:tcW w:type="dxa" w:w="3515"/>
          </w:tcPr>
          <w:p>
            <w:pPr>
              <w:spacing w:after="40"/>
            </w:pPr>
            <w:r>
              <w:rPr>
                <w:b w:val="0"/>
                <w:i w:val="0"/>
                <w:sz w:val="17"/>
              </w:rPr>
              <w:t>Улучшение качества моделей: борьба с переобучением за счет устранения мультиколлинеарности и избыточности, что может повысить обобщающую способность.</w:t>
            </w:r>
          </w:p>
        </w:tc>
        <w:tc>
          <w:tcPr>
            <w:tcW w:type="dxa" w:w="1474"/>
            <w:shd w:val="clear" w:color="auto" w:fill="FCE4D6"/>
          </w:tcPr>
          <w:p>
            <w:pPr>
              <w:spacing w:after="40"/>
            </w:pPr>
            <w:r>
              <w:rPr>
                <w:b/>
                <w:i w:val="0"/>
                <w:sz w:val="17"/>
              </w:rPr>
              <w:t>Не совпадало — заменено</w:t>
            </w:r>
          </w:p>
        </w:tc>
        <w:tc>
          <w:tcPr>
            <w:tcW w:type="dxa" w:w="4932"/>
          </w:tcPr>
          <w:p>
            <w:pPr>
              <w:spacing w:after="40"/>
            </w:pPr>
            <w:r>
              <w:rPr>
                <w:b/>
                <w:i w:val="0"/>
                <w:sz w:val="17"/>
              </w:rPr>
              <w:t>Страницы в отчёте: [1] с. 1</w:t>
            </w:r>
          </w:p>
          <w:p>
            <w:pPr>
              <w:spacing w:after="40"/>
            </w:pPr>
            <w:r>
              <w:rPr>
                <w:b w:val="0"/>
                <w:i/>
                <w:sz w:val="17"/>
              </w:rPr>
              <w:t>с. 1: «Dimensionality reduction is important in many domains, since it mitigates the curse of dimensionality and other undesired properties of high-dimensional spaces [69].»</w:t>
            </w:r>
          </w:p>
        </w:tc>
        <w:tc>
          <w:tcPr>
            <w:tcW w:type="dxa" w:w="5102"/>
          </w:tcPr>
          <w:p>
            <w:pPr>
              <w:spacing w:after="40"/>
            </w:pPr>
            <w:r>
              <w:rPr>
                <w:b w:val="0"/>
                <w:i w:val="0"/>
                <w:sz w:val="17"/>
              </w:rPr>
              <w:t>Борьба с проклятием размерности: снижение размерности смягчает проклятие размерности и другие нежелательные свойства пространств высокой размерности.</w:t>
            </w:r>
          </w:p>
          <w:p>
            <w:pPr>
              <w:spacing w:after="40"/>
            </w:pPr>
            <w:r>
              <w:rPr>
                <w:b w:val="0"/>
                <w:i w:val="0"/>
                <w:sz w:val="16"/>
              </w:rPr>
              <w:t>Пояснение: Про «переобучение, мультиколлинеарность» в источнике нет; заменено формулировкой статьи.</w:t>
            </w:r>
          </w:p>
        </w:tc>
      </w:tr>
      <w:tr>
        <w:tc>
          <w:tcPr>
            <w:tcW w:type="dxa" w:w="3515"/>
          </w:tcPr>
          <w:p>
            <w:pPr>
              <w:spacing w:after="40"/>
            </w:pPr>
            <w:r>
              <w:rPr>
                <w:b w:val="0"/>
                <w:i w:val="0"/>
                <w:sz w:val="17"/>
              </w:rPr>
              <w:t>Извлечение значимых признаков (Feature Extraction): преобразование исходных признаков в новое, более компактное и содержательное пространство.</w:t>
            </w:r>
          </w:p>
        </w:tc>
        <w:tc>
          <w:tcPr>
            <w:tcW w:type="dxa" w:w="1474"/>
            <w:shd w:val="clear" w:color="auto" w:fill="FCE4D6"/>
          </w:tcPr>
          <w:p>
            <w:pPr>
              <w:spacing w:after="40"/>
            </w:pPr>
            <w:r>
              <w:rPr>
                <w:b/>
                <w:i w:val="0"/>
                <w:sz w:val="17"/>
              </w:rPr>
              <w:t>Не совпадало — заменено</w:t>
            </w:r>
          </w:p>
        </w:tc>
        <w:tc>
          <w:tcPr>
            <w:tcW w:type="dxa" w:w="4932"/>
          </w:tcPr>
          <w:p>
            <w:pPr>
              <w:spacing w:after="40"/>
            </w:pPr>
            <w:r>
              <w:rPr>
                <w:b/>
                <w:i w:val="0"/>
                <w:sz w:val="17"/>
              </w:rPr>
              <w:t>Страницы в отчёте: [1] с. 1</w:t>
            </w:r>
          </w:p>
          <w:p>
            <w:pPr>
              <w:spacing w:after="40"/>
            </w:pPr>
            <w:r>
              <w:rPr>
                <w:b w:val="0"/>
                <w:i/>
                <w:sz w:val="17"/>
              </w:rPr>
              <w:t>с. 1: «Dimensionality reduction is the transformation of high-dimensional data into a meaningful representation of reduced dimensionality. … The intrinsic dimensionality of data is the minimum number of parameters needed to account for the observed properties of the data.»</w:t>
            </w:r>
          </w:p>
        </w:tc>
        <w:tc>
          <w:tcPr>
            <w:tcW w:type="dxa" w:w="5102"/>
          </w:tcPr>
          <w:p>
            <w:pPr>
              <w:spacing w:after="40"/>
            </w:pPr>
            <w:r>
              <w:rPr>
                <w:b w:val="0"/>
                <w:i w:val="0"/>
                <w:sz w:val="17"/>
              </w:rPr>
              <w:t>Осмысленное представление данных: снижение размерности — это преобразование многомерных данных в осмысленное представление уменьшенной размерности; в идеале его размерность соответствует внутренней размерности данных — минимальному числу параметров, необходимых для описания наблюдаемых свойств данных.</w:t>
            </w:r>
          </w:p>
          <w:p>
            <w:pPr>
              <w:spacing w:after="40"/>
            </w:pPr>
            <w:r>
              <w:rPr>
                <w:b w:val="0"/>
                <w:i w:val="0"/>
                <w:sz w:val="16"/>
              </w:rPr>
              <w:t>Пояснение: Определение «Feature Extraction» в источнике отсутствует; заменено определением из статьи.</w:t>
            </w:r>
          </w:p>
        </w:tc>
      </w:tr>
    </w:tbl>
    <w:p>
      <w:pPr>
        <w:pStyle w:val="Heading2"/>
      </w:pPr>
      <w:r>
        <w:t>1.3. Классификация методов</w:t>
      </w:r>
    </w:p>
    <w:tbl>
      <w:tblPr>
        <w:tblStyle w:val="TableGrid"/>
        <w:tblW w:type="auto" w:w="0"/>
        <w:tblLook w:firstColumn="1" w:firstRow="1" w:lastColumn="0" w:lastRow="0" w:noHBand="0" w:noVBand="1" w:val="04A0"/>
      </w:tblPr>
      <w:tblGrid>
        <w:gridCol w:w="3535"/>
        <w:gridCol w:w="3535"/>
        <w:gridCol w:w="3535"/>
        <w:gridCol w:w="3535"/>
      </w:tblGrid>
      <w:tr>
        <w:tc>
          <w:tcPr>
            <w:tcW w:type="dxa" w:w="3515"/>
            <w:shd w:val="clear" w:color="auto" w:fill="BFBFBF"/>
          </w:tcPr>
          <w:p>
            <w:pPr>
              <w:spacing w:after="40"/>
            </w:pPr>
            <w:r>
              <w:rPr>
                <w:b/>
                <w:i w:val="0"/>
                <w:sz w:val="18"/>
              </w:rPr>
              <w:t>Было в отчёте</w:t>
            </w:r>
          </w:p>
        </w:tc>
        <w:tc>
          <w:tcPr>
            <w:tcW w:type="dxa" w:w="1474"/>
            <w:shd w:val="clear" w:color="auto" w:fill="BFBFBF"/>
          </w:tcPr>
          <w:p>
            <w:pPr>
              <w:spacing w:after="40"/>
            </w:pPr>
            <w:r>
              <w:rPr>
                <w:b/>
                <w:i w:val="0"/>
                <w:sz w:val="18"/>
              </w:rPr>
              <w:t>Статус</w:t>
            </w:r>
          </w:p>
        </w:tc>
        <w:tc>
          <w:tcPr>
            <w:tcW w:type="dxa" w:w="4932"/>
            <w:shd w:val="clear" w:color="auto" w:fill="BFBFBF"/>
          </w:tcPr>
          <w:p>
            <w:pPr>
              <w:spacing w:after="40"/>
            </w:pPr>
            <w:r>
              <w:rPr>
                <w:b/>
                <w:i w:val="0"/>
                <w:sz w:val="18"/>
              </w:rPr>
              <w:t>Источник: страница и цитата</w:t>
            </w:r>
          </w:p>
        </w:tc>
        <w:tc>
          <w:tcPr>
            <w:tcW w:type="dxa" w:w="5102"/>
            <w:shd w:val="clear" w:color="auto" w:fill="BFBFBF"/>
          </w:tcPr>
          <w:p>
            <w:pPr>
              <w:spacing w:after="40"/>
            </w:pPr>
            <w:r>
              <w:rPr>
                <w:b/>
                <w:i w:val="0"/>
                <w:sz w:val="18"/>
              </w:rPr>
              <w:t>Стало / что исправлено</w:t>
            </w:r>
          </w:p>
        </w:tc>
      </w:tr>
      <w:tr>
        <w:tc>
          <w:tcPr>
            <w:tcW w:type="dxa" w:w="3515"/>
          </w:tcPr>
          <w:p>
            <w:pPr>
              <w:spacing w:after="40"/>
            </w:pPr>
            <w:r>
              <w:rPr>
                <w:b w:val="0"/>
                <w:i w:val="0"/>
                <w:sz w:val="17"/>
              </w:rPr>
              <w:t>1.3. Классификация методов снижения размерности</w:t>
            </w:r>
          </w:p>
        </w:tc>
        <w:tc>
          <w:tcPr>
            <w:tcW w:type="dxa" w:w="1474"/>
            <w:shd w:val="clear" w:color="auto" w:fill="E2F0D9"/>
          </w:tcPr>
          <w:p>
            <w:pPr>
              <w:spacing w:after="40"/>
            </w:pPr>
            <w:r>
              <w:rPr>
                <w:b/>
                <w:i w:val="0"/>
                <w:sz w:val="17"/>
              </w:rPr>
              <w:t>Совпадает</w:t>
            </w:r>
          </w:p>
        </w:tc>
        <w:tc>
          <w:tcPr>
            <w:tcW w:type="dxa" w:w="4932"/>
          </w:tcPr>
          <w:p>
            <w:pPr>
              <w:spacing w:after="40"/>
            </w:pPr>
            <w:r>
              <w:rPr>
                <w:b/>
                <w:i w:val="0"/>
                <w:sz w:val="17"/>
              </w:rPr>
              <w:t>Страницы в отчёте: [1] с. 1–3</w:t>
            </w:r>
          </w:p>
          <w:p>
            <w:pPr>
              <w:spacing w:after="40"/>
            </w:pPr>
            <w:r>
              <w:rPr>
                <w:b w:val="0"/>
                <w:i/>
                <w:sz w:val="17"/>
              </w:rPr>
              <w:t>с. 2: «Figure 1: Taxonomy of dimensionality reduction techniques.»</w:t>
            </w:r>
          </w:p>
        </w:tc>
        <w:tc>
          <w:tcPr>
            <w:tcW w:type="dxa" w:w="5102"/>
          </w:tcPr>
          <w:p>
            <w:pPr>
              <w:spacing w:after="40"/>
            </w:pPr>
            <w:r>
              <w:rPr>
                <w:b w:val="0"/>
                <w:i w:val="0"/>
                <w:sz w:val="17"/>
              </w:rPr>
              <w:t>(текст сохранён)</w:t>
            </w:r>
          </w:p>
          <w:p>
            <w:pPr>
              <w:spacing w:after="40"/>
            </w:pPr>
            <w:r>
              <w:rPr>
                <w:b w:val="0"/>
                <w:i w:val="0"/>
                <w:sz w:val="16"/>
              </w:rPr>
              <w:t>Пояснение: Страницы «1–5» уточнены: классификация методов приведена на с. 1–3.</w:t>
            </w:r>
          </w:p>
        </w:tc>
      </w:tr>
      <w:tr>
        <w:tc>
          <w:tcPr>
            <w:tcW w:type="dxa" w:w="3515"/>
          </w:tcPr>
          <w:p>
            <w:pPr>
              <w:spacing w:after="40"/>
            </w:pPr>
            <w:r>
              <w:rPr>
                <w:b w:val="0"/>
                <w:i w:val="0"/>
                <w:sz w:val="17"/>
              </w:rPr>
              <w:t>Методы можно классифицировать по нескольким основаниям:</w:t>
            </w:r>
          </w:p>
        </w:tc>
        <w:tc>
          <w:tcPr>
            <w:tcW w:type="dxa" w:w="1474"/>
            <w:shd w:val="clear" w:color="auto" w:fill="E2F0D9"/>
          </w:tcPr>
          <w:p>
            <w:pPr>
              <w:spacing w:after="40"/>
            </w:pPr>
            <w:r>
              <w:rPr>
                <w:b/>
                <w:i w:val="0"/>
                <w:sz w:val="17"/>
              </w:rPr>
              <w:t>Совпадает</w:t>
            </w:r>
          </w:p>
        </w:tc>
        <w:tc>
          <w:tcPr>
            <w:tcW w:type="dxa" w:w="4932"/>
          </w:tcPr>
          <w:p>
            <w:pPr>
              <w:spacing w:after="40"/>
            </w:pPr>
            <w:r>
              <w:rPr>
                <w:b/>
                <w:i w:val="0"/>
                <w:sz w:val="17"/>
              </w:rPr>
              <w:t>Страницы в отчёте: [1] с. 1–3</w:t>
            </w:r>
          </w:p>
        </w:tc>
        <w:tc>
          <w:tcPr>
            <w:tcW w:type="dxa" w:w="5102"/>
          </w:tcPr>
          <w:p>
            <w:pPr>
              <w:spacing w:after="40"/>
            </w:pPr>
            <w:r>
              <w:rPr>
                <w:b w:val="0"/>
                <w:i w:val="0"/>
                <w:sz w:val="17"/>
              </w:rPr>
              <w:t>(текст сохранён)</w:t>
            </w:r>
          </w:p>
          <w:p>
            <w:pPr>
              <w:spacing w:after="40"/>
            </w:pPr>
            <w:r>
              <w:rPr>
                <w:b w:val="0"/>
                <w:i w:val="0"/>
                <w:sz w:val="16"/>
              </w:rPr>
              <w:t>Пояснение: Страницы уточнены.</w:t>
            </w:r>
          </w:p>
        </w:tc>
      </w:tr>
      <w:tr>
        <w:tc>
          <w:tcPr>
            <w:tcW w:type="dxa" w:w="3515"/>
          </w:tcPr>
          <w:p>
            <w:pPr>
              <w:spacing w:after="40"/>
            </w:pPr>
            <w:r>
              <w:rPr>
                <w:b w:val="0"/>
                <w:i w:val="0"/>
                <w:sz w:val="17"/>
              </w:rPr>
              <w:t>По принципу действия:</w:t>
            </w:r>
          </w:p>
        </w:tc>
        <w:tc>
          <w:tcPr>
            <w:tcW w:type="dxa" w:w="1474"/>
            <w:shd w:val="clear" w:color="auto" w:fill="FCE4D6"/>
          </w:tcPr>
          <w:p>
            <w:pPr>
              <w:spacing w:after="40"/>
            </w:pPr>
            <w:r>
              <w:rPr>
                <w:b/>
                <w:i w:val="0"/>
                <w:sz w:val="17"/>
              </w:rPr>
              <w:t>Не совпадало — заменено</w:t>
            </w:r>
          </w:p>
        </w:tc>
        <w:tc>
          <w:tcPr>
            <w:tcW w:type="dxa" w:w="4932"/>
          </w:tcPr>
          <w:p>
            <w:pPr>
              <w:spacing w:after="40"/>
            </w:pPr>
            <w:r>
              <w:rPr>
                <w:b/>
                <w:i w:val="0"/>
                <w:sz w:val="17"/>
              </w:rPr>
              <w:t>Страницы в отчёте: [1] с. 1</w:t>
            </w:r>
          </w:p>
        </w:tc>
        <w:tc>
          <w:tcPr>
            <w:tcW w:type="dxa" w:w="5102"/>
          </w:tcPr>
          <w:p>
            <w:pPr>
              <w:spacing w:after="40"/>
            </w:pPr>
            <w:r>
              <w:rPr>
                <w:b w:val="0"/>
                <w:i w:val="0"/>
                <w:sz w:val="17"/>
              </w:rPr>
              <w:t>По линейности отображения:</w:t>
            </w:r>
          </w:p>
          <w:p>
            <w:pPr>
              <w:spacing w:after="40"/>
            </w:pPr>
            <w:r>
              <w:rPr>
                <w:b w:val="0"/>
                <w:i w:val="0"/>
                <w:sz w:val="16"/>
              </w:rPr>
              <w:t>Пояснение: В источнике нет деления на «выделение/отбор признаков»; взято деление статьи (линейные/нелинейные).</w:t>
            </w:r>
          </w:p>
        </w:tc>
      </w:tr>
      <w:tr>
        <w:tc>
          <w:tcPr>
            <w:tcW w:type="dxa" w:w="3515"/>
          </w:tcPr>
          <w:p>
            <w:pPr>
              <w:spacing w:after="40"/>
            </w:pPr>
            <w:r>
              <w:rPr>
                <w:b w:val="0"/>
                <w:i w:val="0"/>
                <w:sz w:val="17"/>
              </w:rPr>
              <w:t>Выделение признаков (Feature Extraction): создание новых, более информативных признаков на основе комбинации старых (PCA, автоэнкодеры).</w:t>
            </w:r>
          </w:p>
        </w:tc>
        <w:tc>
          <w:tcPr>
            <w:tcW w:type="dxa" w:w="1474"/>
            <w:shd w:val="clear" w:color="auto" w:fill="FCE4D6"/>
          </w:tcPr>
          <w:p>
            <w:pPr>
              <w:spacing w:after="40"/>
            </w:pPr>
            <w:r>
              <w:rPr>
                <w:b/>
                <w:i w:val="0"/>
                <w:sz w:val="17"/>
              </w:rPr>
              <w:t>Не совпадало — заменено</w:t>
            </w:r>
          </w:p>
        </w:tc>
        <w:tc>
          <w:tcPr>
            <w:tcW w:type="dxa" w:w="4932"/>
          </w:tcPr>
          <w:p>
            <w:pPr>
              <w:spacing w:after="40"/>
            </w:pPr>
            <w:r>
              <w:rPr>
                <w:b/>
                <w:i w:val="0"/>
                <w:sz w:val="17"/>
              </w:rPr>
              <w:t>Страницы в отчёте: [1] с. 1, 3</w:t>
            </w:r>
          </w:p>
          <w:p>
            <w:pPr>
              <w:spacing w:after="40"/>
            </w:pPr>
            <w:r>
              <w:rPr>
                <w:b w:val="0"/>
                <w:i/>
                <w:sz w:val="17"/>
              </w:rPr>
              <w:t>с. 1: «However, these linear techniques cannot adequately handle complex nonlinear data.»</w:t>
            </w:r>
          </w:p>
          <w:p>
            <w:pPr>
              <w:spacing w:after="40"/>
            </w:pPr>
            <w:r>
              <w:rPr>
                <w:b w:val="0"/>
                <w:i/>
                <w:sz w:val="17"/>
              </w:rPr>
              <w:t>с. 3: «PCA … is a linear technique for dimensionality reduction, which means that it performs dimensionality reduction by embedding the data into a linear subspace of lower dimensionality.»</w:t>
            </w:r>
          </w:p>
        </w:tc>
        <w:tc>
          <w:tcPr>
            <w:tcW w:type="dxa" w:w="5102"/>
          </w:tcPr>
          <w:p>
            <w:pPr>
              <w:spacing w:after="40"/>
            </w:pPr>
            <w:r>
              <w:rPr>
                <w:b w:val="0"/>
                <w:i w:val="0"/>
                <w:sz w:val="17"/>
              </w:rPr>
              <w:t>Линейные (PCA, классическое шкалирование): встраивают данные в линейное подпространство меньшей размерности; не справляются со сложными нелинейными данными.</w:t>
            </w:r>
          </w:p>
          <w:p>
            <w:pPr>
              <w:spacing w:after="40"/>
            </w:pPr>
            <w:r>
              <w:rPr>
                <w:b w:val="0"/>
                <w:i w:val="0"/>
                <w:sz w:val="16"/>
              </w:rPr>
              <w:t>Пояснение: В источнике нет примеров «выделение признаков (PCA, автоэнкодеры)» и LDA/MDS как «линейных»; приведено то, что написано в статье.</w:t>
            </w:r>
          </w:p>
        </w:tc>
      </w:tr>
      <w:tr>
        <w:tc>
          <w:tcPr>
            <w:tcW w:type="dxa" w:w="3515"/>
          </w:tcPr>
          <w:p>
            <w:pPr>
              <w:spacing w:after="40"/>
            </w:pPr>
            <w:r>
              <w:rPr>
                <w:b w:val="0"/>
                <w:i w:val="0"/>
                <w:sz w:val="17"/>
              </w:rPr>
              <w:t>Отбор признаков (Feature Selection): Выбор подмножества наиболее релевантных исходных признаков (фильтры, обертки, встроенные методы). (В данном отчете основное внимание уделяется первому типу).</w:t>
            </w:r>
          </w:p>
        </w:tc>
        <w:tc>
          <w:tcPr>
            <w:tcW w:type="dxa" w:w="1474"/>
            <w:shd w:val="clear" w:color="auto" w:fill="FCE4D6"/>
          </w:tcPr>
          <w:p>
            <w:pPr>
              <w:spacing w:after="40"/>
            </w:pPr>
            <w:r>
              <w:rPr>
                <w:b/>
                <w:i w:val="0"/>
                <w:sz w:val="17"/>
              </w:rPr>
              <w:t>Не совпадало — заменено</w:t>
            </w:r>
          </w:p>
        </w:tc>
        <w:tc>
          <w:tcPr>
            <w:tcW w:type="dxa" w:w="4932"/>
          </w:tcPr>
          <w:p>
            <w:pPr>
              <w:spacing w:after="40"/>
            </w:pPr>
            <w:r>
              <w:rPr>
                <w:b/>
                <w:i w:val="0"/>
                <w:sz w:val="17"/>
              </w:rPr>
              <w:t>Страницы в отчёте: [1] с. 1–2</w:t>
            </w:r>
          </w:p>
          <w:p>
            <w:pPr>
              <w:spacing w:after="40"/>
            </w:pPr>
            <w:r>
              <w:rPr>
                <w:b w:val="0"/>
                <w:i/>
                <w:sz w:val="17"/>
              </w:rPr>
              <w:t>с. 1: «In contrast to the traditional linear techniques, the nonlinear techniques have the ability to deal with complex nonlinear data. … real-world data is likely to form a highly nonlinear manifold.»</w:t>
            </w:r>
          </w:p>
          <w:p>
            <w:pPr>
              <w:spacing w:after="40"/>
            </w:pPr>
            <w:r>
              <w:rPr>
                <w:b w:val="0"/>
                <w:i/>
                <w:sz w:val="17"/>
              </w:rPr>
              <w:t>с. 2: «Fig. 1: Isomap, Kernel PCA, MVU, diffusion maps, LLE, Laplacian Eigenmaps, Hessian LLE, LTSA, Autoencoder …»</w:t>
            </w:r>
          </w:p>
        </w:tc>
        <w:tc>
          <w:tcPr>
            <w:tcW w:type="dxa" w:w="5102"/>
          </w:tcPr>
          <w:p>
            <w:pPr>
              <w:spacing w:after="40"/>
            </w:pPr>
            <w:r>
              <w:rPr>
                <w:b w:val="0"/>
                <w:i w:val="0"/>
                <w:sz w:val="17"/>
              </w:rPr>
              <w:t>Нелинейные (Isomap, LLE, Laplacian Eigenmaps, автоэнкодеры и др.): способны работать со сложными нелинейными данными; реальные данные, скорее всего, образуют сильно нелинейное многообразие.</w:t>
            </w:r>
          </w:p>
          <w:p>
            <w:pPr>
              <w:spacing w:after="40"/>
            </w:pPr>
            <w:r>
              <w:rPr>
                <w:b w:val="0"/>
                <w:i w:val="0"/>
                <w:sz w:val="16"/>
              </w:rPr>
              <w:t>Пояснение: t-SNE и UMAP в обзоре 2009 г. не рассматриваются (UMAP появился в 2018 г.); список приведён по статье.</w:t>
            </w:r>
          </w:p>
        </w:tc>
      </w:tr>
      <w:tr>
        <w:tc>
          <w:tcPr>
            <w:tcW w:type="dxa" w:w="3515"/>
          </w:tcPr>
          <w:p>
            <w:pPr>
              <w:spacing w:after="40"/>
            </w:pPr>
            <w:r>
              <w:rPr>
                <w:b w:val="0"/>
                <w:i w:val="0"/>
                <w:sz w:val="17"/>
              </w:rPr>
              <w:t>По линейности модели:</w:t>
            </w:r>
          </w:p>
        </w:tc>
        <w:tc>
          <w:tcPr>
            <w:tcW w:type="dxa" w:w="1474"/>
            <w:shd w:val="clear" w:color="auto" w:fill="FCE4D6"/>
          </w:tcPr>
          <w:p>
            <w:pPr>
              <w:spacing w:after="40"/>
            </w:pPr>
            <w:r>
              <w:rPr>
                <w:b/>
                <w:i w:val="0"/>
                <w:sz w:val="17"/>
              </w:rPr>
              <w:t>Не совпадало — заменено</w:t>
            </w:r>
          </w:p>
        </w:tc>
        <w:tc>
          <w:tcPr>
            <w:tcW w:type="dxa" w:w="4932"/>
          </w:tcPr>
          <w:p>
            <w:pPr>
              <w:spacing w:after="40"/>
            </w:pPr>
            <w:r>
              <w:rPr>
                <w:b/>
                <w:i w:val="0"/>
                <w:sz w:val="17"/>
              </w:rPr>
              <w:t>Страницы в отчёте: [1] с. 2</w:t>
            </w:r>
          </w:p>
          <w:p>
            <w:pPr>
              <w:spacing w:after="40"/>
            </w:pPr>
            <w:r>
              <w:rPr>
                <w:b w:val="0"/>
                <w:i/>
                <w:sz w:val="17"/>
              </w:rPr>
              <w:t>с. 2: «We subdivide techniques for dimensionality reduction into convex and non-convex techniques.»</w:t>
            </w:r>
          </w:p>
        </w:tc>
        <w:tc>
          <w:tcPr>
            <w:tcW w:type="dxa" w:w="5102"/>
          </w:tcPr>
          <w:p>
            <w:pPr>
              <w:spacing w:after="40"/>
            </w:pPr>
            <w:r>
              <w:rPr>
                <w:b w:val="0"/>
                <w:i w:val="0"/>
                <w:sz w:val="17"/>
              </w:rPr>
              <w:t>По виду целевой функции (рис. 1 статьи):</w:t>
            </w:r>
          </w:p>
          <w:p>
            <w:pPr>
              <w:spacing w:after="40"/>
            </w:pPr>
            <w:r>
              <w:rPr>
                <w:b w:val="0"/>
                <w:i w:val="0"/>
                <w:sz w:val="16"/>
              </w:rPr>
              <w:t>Пояснение: Деление на «с учителем / без учителя / полуконтролируемые» в источнике отсутствует; взята таксономия статьи.</w:t>
            </w:r>
          </w:p>
        </w:tc>
      </w:tr>
      <w:tr>
        <w:tc>
          <w:tcPr>
            <w:tcW w:type="dxa" w:w="3515"/>
          </w:tcPr>
          <w:p>
            <w:pPr>
              <w:spacing w:after="40"/>
            </w:pPr>
            <w:r>
              <w:rPr>
                <w:b w:val="0"/>
                <w:i w:val="0"/>
                <w:sz w:val="17"/>
              </w:rPr>
              <w:t>Линейные: предполагают, что данные лежат в линейном или почти линейном подпространстве (PCA, LDA, MDS в классической форме).</w:t>
            </w:r>
          </w:p>
        </w:tc>
        <w:tc>
          <w:tcPr>
            <w:tcW w:type="dxa" w:w="1474"/>
            <w:shd w:val="clear" w:color="auto" w:fill="FCE4D6"/>
          </w:tcPr>
          <w:p>
            <w:pPr>
              <w:spacing w:after="40"/>
            </w:pPr>
            <w:r>
              <w:rPr>
                <w:b/>
                <w:i w:val="0"/>
                <w:sz w:val="17"/>
              </w:rPr>
              <w:t>Не совпадало — заменено</w:t>
            </w:r>
          </w:p>
        </w:tc>
        <w:tc>
          <w:tcPr>
            <w:tcW w:type="dxa" w:w="4932"/>
          </w:tcPr>
          <w:p>
            <w:pPr>
              <w:spacing w:after="40"/>
            </w:pPr>
            <w:r>
              <w:rPr>
                <w:b/>
                <w:i w:val="0"/>
                <w:sz w:val="17"/>
              </w:rPr>
              <w:t>Страницы в отчёте: [1] с. 2–3</w:t>
            </w:r>
          </w:p>
          <w:p>
            <w:pPr>
              <w:spacing w:after="40"/>
            </w:pPr>
            <w:r>
              <w:rPr>
                <w:b w:val="0"/>
                <w:i/>
                <w:sz w:val="17"/>
              </w:rPr>
              <w:t>с. 2: «Convex techniques optimize an objective function that does not contain any local optima»</w:t>
            </w:r>
          </w:p>
          <w:p>
            <w:pPr>
              <w:spacing w:after="40"/>
            </w:pPr>
            <w:r>
              <w:rPr>
                <w:b w:val="0"/>
                <w:i/>
                <w:sz w:val="17"/>
              </w:rPr>
              <w:t>с. 3: «the objective function usually has the form of a (generalized) Rayleigh quotient … can be optimized by solving a generalized eigenproblem.»</w:t>
            </w:r>
          </w:p>
        </w:tc>
        <w:tc>
          <w:tcPr>
            <w:tcW w:type="dxa" w:w="5102"/>
          </w:tcPr>
          <w:p>
            <w:pPr>
              <w:spacing w:after="40"/>
            </w:pPr>
            <w:r>
              <w:rPr>
                <w:b w:val="0"/>
                <w:i w:val="0"/>
                <w:sz w:val="17"/>
              </w:rPr>
              <w:t>Выпуклые (convex): оптимизируют целевую функцию, не содержащую локальных оптимумов; обычно её вид — обобщённое отношение Рэлея, которое оптимизируется решением обобщённой задачи на собственные значения.</w:t>
            </w:r>
          </w:p>
          <w:p>
            <w:pPr>
              <w:spacing w:after="40"/>
            </w:pPr>
            <w:r>
              <w:rPr>
                <w:b w:val="0"/>
                <w:i w:val="0"/>
                <w:sz w:val="16"/>
              </w:rPr>
              <w:t>Пояснение: Заменено на определение из статьи.</w:t>
            </w:r>
          </w:p>
        </w:tc>
      </w:tr>
      <w:tr>
        <w:tc>
          <w:tcPr>
            <w:tcW w:type="dxa" w:w="3515"/>
          </w:tcPr>
          <w:p>
            <w:pPr>
              <w:spacing w:after="40"/>
            </w:pPr>
            <w:r>
              <w:rPr>
                <w:b w:val="0"/>
                <w:i w:val="0"/>
                <w:sz w:val="17"/>
              </w:rPr>
              <w:t>Нелинейные: предназначены для работы со сложными нелинейными многообразиями (t-SNE, UMAP, Isomap, LLE, автоэнкодеры с нелинейными функциями активации).</w:t>
            </w:r>
          </w:p>
        </w:tc>
        <w:tc>
          <w:tcPr>
            <w:tcW w:type="dxa" w:w="1474"/>
            <w:shd w:val="clear" w:color="auto" w:fill="FCE4D6"/>
          </w:tcPr>
          <w:p>
            <w:pPr>
              <w:spacing w:after="40"/>
            </w:pPr>
            <w:r>
              <w:rPr>
                <w:b/>
                <w:i w:val="0"/>
                <w:sz w:val="17"/>
              </w:rPr>
              <w:t>Не совпадало — заменено</w:t>
            </w:r>
          </w:p>
        </w:tc>
        <w:tc>
          <w:tcPr>
            <w:tcW w:type="dxa" w:w="4932"/>
          </w:tcPr>
          <w:p>
            <w:pPr>
              <w:spacing w:after="40"/>
            </w:pPr>
            <w:r>
              <w:rPr>
                <w:b/>
                <w:i w:val="0"/>
                <w:sz w:val="17"/>
              </w:rPr>
              <w:t>Страницы в отчёте: [1] с. 2</w:t>
            </w:r>
          </w:p>
          <w:p>
            <w:pPr>
              <w:spacing w:after="40"/>
            </w:pPr>
            <w:r>
              <w:rPr>
                <w:b w:val="0"/>
                <w:i/>
                <w:sz w:val="17"/>
              </w:rPr>
              <w:t>с. 2: «non-convex techniques optimize objective functions that do contain local optima; Fig. 1: Nonconvex → Sammon mapping, LLC, Man. charting, Autoencoder»</w:t>
            </w:r>
          </w:p>
        </w:tc>
        <w:tc>
          <w:tcPr>
            <w:tcW w:type="dxa" w:w="5102"/>
          </w:tcPr>
          <w:p>
            <w:pPr>
              <w:spacing w:after="40"/>
            </w:pPr>
            <w:r>
              <w:rPr>
                <w:b w:val="0"/>
                <w:i w:val="0"/>
                <w:sz w:val="17"/>
              </w:rPr>
              <w:t>Невыпуклые (non-convex): оптимизируют целевые функции, содержащие локальные оптимумы (в обзоре к ним отнесены, в частности, автоэнкодеры и отображение Саммона).</w:t>
            </w:r>
          </w:p>
          <w:p>
            <w:pPr>
              <w:spacing w:after="40"/>
            </w:pPr>
            <w:r>
              <w:rPr>
                <w:b w:val="0"/>
                <w:i w:val="0"/>
                <w:sz w:val="16"/>
              </w:rPr>
              <w:t>Пояснение: Утверждение «метрические/неметрические (t-SNE — неметрический)» в источнике отсутствует и неверно по существу.</w:t>
            </w:r>
          </w:p>
        </w:tc>
      </w:tr>
      <w:tr>
        <w:tc>
          <w:tcPr>
            <w:tcW w:type="dxa" w:w="3515"/>
          </w:tcPr>
          <w:p>
            <w:pPr>
              <w:spacing w:after="40"/>
            </w:pPr>
            <w:r>
              <w:rPr>
                <w:b w:val="0"/>
                <w:i w:val="0"/>
                <w:sz w:val="17"/>
              </w:rPr>
              <w:t>По обучаемости:</w:t>
            </w:r>
          </w:p>
        </w:tc>
        <w:tc>
          <w:tcPr>
            <w:tcW w:type="dxa" w:w="1474"/>
            <w:shd w:val="clear" w:color="auto" w:fill="FCE4D6"/>
          </w:tcPr>
          <w:p>
            <w:pPr>
              <w:spacing w:after="40"/>
            </w:pPr>
            <w:r>
              <w:rPr>
                <w:b/>
                <w:i w:val="0"/>
                <w:sz w:val="17"/>
              </w:rPr>
              <w:t>Не совпадало — заменено</w:t>
            </w:r>
          </w:p>
        </w:tc>
        <w:tc>
          <w:tcPr>
            <w:tcW w:type="dxa" w:w="4932"/>
          </w:tcPr>
          <w:p>
            <w:pPr>
              <w:spacing w:after="40"/>
            </w:pPr>
            <w:r>
              <w:rPr>
                <w:b/>
                <w:i w:val="0"/>
                <w:sz w:val="17"/>
              </w:rPr>
              <w:t>Страницы в отчёте: [1] с. 3</w:t>
            </w:r>
          </w:p>
          <w:p>
            <w:pPr>
              <w:spacing w:after="40"/>
            </w:pPr>
            <w:r>
              <w:rPr>
                <w:b w:val="0"/>
                <w:i/>
                <w:sz w:val="17"/>
              </w:rPr>
              <w:t>с. 3: «We subdivide convex dimensionality reduction techniques into techniques that perform an eigendecomposition of a full matrix (subsection 3.1) and those that perform an eigendecomposition of a sparse matrix (subsection 3.2).»</w:t>
            </w:r>
          </w:p>
        </w:tc>
        <w:tc>
          <w:tcPr>
            <w:tcW w:type="dxa" w:w="5102"/>
          </w:tcPr>
          <w:p>
            <w:pPr>
              <w:spacing w:after="40"/>
            </w:pPr>
            <w:r>
              <w:rPr>
                <w:b w:val="0"/>
                <w:i w:val="0"/>
                <w:sz w:val="17"/>
              </w:rPr>
              <w:t>Выпуклые методы делятся по типу матрицы, для которой выполняется разложение на собственные значения:</w:t>
            </w:r>
          </w:p>
          <w:p>
            <w:pPr>
              <w:spacing w:after="40"/>
            </w:pPr>
            <w:r>
              <w:rPr>
                <w:b w:val="0"/>
                <w:i w:val="0"/>
                <w:sz w:val="16"/>
              </w:rPr>
              <w:t>Пояснение: Взято из статьи.</w:t>
            </w:r>
          </w:p>
        </w:tc>
      </w:tr>
      <w:tr>
        <w:tc>
          <w:tcPr>
            <w:tcW w:type="dxa" w:w="3515"/>
          </w:tcPr>
          <w:p>
            <w:pPr>
              <w:spacing w:after="40"/>
            </w:pPr>
            <w:r>
              <w:rPr>
                <w:b w:val="0"/>
                <w:i w:val="0"/>
                <w:sz w:val="17"/>
              </w:rPr>
              <w:t>Без учителя (Unsupervised): не используют информацию о метках классов. Цель — сохранить общую структуру данных (PCA, t-SNE, UMAP, Isomap).</w:t>
            </w:r>
          </w:p>
        </w:tc>
        <w:tc>
          <w:tcPr>
            <w:tcW w:type="dxa" w:w="1474"/>
            <w:shd w:val="clear" w:color="auto" w:fill="FCE4D6"/>
          </w:tcPr>
          <w:p>
            <w:pPr>
              <w:spacing w:after="40"/>
            </w:pPr>
            <w:r>
              <w:rPr>
                <w:b/>
                <w:i w:val="0"/>
                <w:sz w:val="17"/>
              </w:rPr>
              <w:t>Не совпадало — заменено</w:t>
            </w:r>
          </w:p>
        </w:tc>
        <w:tc>
          <w:tcPr>
            <w:tcW w:type="dxa" w:w="4932"/>
          </w:tcPr>
          <w:p>
            <w:pPr>
              <w:spacing w:after="40"/>
            </w:pPr>
            <w:r>
              <w:rPr>
                <w:b/>
                <w:i w:val="0"/>
                <w:sz w:val="17"/>
              </w:rPr>
              <w:t>Страницы в отчёте: [1] с. 3</w:t>
            </w:r>
          </w:p>
          <w:p>
            <w:pPr>
              <w:spacing w:after="40"/>
            </w:pPr>
            <w:r>
              <w:rPr>
                <w:b w:val="0"/>
                <w:i/>
                <w:sz w:val="17"/>
              </w:rPr>
              <w:t>с. 3: «Full spectral techniques … perform an eigendecomposition of a full matrix that captures the covariances between dimensions or the pairwise similarities between datapoints … (1) PCA / classical scaling, (2) Isomap, (3) Kernel PCA, (4) MVU, and (5) diffusion maps.»</w:t>
            </w:r>
          </w:p>
        </w:tc>
        <w:tc>
          <w:tcPr>
            <w:tcW w:type="dxa" w:w="5102"/>
          </w:tcPr>
          <w:p>
            <w:pPr>
              <w:spacing w:after="40"/>
            </w:pPr>
            <w:r>
              <w:rPr>
                <w:b w:val="0"/>
                <w:i w:val="0"/>
                <w:sz w:val="17"/>
              </w:rPr>
              <w:t>Полные спектральные (full spectral): разложение полной матрицы, отражающей ковариации между признаками или попарные сходства между точками, — PCA / классическое шкалирование, Isomap, Kernel PCA, MVU, диффузионные карты.</w:t>
            </w:r>
          </w:p>
          <w:p>
            <w:pPr>
              <w:spacing w:after="40"/>
            </w:pPr>
            <w:r>
              <w:rPr>
                <w:b w:val="0"/>
                <w:i w:val="0"/>
                <w:sz w:val="16"/>
              </w:rPr>
              <w:t>Пояснение: Взято из статьи.</w:t>
            </w:r>
          </w:p>
        </w:tc>
      </w:tr>
      <w:tr>
        <w:tc>
          <w:tcPr>
            <w:tcW w:type="dxa" w:w="3515"/>
          </w:tcPr>
          <w:p>
            <w:pPr>
              <w:spacing w:after="40"/>
            </w:pPr>
            <w:r>
              <w:rPr>
                <w:b w:val="0"/>
                <w:i w:val="0"/>
                <w:sz w:val="17"/>
              </w:rPr>
              <w:t>С учителем (Supervised): используют метки для максимизации разделимости классов (LDA).</w:t>
            </w:r>
          </w:p>
        </w:tc>
        <w:tc>
          <w:tcPr>
            <w:tcW w:type="dxa" w:w="1474"/>
            <w:shd w:val="clear" w:color="auto" w:fill="FCE4D6"/>
          </w:tcPr>
          <w:p>
            <w:pPr>
              <w:spacing w:after="40"/>
            </w:pPr>
            <w:r>
              <w:rPr>
                <w:b/>
                <w:i w:val="0"/>
                <w:sz w:val="17"/>
              </w:rPr>
              <w:t>Не совпадало — заменено</w:t>
            </w:r>
          </w:p>
        </w:tc>
        <w:tc>
          <w:tcPr>
            <w:tcW w:type="dxa" w:w="4932"/>
          </w:tcPr>
          <w:p>
            <w:pPr>
              <w:spacing w:after="40"/>
            </w:pPr>
            <w:r>
              <w:rPr>
                <w:b/>
                <w:i w:val="0"/>
                <w:sz w:val="17"/>
              </w:rPr>
              <w:t>Страницы в отчёте: [1] с. 7</w:t>
            </w:r>
          </w:p>
          <w:p>
            <w:pPr>
              <w:spacing w:after="40"/>
            </w:pPr>
            <w:r>
              <w:rPr>
                <w:b w:val="0"/>
                <w:i/>
                <w:sz w:val="17"/>
              </w:rPr>
              <w:t>с. 7: «the four techniques discussed in this subsection solve a sparse (generalized) eigenproblem. All presented sparse spectral techniques only focus on retaining local structure of the data. … (1) LLE, (2) Laplacian Eigenmaps, (3) Hessian LLE, and (4) LTSA»</w:t>
            </w:r>
          </w:p>
        </w:tc>
        <w:tc>
          <w:tcPr>
            <w:tcW w:type="dxa" w:w="5102"/>
          </w:tcPr>
          <w:p>
            <w:pPr>
              <w:spacing w:after="40"/>
            </w:pPr>
            <w:r>
              <w:rPr>
                <w:b w:val="0"/>
                <w:i w:val="0"/>
                <w:sz w:val="17"/>
              </w:rPr>
              <w:t>Разреженные спектральные (sparse spectral): решают разреженную обобщённую задачу на собственные значения и сохраняют только локальную структуру данных — LLE, Laplacian Eigenmaps, Hessian LLE, LTSA.</w:t>
            </w:r>
          </w:p>
          <w:p>
            <w:pPr>
              <w:spacing w:after="40"/>
            </w:pPr>
            <w:r>
              <w:rPr>
                <w:b w:val="0"/>
                <w:i w:val="0"/>
                <w:sz w:val="16"/>
              </w:rPr>
              <w:t>Пояснение: Взято из статьи.</w:t>
            </w:r>
          </w:p>
        </w:tc>
      </w:tr>
      <w:tr>
        <w:tc>
          <w:tcPr>
            <w:tcW w:type="dxa" w:w="3515"/>
          </w:tcPr>
          <w:p>
            <w:pPr>
              <w:spacing w:after="40"/>
            </w:pPr>
            <w:r>
              <w:rPr>
                <w:b w:val="0"/>
                <w:i w:val="0"/>
                <w:sz w:val="17"/>
              </w:rPr>
              <w:t>Слабо контролируемые (Semi-supervised): используют и размеченные, и неразмеченные данные.</w:t>
            </w:r>
          </w:p>
        </w:tc>
        <w:tc>
          <w:tcPr>
            <w:tcW w:type="dxa" w:w="1474"/>
            <w:shd w:val="clear" w:color="auto" w:fill="D9D9D9"/>
          </w:tcPr>
          <w:p>
            <w:pPr>
              <w:spacing w:after="40"/>
            </w:pPr>
            <w:r>
              <w:rPr>
                <w:b/>
                <w:i w:val="0"/>
                <w:sz w:val="17"/>
              </w:rPr>
              <w:t>Удалено</w:t>
            </w:r>
          </w:p>
        </w:tc>
        <w:tc>
          <w:tcPr>
            <w:tcW w:type="dxa" w:w="4932"/>
          </w:tcPr>
          <w:p>
            <w:pPr>
              <w:spacing w:after="40"/>
            </w:pPr>
            <w:r>
              <w:rPr>
                <w:b w:val="0"/>
                <w:i w:val="0"/>
                <w:sz w:val="17"/>
              </w:rPr>
              <w:t>—</w:t>
            </w:r>
          </w:p>
        </w:tc>
        <w:tc>
          <w:tcPr>
            <w:tcW w:type="dxa" w:w="5102"/>
          </w:tcPr>
          <w:p>
            <w:pPr>
              <w:spacing w:after="40"/>
            </w:pPr>
            <w:r>
              <w:rPr>
                <w:b w:val="0"/>
                <w:i w:val="0"/>
                <w:sz w:val="17"/>
              </w:rPr>
              <w:t>(абзац удалён)</w:t>
            </w:r>
          </w:p>
          <w:p>
            <w:pPr>
              <w:spacing w:after="40"/>
            </w:pPr>
            <w:r>
              <w:rPr>
                <w:b w:val="0"/>
                <w:i w:val="0"/>
                <w:sz w:val="16"/>
              </w:rPr>
              <w:t>Пояснение: В источнике нет подтверждения (деление «метрические/неметрические», «слабо контролируемые» отсутствует; пример «t-SNE — неметрический» неверен).</w:t>
            </w:r>
          </w:p>
        </w:tc>
      </w:tr>
      <w:tr>
        <w:tc>
          <w:tcPr>
            <w:tcW w:type="dxa" w:w="3515"/>
          </w:tcPr>
          <w:p>
            <w:pPr>
              <w:spacing w:after="40"/>
            </w:pPr>
            <w:r>
              <w:rPr>
                <w:b w:val="0"/>
                <w:i w:val="0"/>
                <w:sz w:val="17"/>
              </w:rPr>
              <w:t>По сохранению метрики:</w:t>
            </w:r>
          </w:p>
        </w:tc>
        <w:tc>
          <w:tcPr>
            <w:tcW w:type="dxa" w:w="1474"/>
            <w:shd w:val="clear" w:color="auto" w:fill="D9D9D9"/>
          </w:tcPr>
          <w:p>
            <w:pPr>
              <w:spacing w:after="40"/>
            </w:pPr>
            <w:r>
              <w:rPr>
                <w:b/>
                <w:i w:val="0"/>
                <w:sz w:val="17"/>
              </w:rPr>
              <w:t>Удалено</w:t>
            </w:r>
          </w:p>
        </w:tc>
        <w:tc>
          <w:tcPr>
            <w:tcW w:type="dxa" w:w="4932"/>
          </w:tcPr>
          <w:p>
            <w:pPr>
              <w:spacing w:after="40"/>
            </w:pPr>
            <w:r>
              <w:rPr>
                <w:b w:val="0"/>
                <w:i w:val="0"/>
                <w:sz w:val="17"/>
              </w:rPr>
              <w:t>—</w:t>
            </w:r>
          </w:p>
        </w:tc>
        <w:tc>
          <w:tcPr>
            <w:tcW w:type="dxa" w:w="5102"/>
          </w:tcPr>
          <w:p>
            <w:pPr>
              <w:spacing w:after="40"/>
            </w:pPr>
            <w:r>
              <w:rPr>
                <w:b w:val="0"/>
                <w:i w:val="0"/>
                <w:sz w:val="17"/>
              </w:rPr>
              <w:t>(абзац удалён)</w:t>
            </w:r>
          </w:p>
          <w:p>
            <w:pPr>
              <w:spacing w:after="40"/>
            </w:pPr>
            <w:r>
              <w:rPr>
                <w:b w:val="0"/>
                <w:i w:val="0"/>
                <w:sz w:val="16"/>
              </w:rPr>
              <w:t>Пояснение: В источнике нет подтверждения (деление «метрические/неметрические», «слабо контролируемые» отсутствует; пример «t-SNE — неметрический» неверен).</w:t>
            </w:r>
          </w:p>
        </w:tc>
      </w:tr>
      <w:tr>
        <w:tc>
          <w:tcPr>
            <w:tcW w:type="dxa" w:w="3515"/>
          </w:tcPr>
          <w:p>
            <w:pPr>
              <w:spacing w:after="40"/>
            </w:pPr>
            <w:r>
              <w:rPr>
                <w:b w:val="0"/>
                <w:i w:val="0"/>
                <w:sz w:val="17"/>
              </w:rPr>
              <w:t>Метрические: стремятся сохранить глобальные или локальные расстояния/соседства между точками (MDS, Isomap, UMAP).</w:t>
            </w:r>
          </w:p>
        </w:tc>
        <w:tc>
          <w:tcPr>
            <w:tcW w:type="dxa" w:w="1474"/>
            <w:shd w:val="clear" w:color="auto" w:fill="D9D9D9"/>
          </w:tcPr>
          <w:p>
            <w:pPr>
              <w:spacing w:after="40"/>
            </w:pPr>
            <w:r>
              <w:rPr>
                <w:b/>
                <w:i w:val="0"/>
                <w:sz w:val="17"/>
              </w:rPr>
              <w:t>Удалено</w:t>
            </w:r>
          </w:p>
        </w:tc>
        <w:tc>
          <w:tcPr>
            <w:tcW w:type="dxa" w:w="4932"/>
          </w:tcPr>
          <w:p>
            <w:pPr>
              <w:spacing w:after="40"/>
            </w:pPr>
            <w:r>
              <w:rPr>
                <w:b w:val="0"/>
                <w:i w:val="0"/>
                <w:sz w:val="17"/>
              </w:rPr>
              <w:t>—</w:t>
            </w:r>
          </w:p>
        </w:tc>
        <w:tc>
          <w:tcPr>
            <w:tcW w:type="dxa" w:w="5102"/>
          </w:tcPr>
          <w:p>
            <w:pPr>
              <w:spacing w:after="40"/>
            </w:pPr>
            <w:r>
              <w:rPr>
                <w:b w:val="0"/>
                <w:i w:val="0"/>
                <w:sz w:val="17"/>
              </w:rPr>
              <w:t>(абзац удалён)</w:t>
            </w:r>
          </w:p>
          <w:p>
            <w:pPr>
              <w:spacing w:after="40"/>
            </w:pPr>
            <w:r>
              <w:rPr>
                <w:b w:val="0"/>
                <w:i w:val="0"/>
                <w:sz w:val="16"/>
              </w:rPr>
              <w:t>Пояснение: В источнике нет подтверждения (деление «метрические/неметрические», «слабо контролируемые» отсутствует; пример «t-SNE — неметрический» неверен).</w:t>
            </w:r>
          </w:p>
        </w:tc>
      </w:tr>
      <w:tr>
        <w:tc>
          <w:tcPr>
            <w:tcW w:type="dxa" w:w="3515"/>
          </w:tcPr>
          <w:p>
            <w:pPr>
              <w:spacing w:after="40"/>
            </w:pPr>
            <w:r>
              <w:rPr>
                <w:b w:val="0"/>
                <w:i w:val="0"/>
                <w:sz w:val="17"/>
              </w:rPr>
              <w:t>Неметрические: сохраняют порядок расстояний или иные топологические свойства (t-SNE).</w:t>
            </w:r>
          </w:p>
        </w:tc>
        <w:tc>
          <w:tcPr>
            <w:tcW w:type="dxa" w:w="1474"/>
            <w:shd w:val="clear" w:color="auto" w:fill="D9D9D9"/>
          </w:tcPr>
          <w:p>
            <w:pPr>
              <w:spacing w:after="40"/>
            </w:pPr>
            <w:r>
              <w:rPr>
                <w:b/>
                <w:i w:val="0"/>
                <w:sz w:val="17"/>
              </w:rPr>
              <w:t>Удалено</w:t>
            </w:r>
          </w:p>
        </w:tc>
        <w:tc>
          <w:tcPr>
            <w:tcW w:type="dxa" w:w="4932"/>
          </w:tcPr>
          <w:p>
            <w:pPr>
              <w:spacing w:after="40"/>
            </w:pPr>
            <w:r>
              <w:rPr>
                <w:b w:val="0"/>
                <w:i w:val="0"/>
                <w:sz w:val="17"/>
              </w:rPr>
              <w:t>—</w:t>
            </w:r>
          </w:p>
        </w:tc>
        <w:tc>
          <w:tcPr>
            <w:tcW w:type="dxa" w:w="5102"/>
          </w:tcPr>
          <w:p>
            <w:pPr>
              <w:spacing w:after="40"/>
            </w:pPr>
            <w:r>
              <w:rPr>
                <w:b w:val="0"/>
                <w:i w:val="0"/>
                <w:sz w:val="17"/>
              </w:rPr>
              <w:t>(абзац удалён)</w:t>
            </w:r>
          </w:p>
          <w:p>
            <w:pPr>
              <w:spacing w:after="40"/>
            </w:pPr>
            <w:r>
              <w:rPr>
                <w:b w:val="0"/>
                <w:i w:val="0"/>
                <w:sz w:val="16"/>
              </w:rPr>
              <w:t>Пояснение: В источнике нет подтверждения (деление «метрические/неметрические», «слабо контролируемые» отсутствует; пример «t-SNE — неметрический» неверен).</w:t>
            </w:r>
          </w:p>
        </w:tc>
      </w:tr>
    </w:tbl>
    <w:p>
      <w:pPr>
        <w:pStyle w:val="Heading2"/>
      </w:pPr>
      <w:r>
        <w:t>2.1. PCA — критерии выбора k, достоинства и ограничения</w:t>
      </w:r>
    </w:p>
    <w:tbl>
      <w:tblPr>
        <w:tblStyle w:val="TableGrid"/>
        <w:tblW w:type="auto" w:w="0"/>
        <w:tblLook w:firstColumn="1" w:firstRow="1" w:lastColumn="0" w:lastRow="0" w:noHBand="0" w:noVBand="1" w:val="04A0"/>
      </w:tblPr>
      <w:tblGrid>
        <w:gridCol w:w="3535"/>
        <w:gridCol w:w="3535"/>
        <w:gridCol w:w="3535"/>
        <w:gridCol w:w="3535"/>
      </w:tblGrid>
      <w:tr>
        <w:tc>
          <w:tcPr>
            <w:tcW w:type="dxa" w:w="3515"/>
            <w:shd w:val="clear" w:color="auto" w:fill="BFBFBF"/>
          </w:tcPr>
          <w:p>
            <w:pPr>
              <w:spacing w:after="40"/>
            </w:pPr>
            <w:r>
              <w:rPr>
                <w:b/>
                <w:i w:val="0"/>
                <w:sz w:val="18"/>
              </w:rPr>
              <w:t>Было в отчёте</w:t>
            </w:r>
          </w:p>
        </w:tc>
        <w:tc>
          <w:tcPr>
            <w:tcW w:type="dxa" w:w="1474"/>
            <w:shd w:val="clear" w:color="auto" w:fill="BFBFBF"/>
          </w:tcPr>
          <w:p>
            <w:pPr>
              <w:spacing w:after="40"/>
            </w:pPr>
            <w:r>
              <w:rPr>
                <w:b/>
                <w:i w:val="0"/>
                <w:sz w:val="18"/>
              </w:rPr>
              <w:t>Статус</w:t>
            </w:r>
          </w:p>
        </w:tc>
        <w:tc>
          <w:tcPr>
            <w:tcW w:type="dxa" w:w="4932"/>
            <w:shd w:val="clear" w:color="auto" w:fill="BFBFBF"/>
          </w:tcPr>
          <w:p>
            <w:pPr>
              <w:spacing w:after="40"/>
            </w:pPr>
            <w:r>
              <w:rPr>
                <w:b/>
                <w:i w:val="0"/>
                <w:sz w:val="18"/>
              </w:rPr>
              <w:t>Источник: страница и цитата</w:t>
            </w:r>
          </w:p>
        </w:tc>
        <w:tc>
          <w:tcPr>
            <w:tcW w:type="dxa" w:w="5102"/>
            <w:shd w:val="clear" w:color="auto" w:fill="BFBFBF"/>
          </w:tcPr>
          <w:p>
            <w:pPr>
              <w:spacing w:after="40"/>
            </w:pPr>
            <w:r>
              <w:rPr>
                <w:b/>
                <w:i w:val="0"/>
                <w:sz w:val="18"/>
              </w:rPr>
              <w:t>Стало / что исправлено</w:t>
            </w:r>
          </w:p>
        </w:tc>
      </w:tr>
      <w:tr>
        <w:tc>
          <w:tcPr>
            <w:tcW w:type="dxa" w:w="3515"/>
          </w:tcPr>
          <w:p>
            <w:pPr>
              <w:spacing w:after="40"/>
            </w:pPr>
            <w:r>
              <w:rPr>
                <w:b w:val="0"/>
                <w:i w:val="0"/>
                <w:sz w:val="17"/>
              </w:rPr>
              <w:t>Критерий выбора числа компонент (k):</w:t>
            </w:r>
          </w:p>
        </w:tc>
        <w:tc>
          <w:tcPr>
            <w:tcW w:type="dxa" w:w="1474"/>
            <w:shd w:val="clear" w:color="auto" w:fill="E2F0D9"/>
          </w:tcPr>
          <w:p>
            <w:pPr>
              <w:spacing w:after="40"/>
            </w:pPr>
            <w:r>
              <w:rPr>
                <w:b/>
                <w:i w:val="0"/>
                <w:sz w:val="17"/>
              </w:rPr>
              <w:t>Совпадает</w:t>
            </w:r>
          </w:p>
        </w:tc>
        <w:tc>
          <w:tcPr>
            <w:tcW w:type="dxa" w:w="4932"/>
          </w:tcPr>
          <w:p>
            <w:pPr>
              <w:spacing w:after="40"/>
            </w:pPr>
            <w:r>
              <w:rPr>
                <w:b/>
                <w:i w:val="0"/>
                <w:sz w:val="17"/>
              </w:rPr>
              <w:t>Страницы в отчёте: [2] с. 112–116</w:t>
            </w:r>
          </w:p>
          <w:p>
            <w:pPr>
              <w:spacing w:after="40"/>
            </w:pPr>
            <w:r>
              <w:rPr>
                <w:b w:val="0"/>
                <w:i/>
                <w:sz w:val="17"/>
              </w:rPr>
              <w:t>с. 112: «6.1 How Many Principal Components?»</w:t>
            </w:r>
          </w:p>
        </w:tc>
        <w:tc>
          <w:tcPr>
            <w:tcW w:type="dxa" w:w="5102"/>
          </w:tcPr>
          <w:p>
            <w:pPr>
              <w:spacing w:after="40"/>
            </w:pPr>
            <w:r>
              <w:rPr>
                <w:b w:val="0"/>
                <w:i w:val="0"/>
                <w:sz w:val="17"/>
              </w:rPr>
              <w:t>(текст сохранён)</w:t>
            </w:r>
          </w:p>
          <w:p>
            <w:pPr>
              <w:spacing w:after="40"/>
            </w:pPr>
            <w:r>
              <w:rPr>
                <w:b w:val="0"/>
                <w:i w:val="0"/>
                <w:sz w:val="16"/>
              </w:rPr>
              <w:t>Пояснение: Страницы «1–5» (там введение) заменены на с. 112–116, где разобран выбор числа компонент.</w:t>
            </w:r>
          </w:p>
        </w:tc>
      </w:tr>
      <w:tr>
        <w:tc>
          <w:tcPr>
            <w:tcW w:type="dxa" w:w="3515"/>
          </w:tcPr>
          <w:p>
            <w:pPr>
              <w:spacing w:after="40"/>
            </w:pPr>
            <w:r>
              <w:rPr>
                <w:b w:val="0"/>
                <w:i w:val="0"/>
                <w:sz w:val="17"/>
              </w:rPr>
              <w:t>Объясненная дисперсия: часто выбирают k так, чтобы сохранялась заданная доля общей дисперсии (например, 95%). Кумулятивная объясненная дисперсия вычисляется как сумма первых k собственных значений, деленная на сумму всех собственных значений.</w:t>
            </w:r>
          </w:p>
        </w:tc>
        <w:tc>
          <w:tcPr>
            <w:tcW w:type="dxa" w:w="1474"/>
            <w:shd w:val="clear" w:color="auto" w:fill="FFF2CC"/>
          </w:tcPr>
          <w:p>
            <w:pPr>
              <w:spacing w:after="40"/>
            </w:pPr>
            <w:r>
              <w:rPr>
                <w:b/>
                <w:i w:val="0"/>
                <w:sz w:val="17"/>
              </w:rPr>
              <w:t>Исправлено частично</w:t>
            </w:r>
          </w:p>
        </w:tc>
        <w:tc>
          <w:tcPr>
            <w:tcW w:type="dxa" w:w="4932"/>
          </w:tcPr>
          <w:p>
            <w:pPr>
              <w:spacing w:after="40"/>
            </w:pPr>
            <w:r>
              <w:rPr>
                <w:b/>
                <w:i w:val="0"/>
                <w:sz w:val="17"/>
              </w:rPr>
              <w:t>Страницы в отчёте: [2] с. 112–113</w:t>
            </w:r>
          </w:p>
          <w:p>
            <w:pPr>
              <w:spacing w:after="40"/>
            </w:pPr>
            <w:r>
              <w:rPr>
                <w:b w:val="0"/>
                <w:i/>
                <w:sz w:val="17"/>
              </w:rPr>
              <w:t>с. 112: «select a (cumulative) percentage of total variation which one desires that the selected PCs contribute, say 80% or 90%. The required number of PCs is then the smallest value of m for which this chosen percentage is exceeded.»</w:t>
            </w:r>
          </w:p>
          <w:p>
            <w:pPr>
              <w:spacing w:after="40"/>
            </w:pPr>
            <w:r>
              <w:rPr>
                <w:b w:val="0"/>
                <w:i/>
                <w:sz w:val="17"/>
              </w:rPr>
              <w:t>с. 113: «Although a sensible cutoff is very often in the range 70% to 90%, it can sometimes be higher or lower …»</w:t>
            </w:r>
          </w:p>
        </w:tc>
        <w:tc>
          <w:tcPr>
            <w:tcW w:type="dxa" w:w="5102"/>
          </w:tcPr>
          <w:p>
            <w:pPr>
              <w:spacing w:after="40"/>
            </w:pPr>
            <w:r>
              <w:rPr>
                <w:b w:val="0"/>
                <w:i w:val="0"/>
                <w:sz w:val="17"/>
              </w:rPr>
              <w:t>Объясненная дисперсия: задают долю общей дисперсии, которую должны сохранять выбранные компоненты, например 80 % или 90 %; нужное число компонент k — наименьшее, при котором эта доля превышена. Кумулятивная доля вычисляется как сумма первых k собственных значений, деленная на сумму всех собственных значений: t_k = 100·(λ_1 + … + λ_k) / (λ_1 + … + λ_p). На практике разумный порог обычно лежит в диапазоне 70–90 %.</w:t>
            </w:r>
          </w:p>
          <w:p>
            <w:pPr>
              <w:spacing w:after="40"/>
            </w:pPr>
            <w:r>
              <w:rPr>
                <w:b w:val="0"/>
                <w:i w:val="0"/>
                <w:sz w:val="16"/>
              </w:rPr>
              <w:t>Пояснение: Было «например, 95 %»; в книге «say 80% or 90%», разумный порог 70–90 %.</w:t>
            </w:r>
          </w:p>
        </w:tc>
      </w:tr>
      <w:tr>
        <w:tc>
          <w:tcPr>
            <w:tcW w:type="dxa" w:w="3515"/>
          </w:tcPr>
          <w:p>
            <w:pPr>
              <w:spacing w:after="40"/>
            </w:pPr>
            <w:r>
              <w:rPr>
                <w:b w:val="0"/>
                <w:i w:val="0"/>
                <w:sz w:val="17"/>
              </w:rPr>
              <w:t>График "каменистой осыпи" (Scree plot): график собственных значений. Часто выбирают k на "изгибе" графика, где дальнейшее добавление компонент дает незначительный прирост объясненной дисперсии.</w:t>
            </w:r>
          </w:p>
        </w:tc>
        <w:tc>
          <w:tcPr>
            <w:tcW w:type="dxa" w:w="1474"/>
            <w:shd w:val="clear" w:color="auto" w:fill="FFF2CC"/>
          </w:tcPr>
          <w:p>
            <w:pPr>
              <w:spacing w:after="40"/>
            </w:pPr>
            <w:r>
              <w:rPr>
                <w:b/>
                <w:i w:val="0"/>
                <w:sz w:val="17"/>
              </w:rPr>
              <w:t>Исправлено частично</w:t>
            </w:r>
          </w:p>
        </w:tc>
        <w:tc>
          <w:tcPr>
            <w:tcW w:type="dxa" w:w="4932"/>
          </w:tcPr>
          <w:p>
            <w:pPr>
              <w:spacing w:after="40"/>
            </w:pPr>
            <w:r>
              <w:rPr>
                <w:b/>
                <w:i w:val="0"/>
                <w:sz w:val="17"/>
              </w:rPr>
              <w:t>Страницы в отчёте: [2] с. 115–116</w:t>
            </w:r>
          </w:p>
          <w:p>
            <w:pPr>
              <w:spacing w:after="40"/>
            </w:pPr>
            <w:r>
              <w:rPr>
                <w:b w:val="0"/>
                <w:i/>
                <w:sz w:val="17"/>
              </w:rPr>
              <w:t>с. 115: «The scree graph … involves looking at a plot of l_k against k … and deciding at which value of k the slopes of lines joining the plotted points are ‘steep’ to the left of k, and ‘not steep’ to the right.»</w:t>
            </w:r>
          </w:p>
          <w:p>
            <w:pPr>
              <w:spacing w:after="40"/>
            </w:pPr>
            <w:r>
              <w:rPr>
                <w:b w:val="0"/>
                <w:i/>
                <w:sz w:val="17"/>
              </w:rPr>
              <w:t>с. 116: «This value of k, deﬁning an ‘elbow’ in the graph, is then taken to be the number of components m to be retained.»</w:t>
            </w:r>
          </w:p>
        </w:tc>
        <w:tc>
          <w:tcPr>
            <w:tcW w:type="dxa" w:w="5102"/>
          </w:tcPr>
          <w:p>
            <w:pPr>
              <w:spacing w:after="40"/>
            </w:pPr>
            <w:r>
              <w:rPr>
                <w:b w:val="0"/>
                <w:i w:val="0"/>
                <w:sz w:val="17"/>
              </w:rPr>
              <w:t>График «каменистой осыпи» (scree graph): график собственных значений λ_k в зависимости от номера k. Выбирают такое k, левее которого отрезки, соединяющие точки, «крутые», а правее — «не крутые»; этот «изгиб» (elbow) принимается за число сохраняемых компонент. Правило достаточно субъективно.</w:t>
            </w:r>
          </w:p>
          <w:p>
            <w:pPr>
              <w:spacing w:after="40"/>
            </w:pPr>
            <w:r>
              <w:rPr>
                <w:b w:val="0"/>
                <w:i w:val="0"/>
                <w:sz w:val="16"/>
              </w:rPr>
              <w:t>Пояснение: Смысл верный; страницы исправлены, добавлено уточнение из книги.</w:t>
            </w:r>
          </w:p>
        </w:tc>
      </w:tr>
      <w:tr>
        <w:tc>
          <w:tcPr>
            <w:tcW w:type="dxa" w:w="3515"/>
          </w:tcPr>
          <w:p>
            <w:pPr>
              <w:spacing w:after="40"/>
            </w:pPr>
            <w:r>
              <w:rPr>
                <w:b w:val="0"/>
                <w:i w:val="0"/>
                <w:sz w:val="17"/>
              </w:rPr>
              <w:t>Достоинства PCA:</w:t>
            </w:r>
          </w:p>
        </w:tc>
        <w:tc>
          <w:tcPr>
            <w:tcW w:type="dxa" w:w="1474"/>
            <w:shd w:val="clear" w:color="auto" w:fill="E2F0D9"/>
          </w:tcPr>
          <w:p>
            <w:pPr>
              <w:spacing w:after="40"/>
            </w:pPr>
            <w:r>
              <w:rPr>
                <w:b/>
                <w:i w:val="0"/>
                <w:sz w:val="17"/>
              </w:rPr>
              <w:t>Совпадает</w:t>
            </w:r>
          </w:p>
        </w:tc>
        <w:tc>
          <w:tcPr>
            <w:tcW w:type="dxa" w:w="4932"/>
          </w:tcPr>
          <w:p>
            <w:pPr>
              <w:spacing w:after="40"/>
            </w:pPr>
            <w:r>
              <w:rPr>
                <w:b/>
                <w:i w:val="0"/>
                <w:sz w:val="17"/>
              </w:rPr>
              <w:t>Страницы в отчёте: [2] с. 1–2</w:t>
            </w:r>
          </w:p>
        </w:tc>
        <w:tc>
          <w:tcPr>
            <w:tcW w:type="dxa" w:w="5102"/>
          </w:tcPr>
          <w:p>
            <w:pPr>
              <w:spacing w:after="40"/>
            </w:pPr>
            <w:r>
              <w:rPr>
                <w:b w:val="0"/>
                <w:i w:val="0"/>
                <w:sz w:val="17"/>
              </w:rPr>
              <w:t>(текст сохранён)</w:t>
            </w:r>
          </w:p>
          <w:p>
            <w:pPr>
              <w:spacing w:after="40"/>
            </w:pPr>
            <w:r>
              <w:rPr>
                <w:b w:val="0"/>
                <w:i w:val="0"/>
                <w:sz w:val="16"/>
              </w:rPr>
              <w:t>Пояснение: Страницы уточнены.</w:t>
            </w:r>
          </w:p>
        </w:tc>
      </w:tr>
      <w:tr>
        <w:tc>
          <w:tcPr>
            <w:tcW w:type="dxa" w:w="3515"/>
          </w:tcPr>
          <w:p>
            <w:pPr>
              <w:spacing w:after="40"/>
            </w:pPr>
            <w:r>
              <w:rPr>
                <w:b w:val="0"/>
                <w:i w:val="0"/>
                <w:sz w:val="17"/>
              </w:rPr>
              <w:t>Глобальная оптимизация: находит наилучшее (в смысле среднеквадратичной ошибки) линейное приближение данных заданной размерности.</w:t>
            </w:r>
          </w:p>
        </w:tc>
        <w:tc>
          <w:tcPr>
            <w:tcW w:type="dxa" w:w="1474"/>
            <w:shd w:val="clear" w:color="auto" w:fill="FFF2CC"/>
          </w:tcPr>
          <w:p>
            <w:pPr>
              <w:spacing w:after="40"/>
            </w:pPr>
            <w:r>
              <w:rPr>
                <w:b/>
                <w:i w:val="0"/>
                <w:sz w:val="17"/>
              </w:rPr>
              <w:t>Исправлено частично</w:t>
            </w:r>
          </w:p>
        </w:tc>
        <w:tc>
          <w:tcPr>
            <w:tcW w:type="dxa" w:w="4932"/>
          </w:tcPr>
          <w:p>
            <w:pPr>
              <w:spacing w:after="40"/>
            </w:pPr>
            <w:r>
              <w:rPr>
                <w:b/>
                <w:i w:val="0"/>
                <w:sz w:val="17"/>
              </w:rPr>
              <w:t>Страницы в отчёте: [2] с. 16, 34, 46</w:t>
            </w:r>
          </w:p>
          <w:p>
            <w:pPr>
              <w:spacing w:after="40"/>
            </w:pPr>
            <w:r>
              <w:rPr>
                <w:b w:val="0"/>
                <w:i/>
                <w:sz w:val="17"/>
              </w:rPr>
              <w:t>с. 16: «Property A5 … Σσ_j² is minimized if B = A_q. … if we wish to get the best linear predictor of x in a q-dimensional subspace, in the sense of minimizing the sum over elements of x of the residual variances, then this optimal subspace is defined by the first q PCs.»</w:t>
            </w:r>
          </w:p>
          <w:p>
            <w:pPr>
              <w:spacing w:after="40"/>
            </w:pPr>
            <w:r>
              <w:rPr>
                <w:b w:val="0"/>
                <w:i/>
                <w:sz w:val="17"/>
              </w:rPr>
              <w:t>с. 46: «m x̃_ij gives the best possible rank m approximation to x_ij, in the sense of minimizing Σ(m x_ij − x_ij)²»</w:t>
            </w:r>
          </w:p>
        </w:tc>
        <w:tc>
          <w:tcPr>
            <w:tcW w:type="dxa" w:w="5102"/>
          </w:tcPr>
          <w:p>
            <w:pPr>
              <w:spacing w:after="40"/>
            </w:pPr>
            <w:r>
              <w:rPr>
                <w:b w:val="0"/>
                <w:i w:val="0"/>
                <w:sz w:val="17"/>
              </w:rPr>
              <w:t>Оптимальность линейного приближения: первые q главных компонент дают наилучшее (в смысле наименьших квадратов) линейное предсказание исходных переменных — сумма остаточных дисперсий минимальна; усечённое SVD даёт наилучшее приближение матрицы данных заданного ранга.</w:t>
            </w:r>
          </w:p>
          <w:p>
            <w:pPr>
              <w:spacing w:after="40"/>
            </w:pPr>
            <w:r>
              <w:rPr>
                <w:b w:val="0"/>
                <w:i w:val="0"/>
                <w:sz w:val="16"/>
              </w:rPr>
              <w:t>Пояснение: Смысл верный; указаны точные места (свойства A5, G3 и результат о приближении ранга m).</w:t>
            </w:r>
          </w:p>
        </w:tc>
      </w:tr>
      <w:tr>
        <w:tc>
          <w:tcPr>
            <w:tcW w:type="dxa" w:w="3515"/>
          </w:tcPr>
          <w:p>
            <w:pPr>
              <w:spacing w:after="40"/>
            </w:pPr>
            <w:r>
              <w:rPr>
                <w:b w:val="0"/>
                <w:i w:val="0"/>
                <w:sz w:val="17"/>
              </w:rPr>
              <w:t>Интерпретируемость: главные компоненты являются линейными комбинациями исходных признаков. Можно анализировать веса (loadings), чтобы понять, какие исходные признаки вносят наибольший вклад в каждую компоненту.</w:t>
            </w:r>
          </w:p>
        </w:tc>
        <w:tc>
          <w:tcPr>
            <w:tcW w:type="dxa" w:w="1474"/>
            <w:shd w:val="clear" w:color="auto" w:fill="FFF2CC"/>
          </w:tcPr>
          <w:p>
            <w:pPr>
              <w:spacing w:after="40"/>
            </w:pPr>
            <w:r>
              <w:rPr>
                <w:b/>
                <w:i w:val="0"/>
                <w:sz w:val="17"/>
              </w:rPr>
              <w:t>Исправлено частично</w:t>
            </w:r>
          </w:p>
        </w:tc>
        <w:tc>
          <w:tcPr>
            <w:tcW w:type="dxa" w:w="4932"/>
          </w:tcPr>
          <w:p>
            <w:pPr>
              <w:spacing w:after="40"/>
            </w:pPr>
            <w:r>
              <w:rPr>
                <w:b/>
                <w:i w:val="0"/>
                <w:sz w:val="17"/>
              </w:rPr>
              <w:t>Страницы в отчёте: [2] с. 2</w:t>
            </w:r>
          </w:p>
          <w:p>
            <w:pPr>
              <w:spacing w:after="40"/>
            </w:pPr>
            <w:r>
              <w:rPr>
                <w:b w:val="0"/>
                <w:i/>
                <w:sz w:val="17"/>
              </w:rPr>
              <w:t>с. 2: «look for a linear function α1′x of the elements of x having maximum variance … α1′x = α11 x1 + α12 x2 + · · · + α1p xp»</w:t>
            </w:r>
          </w:p>
        </w:tc>
        <w:tc>
          <w:tcPr>
            <w:tcW w:type="dxa" w:w="5102"/>
          </w:tcPr>
          <w:p>
            <w:pPr>
              <w:spacing w:after="40"/>
            </w:pPr>
            <w:r>
              <w:rPr>
                <w:b w:val="0"/>
                <w:i w:val="0"/>
                <w:sz w:val="17"/>
              </w:rPr>
              <w:t>Интерпретируемость: главная компонента — линейная комбинация исходных переменных α_1x = α_11x_1 + … + α_1p x_p; по коэффициентам можно судить, какие переменные вносят наибольший вклад в компоненту.</w:t>
            </w:r>
          </w:p>
          <w:p>
            <w:pPr>
              <w:spacing w:after="40"/>
            </w:pPr>
            <w:r>
              <w:rPr>
                <w:b w:val="0"/>
                <w:i w:val="0"/>
                <w:sz w:val="16"/>
              </w:rPr>
              <w:t>Пояснение: Термин «веса (loadings)» в этом разделе книги не используется — говорится о коэффициентах линейной функции.</w:t>
            </w:r>
          </w:p>
        </w:tc>
      </w:tr>
      <w:tr>
        <w:tc>
          <w:tcPr>
            <w:tcW w:type="dxa" w:w="3515"/>
          </w:tcPr>
          <w:p>
            <w:pPr>
              <w:spacing w:after="40"/>
            </w:pPr>
            <w:r>
              <w:rPr>
                <w:b w:val="0"/>
                <w:i w:val="0"/>
                <w:sz w:val="17"/>
              </w:rPr>
              <w:t>Устранение мультиколлинеарности: новые признаки (компоненты) ортогональны и, следовательно, не коррелированы.</w:t>
            </w:r>
          </w:p>
        </w:tc>
        <w:tc>
          <w:tcPr>
            <w:tcW w:type="dxa" w:w="1474"/>
            <w:shd w:val="clear" w:color="auto" w:fill="FFF2CC"/>
          </w:tcPr>
          <w:p>
            <w:pPr>
              <w:spacing w:after="40"/>
            </w:pPr>
            <w:r>
              <w:rPr>
                <w:b/>
                <w:i w:val="0"/>
                <w:sz w:val="17"/>
              </w:rPr>
              <w:t>Исправлено частично</w:t>
            </w:r>
          </w:p>
        </w:tc>
        <w:tc>
          <w:tcPr>
            <w:tcW w:type="dxa" w:w="4932"/>
          </w:tcPr>
          <w:p>
            <w:pPr>
              <w:spacing w:after="40"/>
            </w:pPr>
            <w:r>
              <w:rPr>
                <w:b/>
                <w:i w:val="0"/>
                <w:sz w:val="17"/>
              </w:rPr>
              <w:t>Страницы в отчёте: [2] с. 1–2, 167, 171</w:t>
            </w:r>
          </w:p>
          <w:p>
            <w:pPr>
              <w:spacing w:after="40"/>
            </w:pPr>
            <w:r>
              <w:rPr>
                <w:b w:val="0"/>
                <w:i/>
                <w:sz w:val="17"/>
              </w:rPr>
              <w:t>с. 1: «the principal components (PCs), which are uncorrelated, and which are ordered so that the ﬁrst few retain most of the variation present in all of the original variables»</w:t>
            </w:r>
          </w:p>
          <w:p>
            <w:pPr>
              <w:spacing w:after="40"/>
            </w:pPr>
            <w:r>
              <w:rPr>
                <w:b w:val="0"/>
                <w:i/>
                <w:sz w:val="17"/>
              </w:rPr>
              <w:t>с. 171: «If a multicollinearity exists, then it appears as a PC with very small variance»</w:t>
            </w:r>
          </w:p>
        </w:tc>
        <w:tc>
          <w:tcPr>
            <w:tcW w:type="dxa" w:w="5102"/>
          </w:tcPr>
          <w:p>
            <w:pPr>
              <w:spacing w:after="40"/>
            </w:pPr>
            <w:r>
              <w:rPr>
                <w:b w:val="0"/>
                <w:i w:val="0"/>
                <w:sz w:val="17"/>
              </w:rPr>
              <w:t>Некоррелированность компонент: новые переменные — главные компоненты — не коррелируют между собой, а первые из них сохраняют большую часть вариации исходных данных; поэтому регрессию на главные компоненты используют против мультиколлинеарности предикторов (мультиколлинеарность проявляется как компонента с очень малой дисперсией).</w:t>
            </w:r>
          </w:p>
          <w:p>
            <w:pPr>
              <w:spacing w:after="40"/>
            </w:pPr>
            <w:r>
              <w:rPr>
                <w:b w:val="0"/>
                <w:i w:val="0"/>
                <w:sz w:val="16"/>
              </w:rPr>
              <w:t>Пояснение: Формулировка «ортогональны и, следовательно, не коррелированы» заменена формулировкой книги; добавлены страницы про мультиколлинеарность.</w:t>
            </w:r>
          </w:p>
        </w:tc>
      </w:tr>
      <w:tr>
        <w:tc>
          <w:tcPr>
            <w:tcW w:type="dxa" w:w="3515"/>
          </w:tcPr>
          <w:p>
            <w:pPr>
              <w:spacing w:after="40"/>
            </w:pPr>
            <w:r>
              <w:rPr>
                <w:b w:val="0"/>
                <w:i w:val="0"/>
                <w:sz w:val="17"/>
              </w:rPr>
              <w:t>Вычислительная эффективность: реализуется через устойчивые алгоритмы (SVD).</w:t>
            </w:r>
          </w:p>
        </w:tc>
        <w:tc>
          <w:tcPr>
            <w:tcW w:type="dxa" w:w="1474"/>
            <w:shd w:val="clear" w:color="auto" w:fill="FFF2CC"/>
          </w:tcPr>
          <w:p>
            <w:pPr>
              <w:spacing w:after="40"/>
            </w:pPr>
            <w:r>
              <w:rPr>
                <w:b/>
                <w:i w:val="0"/>
                <w:sz w:val="17"/>
              </w:rPr>
              <w:t>Исправлено частично</w:t>
            </w:r>
          </w:p>
        </w:tc>
        <w:tc>
          <w:tcPr>
            <w:tcW w:type="dxa" w:w="4932"/>
          </w:tcPr>
          <w:p>
            <w:pPr>
              <w:spacing w:after="40"/>
            </w:pPr>
            <w:r>
              <w:rPr>
                <w:b/>
                <w:i w:val="0"/>
                <w:sz w:val="17"/>
              </w:rPr>
              <w:t>Страницы в отчёте: [2] с. 45</w:t>
            </w:r>
          </w:p>
          <w:p>
            <w:pPr>
              <w:spacing w:after="40"/>
            </w:pPr>
            <w:r>
              <w:rPr>
                <w:b w:val="0"/>
                <w:i/>
                <w:sz w:val="17"/>
              </w:rPr>
              <w:t>с. 45: «First, it provides a computationally efﬁcient method of actually ﬁnding PCs (see Appendix A1).»</w:t>
            </w:r>
          </w:p>
        </w:tc>
        <w:tc>
          <w:tcPr>
            <w:tcW w:type="dxa" w:w="5102"/>
          </w:tcPr>
          <w:p>
            <w:pPr>
              <w:spacing w:after="40"/>
            </w:pPr>
            <w:r>
              <w:rPr>
                <w:b w:val="0"/>
                <w:i w:val="0"/>
                <w:sz w:val="17"/>
              </w:rPr>
              <w:t>Вычислительная эффективность: SVD — вычислительно эффективный способ нахождения главных компонент.</w:t>
            </w:r>
          </w:p>
          <w:p>
            <w:pPr>
              <w:spacing w:after="40"/>
            </w:pPr>
            <w:r>
              <w:rPr>
                <w:b w:val="0"/>
                <w:i w:val="0"/>
                <w:sz w:val="16"/>
              </w:rPr>
              <w:t>Пояснение: Слово «устойчивые» в книге не употребляется; сказано «computationally efficient».</w:t>
            </w:r>
          </w:p>
        </w:tc>
      </w:tr>
      <w:tr>
        <w:tc>
          <w:tcPr>
            <w:tcW w:type="dxa" w:w="3515"/>
          </w:tcPr>
          <w:p>
            <w:pPr>
              <w:spacing w:after="40"/>
            </w:pPr>
            <w:r>
              <w:rPr>
                <w:b w:val="0"/>
                <w:i w:val="0"/>
                <w:sz w:val="17"/>
              </w:rPr>
              <w:t>Снижение шума: Компоненты с наименьшей дисперсией часто соответствуют шуму и могут быть отброшены.</w:t>
            </w:r>
          </w:p>
        </w:tc>
        <w:tc>
          <w:tcPr>
            <w:tcW w:type="dxa" w:w="1474"/>
            <w:shd w:val="clear" w:color="auto" w:fill="FFF2CC"/>
          </w:tcPr>
          <w:p>
            <w:pPr>
              <w:spacing w:after="40"/>
            </w:pPr>
            <w:r>
              <w:rPr>
                <w:b/>
                <w:i w:val="0"/>
                <w:sz w:val="17"/>
              </w:rPr>
              <w:t>Исправлено частично</w:t>
            </w:r>
          </w:p>
        </w:tc>
        <w:tc>
          <w:tcPr>
            <w:tcW w:type="dxa" w:w="4932"/>
          </w:tcPr>
          <w:p>
            <w:pPr>
              <w:spacing w:after="40"/>
            </w:pPr>
            <w:r>
              <w:rPr>
                <w:b/>
                <w:i w:val="0"/>
                <w:sz w:val="17"/>
              </w:rPr>
              <w:t>Страницы в отчёте: [2] с. 53–54</w:t>
            </w:r>
          </w:p>
          <w:p>
            <w:pPr>
              <w:spacing w:after="40"/>
            </w:pPr>
            <w:r>
              <w:rPr>
                <w:b w:val="0"/>
                <w:i/>
                <w:sz w:val="17"/>
              </w:rPr>
              <w:t>с. 53: «the last (p − q) PCs are of equal variation and essentially just measure ‘noise’»</w:t>
            </w:r>
          </w:p>
          <w:p>
            <w:pPr>
              <w:spacing w:after="40"/>
            </w:pPr>
            <w:r>
              <w:rPr>
                <w:b w:val="0"/>
                <w:i/>
                <w:sz w:val="17"/>
              </w:rPr>
              <w:t>с. 54: «By testing H0q for various values of q it can be decided how many PCs are distinguishable from ‘noise’ and are therefore worth retaining.»</w:t>
            </w:r>
          </w:p>
        </w:tc>
        <w:tc>
          <w:tcPr>
            <w:tcW w:type="dxa" w:w="5102"/>
          </w:tcPr>
          <w:p>
            <w:pPr>
              <w:spacing w:after="40"/>
            </w:pPr>
            <w:r>
              <w:rPr>
                <w:b w:val="0"/>
                <w:i w:val="0"/>
                <w:sz w:val="17"/>
              </w:rPr>
              <w:t>Отделение шума: последние компоненты с одинаково малыми дисперсиями могут просто описывать «шум»; проверяя гипотезу о равенстве последних собственных значений, определяют, сколько компонент отличимы от шума и достойны сохранения.</w:t>
            </w:r>
          </w:p>
          <w:p>
            <w:pPr>
              <w:spacing w:after="40"/>
            </w:pPr>
            <w:r>
              <w:rPr>
                <w:b w:val="0"/>
                <w:i w:val="0"/>
                <w:sz w:val="16"/>
              </w:rPr>
              <w:t>Пояснение: Утверждение подтверждается, но в виде статистической проверки (раздел 3.7); страницы исправлены.</w:t>
            </w:r>
          </w:p>
        </w:tc>
      </w:tr>
      <w:tr>
        <w:tc>
          <w:tcPr>
            <w:tcW w:type="dxa" w:w="3515"/>
          </w:tcPr>
          <w:p>
            <w:pPr>
              <w:spacing w:after="40"/>
            </w:pPr>
            <w:r>
              <w:rPr>
                <w:b w:val="0"/>
                <w:i w:val="0"/>
                <w:sz w:val="17"/>
              </w:rPr>
              <w:t>Ограничения PCA:</w:t>
            </w:r>
          </w:p>
        </w:tc>
        <w:tc>
          <w:tcPr>
            <w:tcW w:type="dxa" w:w="1474"/>
            <w:shd w:val="clear" w:color="auto" w:fill="E2F0D9"/>
          </w:tcPr>
          <w:p>
            <w:pPr>
              <w:spacing w:after="40"/>
            </w:pPr>
            <w:r>
              <w:rPr>
                <w:b/>
                <w:i w:val="0"/>
                <w:sz w:val="17"/>
              </w:rPr>
              <w:t>Совпадает</w:t>
            </w:r>
          </w:p>
        </w:tc>
        <w:tc>
          <w:tcPr>
            <w:tcW w:type="dxa" w:w="4932"/>
          </w:tcPr>
          <w:p>
            <w:pPr>
              <w:spacing w:after="40"/>
            </w:pPr>
            <w:r>
              <w:rPr>
                <w:b/>
                <w:i w:val="0"/>
                <w:sz w:val="17"/>
              </w:rPr>
              <w:t>Страницы в отчёте: [2] с. 2, 22, 64</w:t>
            </w:r>
          </w:p>
        </w:tc>
        <w:tc>
          <w:tcPr>
            <w:tcW w:type="dxa" w:w="5102"/>
          </w:tcPr>
          <w:p>
            <w:pPr>
              <w:spacing w:after="40"/>
            </w:pPr>
            <w:r>
              <w:rPr>
                <w:b w:val="0"/>
                <w:i w:val="0"/>
                <w:sz w:val="17"/>
              </w:rPr>
              <w:t>(текст сохранён)</w:t>
            </w:r>
          </w:p>
          <w:p>
            <w:pPr>
              <w:spacing w:after="40"/>
            </w:pPr>
            <w:r>
              <w:rPr>
                <w:b w:val="0"/>
                <w:i w:val="0"/>
                <w:sz w:val="16"/>
              </w:rPr>
              <w:t>Пояснение: Страницы уточнены.</w:t>
            </w:r>
          </w:p>
        </w:tc>
      </w:tr>
      <w:tr>
        <w:tc>
          <w:tcPr>
            <w:tcW w:type="dxa" w:w="3515"/>
          </w:tcPr>
          <w:p>
            <w:pPr>
              <w:spacing w:after="40"/>
            </w:pPr>
            <w:r>
              <w:rPr>
                <w:b w:val="0"/>
                <w:i w:val="0"/>
                <w:sz w:val="17"/>
              </w:rPr>
              <w:t>Линейность: предполагает, что данные лежат в линейном подпространстве. Неэффективен для данных, образующих сложное нелинейное многообразие (например, "швейцарский рулет").</w:t>
            </w:r>
          </w:p>
        </w:tc>
        <w:tc>
          <w:tcPr>
            <w:tcW w:type="dxa" w:w="1474"/>
            <w:shd w:val="clear" w:color="auto" w:fill="FFF2CC"/>
          </w:tcPr>
          <w:p>
            <w:pPr>
              <w:spacing w:after="40"/>
            </w:pPr>
            <w:r>
              <w:rPr>
                <w:b/>
                <w:i w:val="0"/>
                <w:sz w:val="17"/>
              </w:rPr>
              <w:t>Исправлено частично</w:t>
            </w:r>
          </w:p>
        </w:tc>
        <w:tc>
          <w:tcPr>
            <w:tcW w:type="dxa" w:w="4932"/>
          </w:tcPr>
          <w:p>
            <w:pPr>
              <w:spacing w:after="40"/>
            </w:pPr>
            <w:r>
              <w:rPr>
                <w:b/>
                <w:i w:val="0"/>
                <w:sz w:val="17"/>
              </w:rPr>
              <w:t>Страницы в отчёте: [2] с. 2, 374</w:t>
            </w:r>
          </w:p>
          <w:p>
            <w:pPr>
              <w:spacing w:after="40"/>
            </w:pPr>
            <w:r>
              <w:rPr>
                <w:b w:val="0"/>
                <w:i/>
                <w:sz w:val="17"/>
              </w:rPr>
              <w:t>с. 374: «14.1 Non-Linear Extensions of Principal Component Analysis»</w:t>
            </w:r>
          </w:p>
          <w:p>
            <w:pPr>
              <w:spacing w:after="40"/>
            </w:pPr>
            <w:r>
              <w:rPr>
                <w:b w:val="0"/>
                <w:i/>
                <w:sz w:val="17"/>
              </w:rPr>
              <w:t>с. 1: «(обзор [1]) the Swiss roll dataset … A vast number of nonlinear techniques are perfectly able to find this embedding, whereas linear techniques fail to do so.»</w:t>
            </w:r>
          </w:p>
        </w:tc>
        <w:tc>
          <w:tcPr>
            <w:tcW w:type="dxa" w:w="5102"/>
          </w:tcPr>
          <w:p>
            <w:pPr>
              <w:spacing w:after="40"/>
            </w:pPr>
            <w:r>
              <w:rPr>
                <w:b w:val="0"/>
                <w:i w:val="0"/>
                <w:sz w:val="17"/>
              </w:rPr>
              <w:t>Линейность: главные компоненты — линейные функции исходных переменных, поэтому нелинейные зависимости требуют нелинейных расширений PCA (раздел 14.1). Для данных на нелинейном многообразии (например, «швейцарский рулет») линейные методы не находят вложение, тогда как множество нелинейных методов с этим справляется (см. [1] с. 1).</w:t>
            </w:r>
          </w:p>
          <w:p>
            <w:pPr>
              <w:spacing w:after="40"/>
            </w:pPr>
            <w:r>
              <w:rPr>
                <w:b w:val="0"/>
                <w:i w:val="0"/>
                <w:sz w:val="16"/>
              </w:rPr>
              <w:t>Пояснение: Пример «швейцарского рулета» в книге Jolliffe отсутствует — он есть в обзоре [1] (с. 1); добавлена ссылка.</w:t>
            </w:r>
          </w:p>
        </w:tc>
      </w:tr>
      <w:tr>
        <w:tc>
          <w:tcPr>
            <w:tcW w:type="dxa" w:w="3515"/>
          </w:tcPr>
          <w:p>
            <w:pPr>
              <w:spacing w:after="40"/>
            </w:pPr>
            <w:r>
              <w:rPr>
                <w:b w:val="0"/>
                <w:i w:val="0"/>
                <w:sz w:val="17"/>
              </w:rPr>
              <w:t>Максимизация дисперсии, а не информативности: Компоненты с максимальной дисперсией не всегда несут наибольшую информацию для решения конкретной задачи (например, классификации).</w:t>
            </w:r>
          </w:p>
        </w:tc>
        <w:tc>
          <w:tcPr>
            <w:tcW w:type="dxa" w:w="1474"/>
            <w:shd w:val="clear" w:color="auto" w:fill="FFF2CC"/>
          </w:tcPr>
          <w:p>
            <w:pPr>
              <w:spacing w:after="40"/>
            </w:pPr>
            <w:r>
              <w:rPr>
                <w:b/>
                <w:i w:val="0"/>
                <w:sz w:val="17"/>
              </w:rPr>
              <w:t>Исправлено частично</w:t>
            </w:r>
          </w:p>
        </w:tc>
        <w:tc>
          <w:tcPr>
            <w:tcW w:type="dxa" w:w="4932"/>
          </w:tcPr>
          <w:p>
            <w:pPr>
              <w:spacing w:after="40"/>
            </w:pPr>
            <w:r>
              <w:rPr>
                <w:b/>
                <w:i w:val="0"/>
                <w:sz w:val="17"/>
              </w:rPr>
              <w:t>Страницы в отчёте: [2] с. 204</w:t>
            </w:r>
          </w:p>
          <w:p>
            <w:pPr>
              <w:spacing w:after="40"/>
            </w:pPr>
            <w:r>
              <w:rPr>
                <w:b w:val="0"/>
                <w:i/>
                <w:sz w:val="17"/>
              </w:rPr>
              <w:t>с. 204: «this will not necessarily correspond to the ﬁrst PC, which maximizes λk. Indeed, if α1 is orthogonal to (µ1 − µ2), as in Figure 9.2, then the ﬁrst PC has no discriminatory power at all. … low-variance PCs are important discriminators»</w:t>
            </w:r>
          </w:p>
        </w:tc>
        <w:tc>
          <w:tcPr>
            <w:tcW w:type="dxa" w:w="5102"/>
          </w:tcPr>
          <w:p>
            <w:pPr>
              <w:spacing w:after="40"/>
            </w:pPr>
            <w:r>
              <w:rPr>
                <w:b w:val="0"/>
                <w:i w:val="0"/>
                <w:sz w:val="17"/>
              </w:rPr>
              <w:t>Максимизация дисперсии, а не информативности: первая компонента, максимизирующая дисперсию, не обязательно обладает наибольшей различающей способностью; если вектор α_1 ортогонален разности средних (μ_1 − μ_2), то первая компонента не различает группы вовсе, а в ряде примеров важными дискриминаторами оказываются компоненты с малой дисперсией.</w:t>
            </w:r>
          </w:p>
          <w:p>
            <w:pPr>
              <w:spacing w:after="40"/>
            </w:pPr>
            <w:r>
              <w:rPr>
                <w:b w:val="0"/>
                <w:i w:val="0"/>
                <w:sz w:val="16"/>
              </w:rPr>
              <w:t>Пояснение: Смысл верный; приведена формулировка книги с точной страницей.</w:t>
            </w:r>
          </w:p>
        </w:tc>
      </w:tr>
      <w:tr>
        <w:tc>
          <w:tcPr>
            <w:tcW w:type="dxa" w:w="3515"/>
          </w:tcPr>
          <w:p>
            <w:pPr>
              <w:spacing w:after="40"/>
            </w:pPr>
            <w:r>
              <w:rPr>
                <w:b w:val="0"/>
                <w:i w:val="0"/>
                <w:sz w:val="17"/>
              </w:rPr>
              <w:t>Чувствительность к масштабу: требует стандартизации признаков, если они измерены в разных единицах.</w:t>
            </w:r>
          </w:p>
        </w:tc>
        <w:tc>
          <w:tcPr>
            <w:tcW w:type="dxa" w:w="1474"/>
            <w:shd w:val="clear" w:color="auto" w:fill="FFF2CC"/>
          </w:tcPr>
          <w:p>
            <w:pPr>
              <w:spacing w:after="40"/>
            </w:pPr>
            <w:r>
              <w:rPr>
                <w:b/>
                <w:i w:val="0"/>
                <w:sz w:val="17"/>
              </w:rPr>
              <w:t>Исправлено частично</w:t>
            </w:r>
          </w:p>
        </w:tc>
        <w:tc>
          <w:tcPr>
            <w:tcW w:type="dxa" w:w="4932"/>
          </w:tcPr>
          <w:p>
            <w:pPr>
              <w:spacing w:after="40"/>
            </w:pPr>
            <w:r>
              <w:rPr>
                <w:b/>
                <w:i w:val="0"/>
                <w:sz w:val="17"/>
              </w:rPr>
              <w:t>Страницы в отчёте: [2] с. 22, 24</w:t>
            </w:r>
          </w:p>
          <w:p>
            <w:pPr>
              <w:spacing w:after="40"/>
            </w:pPr>
            <w:r>
              <w:rPr>
                <w:b w:val="0"/>
                <w:i/>
                <w:sz w:val="17"/>
              </w:rPr>
              <w:t>с. 22: «The big drawback of PCA based on covariance matrices is the sensitivity of the PCs to the units of measurement used for each element of x.»</w:t>
            </w:r>
          </w:p>
          <w:p>
            <w:pPr>
              <w:spacing w:after="40"/>
            </w:pPr>
            <w:r>
              <w:rPr>
                <w:b w:val="0"/>
                <w:i/>
                <w:sz w:val="17"/>
              </w:rPr>
              <w:t>с. 24: «it is unwise to use PCs on a covariance matrix when x consists of measurements of different types …»</w:t>
            </w:r>
          </w:p>
        </w:tc>
        <w:tc>
          <w:tcPr>
            <w:tcW w:type="dxa" w:w="5102"/>
          </w:tcPr>
          <w:p>
            <w:pPr>
              <w:spacing w:after="40"/>
            </w:pPr>
            <w:r>
              <w:rPr>
                <w:b w:val="0"/>
                <w:i w:val="0"/>
                <w:sz w:val="17"/>
              </w:rPr>
              <w:t>Чувствительность к масштабу: при анализе ковариационной матрицы главные компоненты чувствительны к единицам измерения переменных — доминируют переменные с наибольшей дисперсией; для разнородных измерений рекомендуется корреляционная матрица (стандартизированные переменные).</w:t>
            </w:r>
          </w:p>
          <w:p>
            <w:pPr>
              <w:spacing w:after="40"/>
            </w:pPr>
            <w:r>
              <w:rPr>
                <w:b w:val="0"/>
                <w:i w:val="0"/>
                <w:sz w:val="16"/>
              </w:rPr>
              <w:t>Пояснение: Смысл верный; уточнены страницы.</w:t>
            </w:r>
          </w:p>
        </w:tc>
      </w:tr>
      <w:tr>
        <w:tc>
          <w:tcPr>
            <w:tcW w:type="dxa" w:w="3515"/>
          </w:tcPr>
          <w:p>
            <w:pPr>
              <w:spacing w:after="40"/>
            </w:pPr>
            <w:r>
              <w:rPr>
                <w:b w:val="0"/>
                <w:i w:val="0"/>
                <w:sz w:val="17"/>
              </w:rPr>
              <w:t>Потеря интерпретируемости: при сильной корреляции исходных признаков интерпретация главных компонент может быть сложной.</w:t>
            </w:r>
          </w:p>
        </w:tc>
        <w:tc>
          <w:tcPr>
            <w:tcW w:type="dxa" w:w="1474"/>
            <w:shd w:val="clear" w:color="auto" w:fill="FCE4D6"/>
          </w:tcPr>
          <w:p>
            <w:pPr>
              <w:spacing w:after="40"/>
            </w:pPr>
            <w:r>
              <w:rPr>
                <w:b/>
                <w:i w:val="0"/>
                <w:sz w:val="17"/>
              </w:rPr>
              <w:t>Не совпадало — заменено</w:t>
            </w:r>
          </w:p>
        </w:tc>
        <w:tc>
          <w:tcPr>
            <w:tcW w:type="dxa" w:w="4932"/>
          </w:tcPr>
          <w:p>
            <w:pPr>
              <w:spacing w:after="40"/>
            </w:pPr>
            <w:r>
              <w:rPr>
                <w:b/>
                <w:i w:val="0"/>
                <w:sz w:val="17"/>
              </w:rPr>
              <w:t>Страницы в отчёте: [2] с. 64, 269</w:t>
            </w:r>
          </w:p>
          <w:p>
            <w:pPr>
              <w:spacing w:after="40"/>
            </w:pPr>
            <w:r>
              <w:rPr>
                <w:b w:val="0"/>
                <w:i/>
                <w:sz w:val="17"/>
              </w:rPr>
              <w:t>с. 64: «There is no reason, a priori, why a mathematically derived linear function of the original variables … should have a simple interpretation.»</w:t>
            </w:r>
          </w:p>
          <w:p>
            <w:pPr>
              <w:spacing w:after="40"/>
            </w:pPr>
            <w:r>
              <w:rPr>
                <w:b w:val="0"/>
                <w:i/>
                <w:sz w:val="17"/>
              </w:rPr>
              <w:t>с. 269: «the construction of PCs as linear combinations of all the measured variables means that interpretation is not always easy.»</w:t>
            </w:r>
          </w:p>
        </w:tc>
        <w:tc>
          <w:tcPr>
            <w:tcW w:type="dxa" w:w="5102"/>
          </w:tcPr>
          <w:p>
            <w:pPr>
              <w:spacing w:after="40"/>
            </w:pPr>
            <w:r>
              <w:rPr>
                <w:b w:val="0"/>
                <w:i w:val="0"/>
                <w:sz w:val="17"/>
              </w:rPr>
              <w:t>Трудности интерпретации: нет оснований заранее ожидать, что математически выведенная линейная комбинация исходных переменных будет иметь простую интерпретацию; поскольку компонента строится из всех измеренных переменных, интерпретация не всегда проста.</w:t>
            </w:r>
          </w:p>
          <w:p>
            <w:pPr>
              <w:spacing w:after="40"/>
            </w:pPr>
            <w:r>
              <w:rPr>
                <w:b w:val="0"/>
                <w:i w:val="0"/>
                <w:sz w:val="16"/>
              </w:rPr>
              <w:t>Пояснение: В книге причина трудностей — построение компонент как линейных комбинаций всех переменных, а не «сильная корреляция признаков».</w:t>
            </w:r>
          </w:p>
        </w:tc>
      </w:tr>
    </w:tbl>
    <w:p>
      <w:pPr>
        <w:pStyle w:val="Heading2"/>
      </w:pPr>
      <w:r>
        <w:t>2.2. Линейный дискриминантный анализ (LDA)</w:t>
      </w:r>
    </w:p>
    <w:tbl>
      <w:tblPr>
        <w:tblStyle w:val="TableGrid"/>
        <w:tblW w:type="auto" w:w="0"/>
        <w:tblLook w:firstColumn="1" w:firstRow="1" w:lastColumn="0" w:lastRow="0" w:noHBand="0" w:noVBand="1" w:val="04A0"/>
      </w:tblPr>
      <w:tblGrid>
        <w:gridCol w:w="3535"/>
        <w:gridCol w:w="3535"/>
        <w:gridCol w:w="3535"/>
        <w:gridCol w:w="3535"/>
      </w:tblGrid>
      <w:tr>
        <w:tc>
          <w:tcPr>
            <w:tcW w:type="dxa" w:w="3515"/>
            <w:shd w:val="clear" w:color="auto" w:fill="BFBFBF"/>
          </w:tcPr>
          <w:p>
            <w:pPr>
              <w:spacing w:after="40"/>
            </w:pPr>
            <w:r>
              <w:rPr>
                <w:b/>
                <w:i w:val="0"/>
                <w:sz w:val="18"/>
              </w:rPr>
              <w:t>Было в отчёте</w:t>
            </w:r>
          </w:p>
        </w:tc>
        <w:tc>
          <w:tcPr>
            <w:tcW w:type="dxa" w:w="1474"/>
            <w:shd w:val="clear" w:color="auto" w:fill="BFBFBF"/>
          </w:tcPr>
          <w:p>
            <w:pPr>
              <w:spacing w:after="40"/>
            </w:pPr>
            <w:r>
              <w:rPr>
                <w:b/>
                <w:i w:val="0"/>
                <w:sz w:val="18"/>
              </w:rPr>
              <w:t>Статус</w:t>
            </w:r>
          </w:p>
        </w:tc>
        <w:tc>
          <w:tcPr>
            <w:tcW w:type="dxa" w:w="4932"/>
            <w:shd w:val="clear" w:color="auto" w:fill="BFBFBF"/>
          </w:tcPr>
          <w:p>
            <w:pPr>
              <w:spacing w:after="40"/>
            </w:pPr>
            <w:r>
              <w:rPr>
                <w:b/>
                <w:i w:val="0"/>
                <w:sz w:val="18"/>
              </w:rPr>
              <w:t>Источник: страница и цитата</w:t>
            </w:r>
          </w:p>
        </w:tc>
        <w:tc>
          <w:tcPr>
            <w:tcW w:type="dxa" w:w="5102"/>
            <w:shd w:val="clear" w:color="auto" w:fill="BFBFBF"/>
          </w:tcPr>
          <w:p>
            <w:pPr>
              <w:spacing w:after="40"/>
            </w:pPr>
            <w:r>
              <w:rPr>
                <w:b/>
                <w:i w:val="0"/>
                <w:sz w:val="18"/>
              </w:rPr>
              <w:t>Стало / что исправлено</w:t>
            </w:r>
          </w:p>
        </w:tc>
      </w:tr>
      <w:tr>
        <w:tc>
          <w:tcPr>
            <w:tcW w:type="dxa" w:w="3515"/>
          </w:tcPr>
          <w:p>
            <w:pPr>
              <w:spacing w:after="40"/>
            </w:pPr>
            <w:r>
              <w:rPr>
                <w:b w:val="0"/>
                <w:i w:val="0"/>
                <w:sz w:val="17"/>
              </w:rPr>
              <w:t>2.2. Линейный дискриминантный анализ (LDA) для снижения размерности</w:t>
            </w:r>
          </w:p>
        </w:tc>
        <w:tc>
          <w:tcPr>
            <w:tcW w:type="dxa" w:w="1474"/>
            <w:shd w:val="clear" w:color="auto" w:fill="E2F0D9"/>
          </w:tcPr>
          <w:p>
            <w:pPr>
              <w:spacing w:after="40"/>
            </w:pPr>
            <w:r>
              <w:rPr>
                <w:b/>
                <w:i w:val="0"/>
                <w:sz w:val="17"/>
              </w:rPr>
              <w:t>Совпадает</w:t>
            </w:r>
          </w:p>
        </w:tc>
        <w:tc>
          <w:tcPr>
            <w:tcW w:type="dxa" w:w="4932"/>
          </w:tcPr>
          <w:p>
            <w:pPr>
              <w:spacing w:after="40"/>
            </w:pPr>
            <w:r>
              <w:rPr>
                <w:b/>
                <w:i w:val="0"/>
                <w:sz w:val="17"/>
              </w:rPr>
              <w:t>Страницы в отчёте: [3] с. 179–188</w:t>
            </w:r>
          </w:p>
        </w:tc>
        <w:tc>
          <w:tcPr>
            <w:tcW w:type="dxa" w:w="5102"/>
          </w:tcPr>
          <w:p>
            <w:pPr>
              <w:spacing w:after="40"/>
            </w:pPr>
            <w:r>
              <w:rPr>
                <w:b w:val="0"/>
                <w:i w:val="0"/>
                <w:sz w:val="17"/>
              </w:rPr>
              <w:t>(текст сохранён)</w:t>
            </w:r>
          </w:p>
        </w:tc>
      </w:tr>
      <w:tr>
        <w:tc>
          <w:tcPr>
            <w:tcW w:type="dxa" w:w="3515"/>
          </w:tcPr>
          <w:p>
            <w:pPr>
              <w:spacing w:after="40"/>
            </w:pPr>
            <w:r>
              <w:rPr>
                <w:b w:val="0"/>
                <w:i w:val="0"/>
                <w:sz w:val="17"/>
              </w:rPr>
              <w:t>Сущность и цель:</w:t>
            </w:r>
          </w:p>
        </w:tc>
        <w:tc>
          <w:tcPr>
            <w:tcW w:type="dxa" w:w="1474"/>
            <w:shd w:val="clear" w:color="auto" w:fill="E2F0D9"/>
          </w:tcPr>
          <w:p>
            <w:pPr>
              <w:spacing w:after="40"/>
            </w:pPr>
            <w:r>
              <w:rPr>
                <w:b/>
                <w:i w:val="0"/>
                <w:sz w:val="17"/>
              </w:rPr>
              <w:t>Совпадает</w:t>
            </w:r>
          </w:p>
        </w:tc>
        <w:tc>
          <w:tcPr>
            <w:tcW w:type="dxa" w:w="4932"/>
          </w:tcPr>
          <w:p>
            <w:pPr>
              <w:spacing w:after="40"/>
            </w:pPr>
            <w:r>
              <w:rPr>
                <w:b/>
                <w:i w:val="0"/>
                <w:sz w:val="17"/>
              </w:rPr>
              <w:t>Страницы в отчёте: [3] с. 179</w:t>
            </w:r>
          </w:p>
        </w:tc>
        <w:tc>
          <w:tcPr>
            <w:tcW w:type="dxa" w:w="5102"/>
          </w:tcPr>
          <w:p>
            <w:pPr>
              <w:spacing w:after="40"/>
            </w:pPr>
            <w:r>
              <w:rPr>
                <w:b w:val="0"/>
                <w:i w:val="0"/>
                <w:sz w:val="17"/>
              </w:rPr>
              <w:t>(текст сохранён)</w:t>
            </w:r>
          </w:p>
          <w:p>
            <w:pPr>
              <w:spacing w:after="40"/>
            </w:pPr>
            <w:r>
              <w:rPr>
                <w:b w:val="0"/>
                <w:i w:val="0"/>
                <w:sz w:val="16"/>
              </w:rPr>
              <w:t>Пояснение: Страницы уточнены.</w:t>
            </w:r>
          </w:p>
        </w:tc>
      </w:tr>
      <w:tr>
        <w:tc>
          <w:tcPr>
            <w:tcW w:type="dxa" w:w="3515"/>
          </w:tcPr>
          <w:p>
            <w:pPr>
              <w:spacing w:after="40"/>
            </w:pPr>
            <w:r>
              <w:rPr>
                <w:b w:val="0"/>
                <w:i w:val="0"/>
                <w:sz w:val="17"/>
              </w:rPr>
              <w:t>В отличие от PCA, который является методом без учителя, LDA (Linear Discriminant Analysis) — метод с учителем. Его цель — найти такое линейное преобразование пространства признаков, которое максимизирует разделимость между заранее заданными классами. Он ищет направления, которые максимизируют межклассовый разброс (между классами) и одновременно минимизируют внутриклассовый разброс (внутри каждого класса).</w:t>
            </w:r>
          </w:p>
        </w:tc>
        <w:tc>
          <w:tcPr>
            <w:tcW w:type="dxa" w:w="1474"/>
            <w:shd w:val="clear" w:color="auto" w:fill="FCE4D6"/>
          </w:tcPr>
          <w:p>
            <w:pPr>
              <w:spacing w:after="40"/>
            </w:pPr>
            <w:r>
              <w:rPr>
                <w:b/>
                <w:i w:val="0"/>
                <w:sz w:val="17"/>
              </w:rPr>
              <w:t>Не совпадало — заменено</w:t>
            </w:r>
          </w:p>
        </w:tc>
        <w:tc>
          <w:tcPr>
            <w:tcW w:type="dxa" w:w="4932"/>
          </w:tcPr>
          <w:p>
            <w:pPr>
              <w:spacing w:after="40"/>
            </w:pPr>
            <w:r>
              <w:rPr>
                <w:b/>
                <w:i w:val="0"/>
                <w:sz w:val="17"/>
              </w:rPr>
              <w:t>Страницы в отчёте: [3] с. 179</w:t>
            </w:r>
          </w:p>
          <w:p>
            <w:pPr>
              <w:spacing w:after="40"/>
            </w:pPr>
            <w:r>
              <w:rPr>
                <w:b w:val="0"/>
                <w:i/>
                <w:sz w:val="17"/>
              </w:rPr>
              <w:t>с. 179: «When two or more populations have been measured in several characters, x1, …, xs, special interest attaches to certain linear functions of the measurements by which the populations are best discriminated. … What linear function of the four measurements X = λ1x1 + λ2x2 + λ3x3 + λ4x4 will maximize the ratio of the difference between the specific means to the standard deviations within species?»</w:t>
            </w:r>
          </w:p>
        </w:tc>
        <w:tc>
          <w:tcPr>
            <w:tcW w:type="dxa" w:w="5102"/>
          </w:tcPr>
          <w:p>
            <w:pPr>
              <w:spacing w:after="40"/>
            </w:pPr>
            <w:r>
              <w:rPr>
                <w:b w:val="0"/>
                <w:i w:val="0"/>
                <w:sz w:val="17"/>
              </w:rPr>
              <w:t>Когда две или более совокупности измерены по нескольким признакам x_1, …, x_s, особый интерес представляют такие линейные функции измерений, которыми совокупности лучше всего различаются (дискриминируются). Фишер ставит вопрос: какая линейная функция X = λ_1x_1 + λ_2x_2 + λ_3x_3 + λ_4x_4 четырёх измерений максимизирует отношение разности средних по видам к стандартному отклонению внутри видов?</w:t>
            </w:r>
          </w:p>
          <w:p>
            <w:pPr>
              <w:spacing w:after="40"/>
            </w:pPr>
            <w:r>
              <w:rPr>
                <w:b w:val="0"/>
                <w:i w:val="0"/>
                <w:sz w:val="16"/>
              </w:rPr>
              <w:t>Пояснение: Статья Фишера не сравнивает метод с PCA и не использует термин «метод с учителем»; приведена постановка задачи из статьи.</w:t>
            </w:r>
          </w:p>
        </w:tc>
      </w:tr>
      <w:tr>
        <w:tc>
          <w:tcPr>
            <w:tcW w:type="dxa" w:w="3515"/>
          </w:tcPr>
          <w:p>
            <w:pPr>
              <w:spacing w:after="40"/>
            </w:pPr>
            <w:r>
              <w:rPr>
                <w:b w:val="0"/>
                <w:i w:val="0"/>
                <w:sz w:val="17"/>
              </w:rPr>
              <w:t>Математический аппарат:</w:t>
            </w:r>
          </w:p>
        </w:tc>
        <w:tc>
          <w:tcPr>
            <w:tcW w:type="dxa" w:w="1474"/>
            <w:shd w:val="clear" w:color="auto" w:fill="E2F0D9"/>
          </w:tcPr>
          <w:p>
            <w:pPr>
              <w:spacing w:after="40"/>
            </w:pPr>
            <w:r>
              <w:rPr>
                <w:b/>
                <w:i w:val="0"/>
                <w:sz w:val="17"/>
              </w:rPr>
              <w:t>Совпадает</w:t>
            </w:r>
          </w:p>
        </w:tc>
        <w:tc>
          <w:tcPr>
            <w:tcW w:type="dxa" w:w="4932"/>
          </w:tcPr>
          <w:p>
            <w:pPr>
              <w:spacing w:after="40"/>
            </w:pPr>
            <w:r>
              <w:rPr>
                <w:b/>
                <w:i w:val="0"/>
                <w:sz w:val="17"/>
              </w:rPr>
              <w:t>Страницы в отчёте: [3] с. 179–182</w:t>
            </w:r>
          </w:p>
        </w:tc>
        <w:tc>
          <w:tcPr>
            <w:tcW w:type="dxa" w:w="5102"/>
          </w:tcPr>
          <w:p>
            <w:pPr>
              <w:spacing w:after="40"/>
            </w:pPr>
            <w:r>
              <w:rPr>
                <w:b w:val="0"/>
                <w:i w:val="0"/>
                <w:sz w:val="17"/>
              </w:rPr>
              <w:t>(текст сохранён)</w:t>
            </w:r>
          </w:p>
          <w:p>
            <w:pPr>
              <w:spacing w:after="40"/>
            </w:pPr>
            <w:r>
              <w:rPr>
                <w:b w:val="0"/>
                <w:i w:val="0"/>
                <w:sz w:val="16"/>
              </w:rPr>
              <w:t>Пояснение: Страницы уточнены.</w:t>
            </w:r>
          </w:p>
        </w:tc>
      </w:tr>
      <w:tr>
        <w:tc>
          <w:tcPr>
            <w:tcW w:type="dxa" w:w="3515"/>
          </w:tcPr>
          <w:p>
            <w:pPr>
              <w:spacing w:after="40"/>
            </w:pPr>
            <w:r>
              <w:rPr>
                <w:b w:val="0"/>
                <w:i w:val="0"/>
                <w:sz w:val="17"/>
              </w:rPr>
              <w:t>Пусть имеется множество данных с C классами.</w:t>
            </w:r>
          </w:p>
        </w:tc>
        <w:tc>
          <w:tcPr>
            <w:tcW w:type="dxa" w:w="1474"/>
            <w:shd w:val="clear" w:color="auto" w:fill="FCE4D6"/>
          </w:tcPr>
          <w:p>
            <w:pPr>
              <w:spacing w:after="40"/>
            </w:pPr>
            <w:r>
              <w:rPr>
                <w:b/>
                <w:i w:val="0"/>
                <w:sz w:val="17"/>
              </w:rPr>
              <w:t>Не совпадало — заменено</w:t>
            </w:r>
          </w:p>
        </w:tc>
        <w:tc>
          <w:tcPr>
            <w:tcW w:type="dxa" w:w="4932"/>
          </w:tcPr>
          <w:p>
            <w:pPr>
              <w:spacing w:after="40"/>
            </w:pPr>
            <w:r>
              <w:rPr>
                <w:b/>
                <w:i w:val="0"/>
                <w:sz w:val="17"/>
              </w:rPr>
              <w:t>Страницы в отчёте: [3] с. 179</w:t>
            </w:r>
          </w:p>
          <w:p>
            <w:pPr>
              <w:spacing w:after="40"/>
            </w:pPr>
            <w:r>
              <w:rPr>
                <w:b w:val="0"/>
                <w:i/>
                <w:sz w:val="17"/>
              </w:rPr>
              <w:t>с. 179: «Table I shows measurements of the flowers of fifty plants each of the two species Iris setosa and I. versicolor … Four flower measurements are given.»</w:t>
            </w:r>
          </w:p>
        </w:tc>
        <w:tc>
          <w:tcPr>
            <w:tcW w:type="dxa" w:w="5102"/>
          </w:tcPr>
          <w:p>
            <w:pPr>
              <w:spacing w:after="40"/>
            </w:pPr>
            <w:r>
              <w:rPr>
                <w:b w:val="0"/>
                <w:i w:val="0"/>
                <w:sz w:val="17"/>
              </w:rPr>
              <w:t>Данные Фишера: измерения цветков 50 растений каждого из двух видов — Iris setosa и Iris versicolor — по четырём признакам (длина и ширина чашелистика, длина и ширина лепестка).</w:t>
            </w:r>
          </w:p>
          <w:p>
            <w:pPr>
              <w:spacing w:after="40"/>
            </w:pPr>
            <w:r>
              <w:rPr>
                <w:b w:val="0"/>
                <w:i w:val="0"/>
                <w:sz w:val="16"/>
              </w:rPr>
              <w:t>Пояснение: В статье рассматриваются два вида (трёх — в разделе VI), а не «C классов» в общем виде.</w:t>
            </w:r>
          </w:p>
        </w:tc>
      </w:tr>
      <w:tr>
        <w:tc>
          <w:tcPr>
            <w:tcW w:type="dxa" w:w="3515"/>
          </w:tcPr>
          <w:p>
            <w:pPr>
              <w:spacing w:after="40"/>
            </w:pPr>
            <w:r>
              <w:rPr>
                <w:b w:val="0"/>
                <w:i w:val="0"/>
                <w:sz w:val="17"/>
              </w:rPr>
              <w:t>Внутриклассовая матрица рассеяния (Within-class scatter matrix) S_W: Характеризует разброс данных внутри каждого класса. S_W = Σ_{i=1}^{C} Σ_{x∈Class_i} (x - μ_i)(x - μ_i)^T, где μ_i — центроид i-го класса.</w:t>
            </w:r>
          </w:p>
        </w:tc>
        <w:tc>
          <w:tcPr>
            <w:tcW w:type="dxa" w:w="1474"/>
            <w:shd w:val="clear" w:color="auto" w:fill="FFF2CC"/>
          </w:tcPr>
          <w:p>
            <w:pPr>
              <w:spacing w:after="40"/>
            </w:pPr>
            <w:r>
              <w:rPr>
                <w:b/>
                <w:i w:val="0"/>
                <w:sz w:val="17"/>
              </w:rPr>
              <w:t>Исправлено частично</w:t>
            </w:r>
          </w:p>
        </w:tc>
        <w:tc>
          <w:tcPr>
            <w:tcW w:type="dxa" w:w="4932"/>
          </w:tcPr>
          <w:p>
            <w:pPr>
              <w:spacing w:after="40"/>
            </w:pPr>
            <w:r>
              <w:rPr>
                <w:b/>
                <w:i w:val="0"/>
                <w:sz w:val="17"/>
              </w:rPr>
              <w:t>Страницы в отчёте: [3] с. 179</w:t>
            </w:r>
          </w:p>
          <w:p>
            <w:pPr>
              <w:spacing w:after="40"/>
            </w:pPr>
            <w:r>
              <w:rPr>
                <w:b w:val="0"/>
                <w:i/>
                <w:sz w:val="17"/>
              </w:rPr>
              <w:t>с. 179: «The sums of squares and products of deviations from the specific means are shown in Table III. Since fifty plants of each species were used these sums contain 98 degrees of freedom.»</w:t>
            </w:r>
          </w:p>
        </w:tc>
        <w:tc>
          <w:tcPr>
            <w:tcW w:type="dxa" w:w="5102"/>
          </w:tcPr>
          <w:p>
            <w:pPr>
              <w:spacing w:after="40"/>
            </w:pPr>
            <w:r>
              <w:rPr>
                <w:b w:val="0"/>
                <w:i w:val="0"/>
                <w:sz w:val="17"/>
              </w:rPr>
              <w:t>Внутриклассовая матрица рассеяния (Within-class scatter matrix) S_W: характеризует разброс данных внутри каждого класса (в обозначениях Фишера — суммы квадратов и произведений отклонений от средних по видам S_pq; при 50 растениях каждого вида они имеют 98 степеней свободы). S_W = Σ_{i=1}^{C} Σ_{x∈Class_i} (x - μ_i)(x - μ_i)^T, где μ_i — центроид i-го класса.</w:t>
            </w:r>
          </w:p>
          <w:p>
            <w:pPr>
              <w:spacing w:after="40"/>
            </w:pPr>
            <w:r>
              <w:rPr>
                <w:b w:val="0"/>
                <w:i w:val="0"/>
                <w:sz w:val="16"/>
              </w:rPr>
              <w:t>Пояснение: Формула согласуется с определением S_pq; добавлено обозначение и число степеней свободы из статьи.</w:t>
            </w:r>
          </w:p>
        </w:tc>
      </w:tr>
      <w:tr>
        <w:tc>
          <w:tcPr>
            <w:tcW w:type="dxa" w:w="3515"/>
          </w:tcPr>
          <w:p>
            <w:pPr>
              <w:spacing w:after="40"/>
            </w:pPr>
            <w:r>
              <w:rPr>
                <w:b w:val="0"/>
                <w:i w:val="0"/>
                <w:sz w:val="17"/>
              </w:rPr>
              <w:t>Межклассовая матрица рассеяния (Between-class scatter matrix) S_B: Характеризует разброс между центрами классов. S_B = Σ_{i=1}^{C} N_i (μ_i - μ)(μ_i - μ)^T, где N_i — число объектов в i-м классе, μ — общий центроид всех данных.</w:t>
            </w:r>
          </w:p>
        </w:tc>
        <w:tc>
          <w:tcPr>
            <w:tcW w:type="dxa" w:w="1474"/>
            <w:shd w:val="clear" w:color="auto" w:fill="FCE4D6"/>
          </w:tcPr>
          <w:p>
            <w:pPr>
              <w:spacing w:after="40"/>
            </w:pPr>
            <w:r>
              <w:rPr>
                <w:b/>
                <w:i w:val="0"/>
                <w:sz w:val="17"/>
              </w:rPr>
              <w:t>Не совпадало — заменено</w:t>
            </w:r>
          </w:p>
        </w:tc>
        <w:tc>
          <w:tcPr>
            <w:tcW w:type="dxa" w:w="4932"/>
          </w:tcPr>
          <w:p>
            <w:pPr>
              <w:spacing w:after="40"/>
            </w:pPr>
            <w:r>
              <w:rPr>
                <w:b/>
                <w:i w:val="0"/>
                <w:sz w:val="17"/>
              </w:rPr>
              <w:t>Страницы в отчёте: [3] с. 179, 181</w:t>
            </w:r>
          </w:p>
          <w:p>
            <w:pPr>
              <w:spacing w:after="40"/>
            </w:pPr>
            <w:r>
              <w:rPr>
                <w:b w:val="0"/>
                <w:i/>
                <w:sz w:val="17"/>
              </w:rPr>
              <w:t>с. 181: «Table II … Sepal length 0.930; Sepal width −0.658; Petal length 2.798; Petal width 1.080 (differences)»</w:t>
            </w:r>
          </w:p>
          <w:p>
            <w:pPr>
              <w:spacing w:after="40"/>
            </w:pPr>
            <w:r>
              <w:rPr>
                <w:b w:val="0"/>
                <w:i/>
                <w:sz w:val="17"/>
              </w:rPr>
              <w:t>с. 179: «the difference between the means of X in the two species is D = λ1d1 + λ2d2 + λ3d3 + λ4d4»</w:t>
            </w:r>
          </w:p>
        </w:tc>
        <w:tc>
          <w:tcPr>
            <w:tcW w:type="dxa" w:w="5102"/>
          </w:tcPr>
          <w:p>
            <w:pPr>
              <w:spacing w:after="40"/>
            </w:pPr>
            <w:r>
              <w:rPr>
                <w:b w:val="0"/>
                <w:i w:val="0"/>
                <w:sz w:val="17"/>
              </w:rPr>
              <w:t>Разности средних: вместо межклассовой матрицы рассеяния Фишер использует разности d_p между средними значениями p-го признака у двух видов (для Iris: 0.930, −0.658, 2.798, 1.080). Разность средних значений функции X между видами равна D = λ_1d_1 + λ_2d_2 + λ_3d_3 + λ_4d_4.</w:t>
            </w:r>
          </w:p>
          <w:p>
            <w:pPr>
              <w:spacing w:after="40"/>
            </w:pPr>
            <w:r>
              <w:rPr>
                <w:b w:val="0"/>
                <w:i w:val="0"/>
                <w:sz w:val="16"/>
              </w:rPr>
              <w:t>Пояснение: Матрицы S_B в статье Фишера нет.</w:t>
            </w:r>
          </w:p>
        </w:tc>
      </w:tr>
      <w:tr>
        <w:tc>
          <w:tcPr>
            <w:tcW w:type="dxa" w:w="3515"/>
          </w:tcPr>
          <w:p>
            <w:pPr>
              <w:spacing w:after="40"/>
            </w:pPr>
            <w:r>
              <w:rPr>
                <w:b w:val="0"/>
                <w:i w:val="0"/>
                <w:sz w:val="17"/>
              </w:rPr>
              <w:t>Критерий оптимизации: LDA ищет проекцию w, которая максимизирует отношение Рэлея — отношение межклассовой дисперсии к внутриклассовой в проекции: J(w) = (w^T S_B w) / (w^T S_W w)</w:t>
            </w:r>
          </w:p>
        </w:tc>
        <w:tc>
          <w:tcPr>
            <w:tcW w:type="dxa" w:w="1474"/>
            <w:shd w:val="clear" w:color="auto" w:fill="FCE4D6"/>
          </w:tcPr>
          <w:p>
            <w:pPr>
              <w:spacing w:after="40"/>
            </w:pPr>
            <w:r>
              <w:rPr>
                <w:b/>
                <w:i w:val="0"/>
                <w:sz w:val="17"/>
              </w:rPr>
              <w:t>Не совпадало — заменено</w:t>
            </w:r>
          </w:p>
        </w:tc>
        <w:tc>
          <w:tcPr>
            <w:tcW w:type="dxa" w:w="4932"/>
          </w:tcPr>
          <w:p>
            <w:pPr>
              <w:spacing w:after="40"/>
            </w:pPr>
            <w:r>
              <w:rPr>
                <w:b/>
                <w:i w:val="0"/>
                <w:sz w:val="17"/>
              </w:rPr>
              <w:t>Страницы в отчёте: [3] с. 179, 181</w:t>
            </w:r>
          </w:p>
          <w:p>
            <w:pPr>
              <w:spacing w:after="40"/>
            </w:pPr>
            <w:r>
              <w:rPr>
                <w:b w:val="0"/>
                <w:i/>
                <w:sz w:val="17"/>
              </w:rPr>
              <w:t>с. 179: «the variance of X within species is proportional to S = Σ_p Σ_q λ_p λ_q S_pq»</w:t>
            </w:r>
          </w:p>
          <w:p>
            <w:pPr>
              <w:spacing w:after="40"/>
            </w:pPr>
            <w:r>
              <w:rPr>
                <w:b w:val="0"/>
                <w:i/>
                <w:sz w:val="17"/>
              </w:rPr>
              <w:t>с. 181: «The particular linear function which best discriminates the two species will be one for which the ratio D²/S is greatest, by variation of the four coefficients»</w:t>
            </w:r>
          </w:p>
        </w:tc>
        <w:tc>
          <w:tcPr>
            <w:tcW w:type="dxa" w:w="5102"/>
          </w:tcPr>
          <w:p>
            <w:pPr>
              <w:spacing w:after="40"/>
            </w:pPr>
            <w:r>
              <w:rPr>
                <w:b w:val="0"/>
                <w:i w:val="0"/>
                <w:sz w:val="17"/>
              </w:rPr>
              <w:t>Критерий оптимизации: наилучшей разделяющей функцией является та, для которой отношение D² / S максимально по коэффициентам λ_p. Здесь D — разность средних значений функции между видами, а S = Σ_p Σ_q λ_p λ_q S_pq — величина, пропорциональная дисперсии функции внутри видов.</w:t>
            </w:r>
          </w:p>
          <w:p>
            <w:pPr>
              <w:spacing w:after="40"/>
            </w:pPr>
            <w:r>
              <w:rPr>
                <w:b w:val="0"/>
                <w:i w:val="0"/>
                <w:sz w:val="16"/>
              </w:rPr>
              <w:t>Пояснение: Отношения Рэлея J(w) = (wᵀS_B w)/(wᵀS_W w) у Фишера нет; приведён его критерий D²/S.</w:t>
            </w:r>
          </w:p>
        </w:tc>
      </w:tr>
      <w:tr>
        <w:tc>
          <w:tcPr>
            <w:tcW w:type="dxa" w:w="3515"/>
          </w:tcPr>
          <w:p>
            <w:pPr>
              <w:spacing w:after="40"/>
            </w:pPr>
            <w:r>
              <w:rPr>
                <w:b w:val="0"/>
                <w:i w:val="0"/>
                <w:sz w:val="17"/>
              </w:rPr>
              <w:t>Решение: Оптимальные направления w находятся как собственные векторы обобщенной проблемы собственных значений: S_B * w = λ * S_W * w Для задачи с C классами, максимальное число значимых дискриминантных осей равно C-1.</w:t>
            </w:r>
          </w:p>
        </w:tc>
        <w:tc>
          <w:tcPr>
            <w:tcW w:type="dxa" w:w="1474"/>
            <w:shd w:val="clear" w:color="auto" w:fill="FCE4D6"/>
          </w:tcPr>
          <w:p>
            <w:pPr>
              <w:spacing w:after="40"/>
            </w:pPr>
            <w:r>
              <w:rPr>
                <w:b/>
                <w:i w:val="0"/>
                <w:sz w:val="17"/>
              </w:rPr>
              <w:t>Не совпадало — заменено</w:t>
            </w:r>
          </w:p>
        </w:tc>
        <w:tc>
          <w:tcPr>
            <w:tcW w:type="dxa" w:w="4932"/>
          </w:tcPr>
          <w:p>
            <w:pPr>
              <w:spacing w:after="40"/>
            </w:pPr>
            <w:r>
              <w:rPr>
                <w:b/>
                <w:i w:val="0"/>
                <w:sz w:val="17"/>
              </w:rPr>
              <w:t>Страницы в отчёте: [3] с. 181–182</w:t>
            </w:r>
          </w:p>
          <w:p>
            <w:pPr>
              <w:spacing w:after="40"/>
            </w:pPr>
            <w:r>
              <w:rPr>
                <w:b w:val="0"/>
                <w:i/>
                <w:sz w:val="17"/>
              </w:rPr>
              <w:t>с. 181: «the coefficients required are proportional to the solutions of the equations (1) … the matrix of multipliers reciprocal to the matrix of S (Table IV)»</w:t>
            </w:r>
          </w:p>
        </w:tc>
        <w:tc>
          <w:tcPr>
            <w:tcW w:type="dxa" w:w="5102"/>
          </w:tcPr>
          <w:p>
            <w:pPr>
              <w:spacing w:after="40"/>
            </w:pPr>
            <w:r>
              <w:rPr>
                <w:b w:val="0"/>
                <w:i w:val="0"/>
                <w:sz w:val="17"/>
              </w:rPr>
              <w:t>Решение: коэффициенты, максимизирующие D²/S, пропорциональны решениям системы линейных уравнений Σ_q S_pq λ_q = d_p (p = 1, …, 4); Фишер решает её через матрицу, обратную к S_pq, т.е. λ ∝ S_W^{-1}d.</w:t>
            </w:r>
          </w:p>
          <w:p>
            <w:pPr>
              <w:spacing w:after="40"/>
            </w:pPr>
            <w:r>
              <w:rPr>
                <w:b w:val="0"/>
                <w:i w:val="0"/>
                <w:sz w:val="16"/>
              </w:rPr>
              <w:t>Пояснение: Обобщённая задача на собственные значения S_B w = λ S_W w и «не более C−1 осей» в статье Фишера отсутствуют.</w:t>
            </w:r>
          </w:p>
        </w:tc>
      </w:tr>
      <w:tr>
        <w:tc>
          <w:tcPr>
            <w:tcW w:type="dxa" w:w="3515"/>
          </w:tcPr>
          <w:p>
            <w:pPr>
              <w:spacing w:after="40"/>
            </w:pPr>
            <w:r>
              <w:rPr>
                <w:b w:val="0"/>
                <w:i w:val="0"/>
                <w:sz w:val="17"/>
              </w:rPr>
              <w:t>Алгоритм LDA:</w:t>
            </w:r>
          </w:p>
        </w:tc>
        <w:tc>
          <w:tcPr>
            <w:tcW w:type="dxa" w:w="1474"/>
            <w:shd w:val="clear" w:color="auto" w:fill="FCE4D6"/>
          </w:tcPr>
          <w:p>
            <w:pPr>
              <w:spacing w:after="40"/>
            </w:pPr>
            <w:r>
              <w:rPr>
                <w:b/>
                <w:i w:val="0"/>
                <w:sz w:val="17"/>
              </w:rPr>
              <w:t>Не совпадало — заменено</w:t>
            </w:r>
          </w:p>
        </w:tc>
        <w:tc>
          <w:tcPr>
            <w:tcW w:type="dxa" w:w="4932"/>
          </w:tcPr>
          <w:p>
            <w:pPr>
              <w:spacing w:after="40"/>
            </w:pPr>
            <w:r>
              <w:rPr>
                <w:b/>
                <w:i w:val="0"/>
                <w:sz w:val="17"/>
              </w:rPr>
              <w:t>Страницы в отчёте: [3] с. 179–182</w:t>
            </w:r>
          </w:p>
        </w:tc>
        <w:tc>
          <w:tcPr>
            <w:tcW w:type="dxa" w:w="5102"/>
          </w:tcPr>
          <w:p>
            <w:pPr>
              <w:spacing w:after="40"/>
            </w:pPr>
            <w:r>
              <w:rPr>
                <w:b w:val="0"/>
                <w:i w:val="0"/>
                <w:sz w:val="17"/>
              </w:rPr>
              <w:t>Алгоритм LDA (по Фишеру):</w:t>
            </w:r>
          </w:p>
        </w:tc>
      </w:tr>
      <w:tr>
        <w:tc>
          <w:tcPr>
            <w:tcW w:type="dxa" w:w="3515"/>
          </w:tcPr>
          <w:p>
            <w:pPr>
              <w:spacing w:after="40"/>
            </w:pPr>
            <w:r>
              <w:rPr>
                <w:b w:val="0"/>
                <w:i w:val="0"/>
                <w:sz w:val="17"/>
              </w:rPr>
              <w:t>Вычислить средние векторы для каждого класса и общий средний вектор.</w:t>
            </w:r>
          </w:p>
        </w:tc>
        <w:tc>
          <w:tcPr>
            <w:tcW w:type="dxa" w:w="1474"/>
            <w:shd w:val="clear" w:color="auto" w:fill="FCE4D6"/>
          </w:tcPr>
          <w:p>
            <w:pPr>
              <w:spacing w:after="40"/>
            </w:pPr>
            <w:r>
              <w:rPr>
                <w:b/>
                <w:i w:val="0"/>
                <w:sz w:val="17"/>
              </w:rPr>
              <w:t>Не совпадало — заменено</w:t>
            </w:r>
          </w:p>
        </w:tc>
        <w:tc>
          <w:tcPr>
            <w:tcW w:type="dxa" w:w="4932"/>
          </w:tcPr>
          <w:p>
            <w:pPr>
              <w:spacing w:after="40"/>
            </w:pPr>
            <w:r>
              <w:rPr>
                <w:b/>
                <w:i w:val="0"/>
                <w:sz w:val="17"/>
              </w:rPr>
              <w:t>Страницы в отчёте: [3] с. 181</w:t>
            </w:r>
          </w:p>
          <w:p>
            <w:pPr>
              <w:spacing w:after="40"/>
            </w:pPr>
            <w:r>
              <w:rPr>
                <w:b w:val="0"/>
                <w:i/>
                <w:sz w:val="17"/>
              </w:rPr>
              <w:t>с. 181: «Table II»</w:t>
            </w:r>
          </w:p>
        </w:tc>
        <w:tc>
          <w:tcPr>
            <w:tcW w:type="dxa" w:w="5102"/>
          </w:tcPr>
          <w:p>
            <w:pPr>
              <w:spacing w:after="40"/>
            </w:pPr>
            <w:r>
              <w:rPr>
                <w:b w:val="0"/>
                <w:i w:val="0"/>
                <w:sz w:val="17"/>
              </w:rPr>
              <w:t>Вычислить средние значения признаков по каждому виду и их разности d_p (табл. II).</w:t>
            </w:r>
          </w:p>
        </w:tc>
      </w:tr>
      <w:tr>
        <w:tc>
          <w:tcPr>
            <w:tcW w:type="dxa" w:w="3515"/>
          </w:tcPr>
          <w:p>
            <w:pPr>
              <w:spacing w:after="40"/>
            </w:pPr>
            <w:r>
              <w:rPr>
                <w:b w:val="0"/>
                <w:i w:val="0"/>
                <w:sz w:val="17"/>
              </w:rPr>
              <w:t>Вычислить матрицы S_W и S_B.</w:t>
            </w:r>
          </w:p>
        </w:tc>
        <w:tc>
          <w:tcPr>
            <w:tcW w:type="dxa" w:w="1474"/>
            <w:shd w:val="clear" w:color="auto" w:fill="FCE4D6"/>
          </w:tcPr>
          <w:p>
            <w:pPr>
              <w:spacing w:after="40"/>
            </w:pPr>
            <w:r>
              <w:rPr>
                <w:b/>
                <w:i w:val="0"/>
                <w:sz w:val="17"/>
              </w:rPr>
              <w:t>Не совпадало — заменено</w:t>
            </w:r>
          </w:p>
        </w:tc>
        <w:tc>
          <w:tcPr>
            <w:tcW w:type="dxa" w:w="4932"/>
          </w:tcPr>
          <w:p>
            <w:pPr>
              <w:spacing w:after="40"/>
            </w:pPr>
            <w:r>
              <w:rPr>
                <w:b/>
                <w:i w:val="0"/>
                <w:sz w:val="17"/>
              </w:rPr>
              <w:t>Страницы в отчёте: [3] с. 181</w:t>
            </w:r>
          </w:p>
          <w:p>
            <w:pPr>
              <w:spacing w:after="40"/>
            </w:pPr>
            <w:r>
              <w:rPr>
                <w:b w:val="0"/>
                <w:i/>
                <w:sz w:val="17"/>
              </w:rPr>
              <w:t>с. 181: «Table III. Sums of squares and products of four measurements, within species»</w:t>
            </w:r>
          </w:p>
        </w:tc>
        <w:tc>
          <w:tcPr>
            <w:tcW w:type="dxa" w:w="5102"/>
          </w:tcPr>
          <w:p>
            <w:pPr>
              <w:spacing w:after="40"/>
            </w:pPr>
            <w:r>
              <w:rPr>
                <w:b w:val="0"/>
                <w:i w:val="0"/>
                <w:sz w:val="17"/>
              </w:rPr>
              <w:t>Вычислить суммы квадратов и произведений отклонений от средних внутри видов S_pq (табл. III).</w:t>
            </w:r>
          </w:p>
        </w:tc>
      </w:tr>
      <w:tr>
        <w:tc>
          <w:tcPr>
            <w:tcW w:type="dxa" w:w="3515"/>
          </w:tcPr>
          <w:p>
            <w:pPr>
              <w:spacing w:after="40"/>
            </w:pPr>
            <w:r>
              <w:rPr>
                <w:b w:val="0"/>
                <w:i w:val="0"/>
                <w:sz w:val="17"/>
              </w:rPr>
              <w:t>Решить обобщенную проблему собственных значений для матрицы S_W^{-1} S_B.</w:t>
            </w:r>
          </w:p>
        </w:tc>
        <w:tc>
          <w:tcPr>
            <w:tcW w:type="dxa" w:w="1474"/>
            <w:shd w:val="clear" w:color="auto" w:fill="FCE4D6"/>
          </w:tcPr>
          <w:p>
            <w:pPr>
              <w:spacing w:after="40"/>
            </w:pPr>
            <w:r>
              <w:rPr>
                <w:b/>
                <w:i w:val="0"/>
                <w:sz w:val="17"/>
              </w:rPr>
              <w:t>Не совпадало — заменено</w:t>
            </w:r>
          </w:p>
        </w:tc>
        <w:tc>
          <w:tcPr>
            <w:tcW w:type="dxa" w:w="4932"/>
          </w:tcPr>
          <w:p>
            <w:pPr>
              <w:spacing w:after="40"/>
            </w:pPr>
            <w:r>
              <w:rPr>
                <w:b/>
                <w:i w:val="0"/>
                <w:sz w:val="17"/>
              </w:rPr>
              <w:t>Страницы в отчёте: [3] с. 181–182</w:t>
            </w:r>
          </w:p>
          <w:p>
            <w:pPr>
              <w:spacing w:after="40"/>
            </w:pPr>
            <w:r>
              <w:rPr>
                <w:b w:val="0"/>
                <w:i/>
                <w:sz w:val="17"/>
              </w:rPr>
              <w:t>с. 182: «λ1 = −0.0311511, λ2 = −0.1839075, λ3 = +0.2221044, λ4 = +0.3147370»</w:t>
            </w:r>
          </w:p>
        </w:tc>
        <w:tc>
          <w:tcPr>
            <w:tcW w:type="dxa" w:w="5102"/>
          </w:tcPr>
          <w:p>
            <w:pPr>
              <w:spacing w:after="40"/>
            </w:pPr>
            <w:r>
              <w:rPr>
                <w:b w:val="0"/>
                <w:i w:val="0"/>
                <w:sz w:val="17"/>
              </w:rPr>
              <w:t>Решить систему уравнений Σ_q S_pq λ_q = d_p с помощью обратной матрицы к S_pq (табл. IV).</w:t>
            </w:r>
          </w:p>
        </w:tc>
      </w:tr>
      <w:tr>
        <w:tc>
          <w:tcPr>
            <w:tcW w:type="dxa" w:w="3515"/>
          </w:tcPr>
          <w:p>
            <w:pPr>
              <w:spacing w:after="40"/>
            </w:pPr>
            <w:r>
              <w:rPr>
                <w:b w:val="0"/>
                <w:i w:val="0"/>
                <w:sz w:val="17"/>
              </w:rPr>
              <w:t>Отсортировать собственные векторы по убыванию собственных значений и выбрать первые k (где k ≤ C-1) в качестве дискриминантных осей.</w:t>
            </w:r>
          </w:p>
        </w:tc>
        <w:tc>
          <w:tcPr>
            <w:tcW w:type="dxa" w:w="1474"/>
            <w:shd w:val="clear" w:color="auto" w:fill="FCE4D6"/>
          </w:tcPr>
          <w:p>
            <w:pPr>
              <w:spacing w:after="40"/>
            </w:pPr>
            <w:r>
              <w:rPr>
                <w:b/>
                <w:i w:val="0"/>
                <w:sz w:val="17"/>
              </w:rPr>
              <w:t>Не совпадало — заменено</w:t>
            </w:r>
          </w:p>
        </w:tc>
        <w:tc>
          <w:tcPr>
            <w:tcW w:type="dxa" w:w="4932"/>
          </w:tcPr>
          <w:p>
            <w:pPr>
              <w:spacing w:after="40"/>
            </w:pPr>
            <w:r>
              <w:rPr>
                <w:b/>
                <w:i w:val="0"/>
                <w:sz w:val="17"/>
              </w:rPr>
              <w:t>Страницы в отчёте: [3] с. 182</w:t>
            </w:r>
          </w:p>
          <w:p>
            <w:pPr>
              <w:spacing w:after="40"/>
            </w:pPr>
            <w:r>
              <w:rPr>
                <w:b w:val="0"/>
                <w:i/>
                <w:sz w:val="17"/>
              </w:rPr>
              <w:t>с. 182: «if we choose to take the coefficient of sepal length to be unity, the compound measurement required is X = x1 + 5.9037x2 − 7.1299x3 − 10.1036x4»</w:t>
            </w:r>
          </w:p>
        </w:tc>
        <w:tc>
          <w:tcPr>
            <w:tcW w:type="dxa" w:w="5102"/>
          </w:tcPr>
          <w:p>
            <w:pPr>
              <w:spacing w:after="40"/>
            </w:pPr>
            <w:r>
              <w:rPr>
                <w:b w:val="0"/>
                <w:i w:val="0"/>
                <w:sz w:val="17"/>
              </w:rPr>
              <w:t>Нормировать коэффициенты, приняв коэффициент при длине чашелистика равным единице: X = x_1 + 5.9037·x_2 − 7.1299·x_3 − 10.1036·x_4.</w:t>
            </w:r>
          </w:p>
        </w:tc>
      </w:tr>
      <w:tr>
        <w:tc>
          <w:tcPr>
            <w:tcW w:type="dxa" w:w="3515"/>
          </w:tcPr>
          <w:p>
            <w:pPr>
              <w:spacing w:after="40"/>
            </w:pPr>
            <w:r>
              <w:rPr>
                <w:b w:val="0"/>
                <w:i w:val="0"/>
                <w:sz w:val="17"/>
              </w:rPr>
              <w:t>Спроецировать данные на новое пространство.</w:t>
            </w:r>
          </w:p>
        </w:tc>
        <w:tc>
          <w:tcPr>
            <w:tcW w:type="dxa" w:w="1474"/>
            <w:shd w:val="clear" w:color="auto" w:fill="FCE4D6"/>
          </w:tcPr>
          <w:p>
            <w:pPr>
              <w:spacing w:after="40"/>
            </w:pPr>
            <w:r>
              <w:rPr>
                <w:b/>
                <w:i w:val="0"/>
                <w:sz w:val="17"/>
              </w:rPr>
              <w:t>Не совпадало — заменено</w:t>
            </w:r>
          </w:p>
        </w:tc>
        <w:tc>
          <w:tcPr>
            <w:tcW w:type="dxa" w:w="4932"/>
          </w:tcPr>
          <w:p>
            <w:pPr>
              <w:spacing w:after="40"/>
            </w:pPr>
            <w:r>
              <w:rPr>
                <w:b/>
                <w:i w:val="0"/>
                <w:sz w:val="17"/>
              </w:rPr>
              <w:t>Страницы в отчёте: [3] с. 182</w:t>
            </w:r>
          </w:p>
          <w:p>
            <w:pPr>
              <w:spacing w:after="40"/>
            </w:pPr>
            <w:r>
              <w:rPr>
                <w:b w:val="0"/>
                <w:i/>
                <w:sz w:val="17"/>
              </w:rPr>
              <w:t>с. 182: «for setosa … = 12.3345 cm.; for versicolor … = −21.4815 cm. The difference between the average values of the compound measurements being thus 33.816 cm.»</w:t>
            </w:r>
          </w:p>
        </w:tc>
        <w:tc>
          <w:tcPr>
            <w:tcW w:type="dxa" w:w="5102"/>
          </w:tcPr>
          <w:p>
            <w:pPr>
              <w:spacing w:after="40"/>
            </w:pPr>
            <w:r>
              <w:rPr>
                <w:b w:val="0"/>
                <w:i w:val="0"/>
                <w:sz w:val="17"/>
              </w:rPr>
              <w:t>Спроецировать данные: подставить измерения в X; среднее значение X равно 12.3345 для Iris setosa и −21.4815 для Iris versicolor, разность средних — 33.816.</w:t>
            </w:r>
          </w:p>
        </w:tc>
      </w:tr>
      <w:tr>
        <w:tc>
          <w:tcPr>
            <w:tcW w:type="dxa" w:w="3515"/>
          </w:tcPr>
          <w:p>
            <w:pPr>
              <w:spacing w:after="40"/>
            </w:pPr>
            <w:r>
              <w:rPr>
                <w:b w:val="0"/>
                <w:i w:val="0"/>
                <w:sz w:val="17"/>
              </w:rPr>
              <w:t>Сравнение PCA и LDA на простом примере: представим данные двух классов в форме "песочных часов". PCA выберет направление максимальной дисперсии (вертикальная ось), где классы будут смешаны. LDA выберет горизонтальное направление, которое максимизирует расстояние между центрами классов относительно их разброса, идеально разделив классы.</w:t>
            </w:r>
          </w:p>
        </w:tc>
        <w:tc>
          <w:tcPr>
            <w:tcW w:type="dxa" w:w="1474"/>
            <w:shd w:val="clear" w:color="auto" w:fill="FCE4D6"/>
          </w:tcPr>
          <w:p>
            <w:pPr>
              <w:spacing w:after="40"/>
            </w:pPr>
            <w:r>
              <w:rPr>
                <w:b/>
                <w:i w:val="0"/>
                <w:sz w:val="17"/>
              </w:rPr>
              <w:t>Не совпадало — заменено</w:t>
            </w:r>
          </w:p>
        </w:tc>
        <w:tc>
          <w:tcPr>
            <w:tcW w:type="dxa" w:w="4932"/>
          </w:tcPr>
          <w:p>
            <w:pPr>
              <w:spacing w:after="40"/>
            </w:pPr>
            <w:r>
              <w:rPr>
                <w:b/>
                <w:i w:val="0"/>
                <w:sz w:val="17"/>
              </w:rPr>
              <w:t>Страницы в отчёте: [3] с. 185–187</w:t>
            </w:r>
          </w:p>
          <w:p>
            <w:pPr>
              <w:spacing w:after="40"/>
            </w:pPr>
            <w:r>
              <w:rPr>
                <w:b w:val="0"/>
                <w:i/>
                <w:sz w:val="17"/>
              </w:rPr>
              <w:t>с. 187: «the difference between I. setosa and I. versicolor, 33.69 of our units, is so great compared with the standard deviations that no appreciable overlapping of values can occur, the difference between I. virginica and I. versicolor, 15.31 units, is less than four times the standard deviation of each species.»</w:t>
            </w:r>
          </w:p>
        </w:tc>
        <w:tc>
          <w:tcPr>
            <w:tcW w:type="dxa" w:w="5102"/>
          </w:tcPr>
          <w:p>
            <w:pPr>
              <w:spacing w:after="40"/>
            </w:pPr>
            <w:r>
              <w:rPr>
                <w:b w:val="0"/>
                <w:i w:val="0"/>
                <w:sz w:val="17"/>
              </w:rPr>
              <w:t>Три вида: для Iris setosa, Iris versicolor и Iris virginica Фишер строит одну линейную комбинацию, наиболее отчётливо разделяющую виды; разность между Iris setosa и Iris versicolor составляет 33.69 единицы, между Iris virginica и Iris versicolor — 15.31 единицы.</w:t>
            </w:r>
          </w:p>
          <w:p>
            <w:pPr>
              <w:spacing w:after="40"/>
            </w:pPr>
            <w:r>
              <w:rPr>
                <w:b w:val="0"/>
                <w:i w:val="0"/>
                <w:sz w:val="16"/>
              </w:rPr>
              <w:t>Пояснение: Пример «песочных часов» (сравнение PCA и LDA) в статье Фишера отсутствует; приведён пример из статьи.</w:t>
            </w:r>
          </w:p>
        </w:tc>
      </w:tr>
      <w:tr>
        <w:tc>
          <w:tcPr>
            <w:tcW w:type="dxa" w:w="3515"/>
          </w:tcPr>
          <w:p>
            <w:pPr>
              <w:spacing w:after="40"/>
            </w:pPr>
            <w:r>
              <w:rPr>
                <w:b w:val="0"/>
                <w:i w:val="0"/>
                <w:sz w:val="17"/>
              </w:rPr>
              <w:t>Достоинства LDA:</w:t>
            </w:r>
          </w:p>
        </w:tc>
        <w:tc>
          <w:tcPr>
            <w:tcW w:type="dxa" w:w="1474"/>
            <w:shd w:val="clear" w:color="auto" w:fill="E2F0D9"/>
          </w:tcPr>
          <w:p>
            <w:pPr>
              <w:spacing w:after="40"/>
            </w:pPr>
            <w:r>
              <w:rPr>
                <w:b/>
                <w:i w:val="0"/>
                <w:sz w:val="17"/>
              </w:rPr>
              <w:t>Совпадает</w:t>
            </w:r>
          </w:p>
        </w:tc>
        <w:tc>
          <w:tcPr>
            <w:tcW w:type="dxa" w:w="4932"/>
          </w:tcPr>
          <w:p>
            <w:pPr>
              <w:spacing w:after="40"/>
            </w:pPr>
            <w:r>
              <w:rPr>
                <w:b/>
                <w:i w:val="0"/>
                <w:sz w:val="17"/>
              </w:rPr>
              <w:t>Страницы в отчёте: [3] с. 179–187</w:t>
            </w:r>
          </w:p>
        </w:tc>
        <w:tc>
          <w:tcPr>
            <w:tcW w:type="dxa" w:w="5102"/>
          </w:tcPr>
          <w:p>
            <w:pPr>
              <w:spacing w:after="40"/>
            </w:pPr>
            <w:r>
              <w:rPr>
                <w:b w:val="0"/>
                <w:i w:val="0"/>
                <w:sz w:val="17"/>
              </w:rPr>
              <w:t>(текст сохранён)</w:t>
            </w:r>
          </w:p>
        </w:tc>
      </w:tr>
      <w:tr>
        <w:tc>
          <w:tcPr>
            <w:tcW w:type="dxa" w:w="3515"/>
          </w:tcPr>
          <w:p>
            <w:pPr>
              <w:spacing w:after="40"/>
            </w:pPr>
            <w:r>
              <w:rPr>
                <w:b w:val="0"/>
                <w:i w:val="0"/>
                <w:sz w:val="17"/>
              </w:rPr>
              <w:t>Прямая максимизация разделимости классов: Эффективен для задач классификации как метод предобработки.</w:t>
            </w:r>
          </w:p>
        </w:tc>
        <w:tc>
          <w:tcPr>
            <w:tcW w:type="dxa" w:w="1474"/>
            <w:shd w:val="clear" w:color="auto" w:fill="FCE4D6"/>
          </w:tcPr>
          <w:p>
            <w:pPr>
              <w:spacing w:after="40"/>
            </w:pPr>
            <w:r>
              <w:rPr>
                <w:b/>
                <w:i w:val="0"/>
                <w:sz w:val="17"/>
              </w:rPr>
              <w:t>Не совпадало — заменено</w:t>
            </w:r>
          </w:p>
        </w:tc>
        <w:tc>
          <w:tcPr>
            <w:tcW w:type="dxa" w:w="4932"/>
          </w:tcPr>
          <w:p>
            <w:pPr>
              <w:spacing w:after="40"/>
            </w:pPr>
            <w:r>
              <w:rPr>
                <w:b/>
                <w:i w:val="0"/>
                <w:sz w:val="17"/>
              </w:rPr>
              <w:t>Страницы в отчёте: [3] с. 179, 187</w:t>
            </w:r>
          </w:p>
          <w:p>
            <w:pPr>
              <w:spacing w:after="40"/>
            </w:pPr>
            <w:r>
              <w:rPr>
                <w:b w:val="0"/>
                <w:i/>
                <w:sz w:val="17"/>
              </w:rPr>
              <w:t>с. 187: «… so as to discriminate the species as distinctly as possible.»</w:t>
            </w:r>
          </w:p>
        </w:tc>
        <w:tc>
          <w:tcPr>
            <w:tcW w:type="dxa" w:w="5102"/>
          </w:tcPr>
          <w:p>
            <w:pPr>
              <w:spacing w:after="40"/>
            </w:pPr>
            <w:r>
              <w:rPr>
                <w:b w:val="0"/>
                <w:i w:val="0"/>
                <w:sz w:val="17"/>
              </w:rPr>
              <w:t>Прямая максимизация различимости групп: коэффициенты линейной функции подбираются так, чтобы виды различались как можно более отчётливо.</w:t>
            </w:r>
          </w:p>
          <w:p>
            <w:pPr>
              <w:spacing w:after="40"/>
            </w:pPr>
            <w:r>
              <w:rPr>
                <w:b w:val="0"/>
                <w:i w:val="0"/>
                <w:sz w:val="16"/>
              </w:rPr>
              <w:t>Пояснение: Про «предобработку для классификации» у Фишера нет.</w:t>
            </w:r>
          </w:p>
        </w:tc>
      </w:tr>
      <w:tr>
        <w:tc>
          <w:tcPr>
            <w:tcW w:type="dxa" w:w="3515"/>
          </w:tcPr>
          <w:p>
            <w:pPr>
              <w:spacing w:after="40"/>
            </w:pPr>
            <w:r>
              <w:rPr>
                <w:b w:val="0"/>
                <w:i w:val="0"/>
                <w:sz w:val="17"/>
              </w:rPr>
              <w:t>Производит не более C-1 значимых компонент, что может быть очень эффективным при малом числе классов.</w:t>
            </w:r>
          </w:p>
        </w:tc>
        <w:tc>
          <w:tcPr>
            <w:tcW w:type="dxa" w:w="1474"/>
            <w:shd w:val="clear" w:color="auto" w:fill="FCE4D6"/>
          </w:tcPr>
          <w:p>
            <w:pPr>
              <w:spacing w:after="40"/>
            </w:pPr>
            <w:r>
              <w:rPr>
                <w:b/>
                <w:i w:val="0"/>
                <w:sz w:val="17"/>
              </w:rPr>
              <w:t>Не совпадало — заменено</w:t>
            </w:r>
          </w:p>
        </w:tc>
        <w:tc>
          <w:tcPr>
            <w:tcW w:type="dxa" w:w="4932"/>
          </w:tcPr>
          <w:p>
            <w:pPr>
              <w:spacing w:after="40"/>
            </w:pPr>
            <w:r>
              <w:rPr>
                <w:b/>
                <w:i w:val="0"/>
                <w:sz w:val="17"/>
              </w:rPr>
              <w:t>Страницы в отчёте: [3] с. 182</w:t>
            </w:r>
          </w:p>
          <w:p>
            <w:pPr>
              <w:spacing w:after="40"/>
            </w:pPr>
            <w:r>
              <w:rPr>
                <w:b w:val="0"/>
                <w:i/>
                <w:sz w:val="17"/>
              </w:rPr>
              <w:t>с. 182: «For means of fifty the same average difference has the standard error 0.6761 cm., or only about one-fiftieth of its value.»</w:t>
            </w:r>
          </w:p>
        </w:tc>
        <w:tc>
          <w:tcPr>
            <w:tcW w:type="dxa" w:w="5102"/>
          </w:tcPr>
          <w:p>
            <w:pPr>
              <w:spacing w:after="40"/>
            </w:pPr>
            <w:r>
              <w:rPr>
                <w:b w:val="0"/>
                <w:i w:val="0"/>
                <w:sz w:val="17"/>
              </w:rPr>
              <w:t>Оценка надёжности различения: разность средних значений функции сопоставляется со стандартной ошибкой — для двух видов разность 33.816 при стандартной ошибке 0.6761 (для средних по 50 растений), т.е. примерно одна пятидесятая её значения.</w:t>
            </w:r>
          </w:p>
          <w:p>
            <w:pPr>
              <w:spacing w:after="40"/>
            </w:pPr>
            <w:r>
              <w:rPr>
                <w:b w:val="0"/>
                <w:i w:val="0"/>
                <w:sz w:val="16"/>
              </w:rPr>
              <w:t>Пояснение: Утверждение «не более C−1 компонент» в статье Фишера отсутствует.</w:t>
            </w:r>
          </w:p>
        </w:tc>
      </w:tr>
      <w:tr>
        <w:tc>
          <w:tcPr>
            <w:tcW w:type="dxa" w:w="3515"/>
          </w:tcPr>
          <w:p>
            <w:pPr>
              <w:spacing w:after="40"/>
            </w:pPr>
            <w:r>
              <w:rPr>
                <w:b w:val="0"/>
                <w:i w:val="0"/>
                <w:sz w:val="17"/>
              </w:rPr>
              <w:t>Ограничения LDA:</w:t>
            </w:r>
          </w:p>
        </w:tc>
        <w:tc>
          <w:tcPr>
            <w:tcW w:type="dxa" w:w="1474"/>
            <w:shd w:val="clear" w:color="auto" w:fill="E2F0D9"/>
          </w:tcPr>
          <w:p>
            <w:pPr>
              <w:spacing w:after="40"/>
            </w:pPr>
            <w:r>
              <w:rPr>
                <w:b/>
                <w:i w:val="0"/>
                <w:sz w:val="17"/>
              </w:rPr>
              <w:t>Совпадает</w:t>
            </w:r>
          </w:p>
        </w:tc>
        <w:tc>
          <w:tcPr>
            <w:tcW w:type="dxa" w:w="4932"/>
          </w:tcPr>
          <w:p>
            <w:pPr>
              <w:spacing w:after="40"/>
            </w:pPr>
            <w:r>
              <w:rPr>
                <w:b/>
                <w:i w:val="0"/>
                <w:sz w:val="17"/>
              </w:rPr>
              <w:t>Страницы в отчёте: [3] с. 182–188</w:t>
            </w:r>
          </w:p>
        </w:tc>
        <w:tc>
          <w:tcPr>
            <w:tcW w:type="dxa" w:w="5102"/>
          </w:tcPr>
          <w:p>
            <w:pPr>
              <w:spacing w:after="40"/>
            </w:pPr>
            <w:r>
              <w:rPr>
                <w:b w:val="0"/>
                <w:i w:val="0"/>
                <w:sz w:val="17"/>
              </w:rPr>
              <w:t>(текст сохранён)</w:t>
            </w:r>
          </w:p>
        </w:tc>
      </w:tr>
      <w:tr>
        <w:tc>
          <w:tcPr>
            <w:tcW w:type="dxa" w:w="3515"/>
          </w:tcPr>
          <w:p>
            <w:pPr>
              <w:spacing w:after="40"/>
            </w:pPr>
            <w:r>
              <w:rPr>
                <w:b w:val="0"/>
                <w:i w:val="0"/>
                <w:sz w:val="17"/>
              </w:rPr>
              <w:t>Предположение о нормальности: неявно предполагает, что данные каждого класса имеют многомерное нормальное распределение.</w:t>
            </w:r>
          </w:p>
        </w:tc>
        <w:tc>
          <w:tcPr>
            <w:tcW w:type="dxa" w:w="1474"/>
            <w:shd w:val="clear" w:color="auto" w:fill="FCE4D6"/>
          </w:tcPr>
          <w:p>
            <w:pPr>
              <w:spacing w:after="40"/>
            </w:pPr>
            <w:r>
              <w:rPr>
                <w:b/>
                <w:i w:val="0"/>
                <w:sz w:val="17"/>
              </w:rPr>
              <w:t>Не совпадало — заменено</w:t>
            </w:r>
          </w:p>
        </w:tc>
        <w:tc>
          <w:tcPr>
            <w:tcW w:type="dxa" w:w="4932"/>
          </w:tcPr>
          <w:p>
            <w:pPr>
              <w:spacing w:after="40"/>
            </w:pPr>
            <w:r>
              <w:rPr>
                <w:b/>
                <w:i w:val="0"/>
                <w:sz w:val="17"/>
              </w:rPr>
              <w:t>Страницы в отчёте: [3] с. 182</w:t>
            </w:r>
          </w:p>
          <w:p>
            <w:pPr>
              <w:spacing w:after="40"/>
            </w:pPr>
            <w:r>
              <w:rPr>
                <w:b w:val="0"/>
                <w:i/>
                <w:sz w:val="17"/>
              </w:rPr>
              <w:t>с. 182: «The average variance of the two species in respect of the compound measurements may be estimated by dividing this value (1085.5522) by 95»</w:t>
            </w:r>
          </w:p>
        </w:tc>
        <w:tc>
          <w:tcPr>
            <w:tcW w:type="dxa" w:w="5102"/>
          </w:tcPr>
          <w:p>
            <w:pPr>
              <w:spacing w:after="40"/>
            </w:pPr>
            <w:r>
              <w:rPr>
                <w:b w:val="0"/>
                <w:i w:val="0"/>
                <w:sz w:val="17"/>
              </w:rPr>
              <w:t>Усреднённая дисперсия: дисперсия функции внутри видов оценивается по средней дисперсии двух видов (сумма делится на 95 степеней свободы).</w:t>
            </w:r>
          </w:p>
          <w:p>
            <w:pPr>
              <w:spacing w:after="40"/>
            </w:pPr>
            <w:r>
              <w:rPr>
                <w:b w:val="0"/>
                <w:i w:val="0"/>
                <w:sz w:val="16"/>
              </w:rPr>
              <w:t>Пояснение: Про «нормальность распределения» у Фишера нет; приведено допущение, которое сделано в статье.</w:t>
            </w:r>
          </w:p>
        </w:tc>
      </w:tr>
      <w:tr>
        <w:tc>
          <w:tcPr>
            <w:tcW w:type="dxa" w:w="3515"/>
          </w:tcPr>
          <w:p>
            <w:pPr>
              <w:spacing w:after="40"/>
            </w:pPr>
            <w:r>
              <w:rPr>
                <w:b w:val="0"/>
                <w:i w:val="0"/>
                <w:sz w:val="17"/>
              </w:rPr>
              <w:t>Предположение о равенстве ковариационных матриц: предполагает, что ковариационные матрицы всех классов одинаковы (гомоскедастичность).</w:t>
            </w:r>
          </w:p>
        </w:tc>
        <w:tc>
          <w:tcPr>
            <w:tcW w:type="dxa" w:w="1474"/>
            <w:shd w:val="clear" w:color="auto" w:fill="FCE4D6"/>
          </w:tcPr>
          <w:p>
            <w:pPr>
              <w:spacing w:after="40"/>
            </w:pPr>
            <w:r>
              <w:rPr>
                <w:b/>
                <w:i w:val="0"/>
                <w:sz w:val="17"/>
              </w:rPr>
              <w:t>Не совпадало — заменено</w:t>
            </w:r>
          </w:p>
        </w:tc>
        <w:tc>
          <w:tcPr>
            <w:tcW w:type="dxa" w:w="4932"/>
          </w:tcPr>
          <w:p>
            <w:pPr>
              <w:spacing w:after="40"/>
            </w:pPr>
            <w:r>
              <w:rPr>
                <w:b/>
                <w:i w:val="0"/>
                <w:sz w:val="17"/>
              </w:rPr>
              <w:t>Страницы в отчёте: [3] с. 185, 187</w:t>
            </w:r>
          </w:p>
          <w:p>
            <w:pPr>
              <w:spacing w:after="40"/>
            </w:pPr>
            <w:r>
              <w:rPr>
                <w:b w:val="0"/>
                <w:i/>
                <w:sz w:val="17"/>
              </w:rPr>
              <w:t>с. 187: «In theory the test of significance is not wholly exact, since … three degrees of freedom have been absorbed in adjusting the coefficients of the linear compound so as to discriminate the species as distinctly as possible.»</w:t>
            </w:r>
          </w:p>
        </w:tc>
        <w:tc>
          <w:tcPr>
            <w:tcW w:type="dxa" w:w="5102"/>
          </w:tcPr>
          <w:p>
            <w:pPr>
              <w:spacing w:after="40"/>
            </w:pPr>
            <w:r>
              <w:rPr>
                <w:b w:val="0"/>
                <w:i w:val="0"/>
                <w:sz w:val="17"/>
              </w:rPr>
              <w:t>Неточность критерия значимости: функция подобрана так, чтобы максимально различать виды, поэтому при проверке значимости приходится учитывать это; часть степеней свободы расходуется на подбор коэффициентов, и тест не вполне точен.</w:t>
            </w:r>
          </w:p>
          <w:p>
            <w:pPr>
              <w:spacing w:after="40"/>
            </w:pPr>
            <w:r>
              <w:rPr>
                <w:b w:val="0"/>
                <w:i w:val="0"/>
                <w:sz w:val="16"/>
              </w:rPr>
              <w:t>Пояснение: Про «равенство ковариационных матриц» как допущение у Фишера нет.</w:t>
            </w:r>
          </w:p>
        </w:tc>
      </w:tr>
      <w:tr>
        <w:tc>
          <w:tcPr>
            <w:tcW w:type="dxa" w:w="3515"/>
          </w:tcPr>
          <w:p>
            <w:pPr>
              <w:spacing w:after="40"/>
            </w:pPr>
            <w:r>
              <w:rPr>
                <w:b w:val="0"/>
                <w:i w:val="0"/>
                <w:sz w:val="17"/>
              </w:rPr>
              <w:t>Чувствительность к выбросам.</w:t>
            </w:r>
          </w:p>
        </w:tc>
        <w:tc>
          <w:tcPr>
            <w:tcW w:type="dxa" w:w="1474"/>
            <w:shd w:val="clear" w:color="auto" w:fill="FCE4D6"/>
          </w:tcPr>
          <w:p>
            <w:pPr>
              <w:spacing w:after="40"/>
            </w:pPr>
            <w:r>
              <w:rPr>
                <w:b/>
                <w:i w:val="0"/>
                <w:sz w:val="17"/>
              </w:rPr>
              <w:t>Не совпадало — заменено</w:t>
            </w:r>
          </w:p>
        </w:tc>
        <w:tc>
          <w:tcPr>
            <w:tcW w:type="dxa" w:w="4932"/>
          </w:tcPr>
          <w:p>
            <w:pPr>
              <w:spacing w:after="40"/>
            </w:pPr>
            <w:r>
              <w:rPr>
                <w:b/>
                <w:i w:val="0"/>
                <w:sz w:val="17"/>
              </w:rPr>
              <w:t>Страницы в отчёте: [3] с. 187–188</w:t>
            </w:r>
          </w:p>
          <w:p>
            <w:pPr>
              <w:spacing w:after="40"/>
            </w:pPr>
            <w:r>
              <w:rPr>
                <w:b w:val="0"/>
                <w:i/>
                <w:sz w:val="17"/>
              </w:rPr>
              <w:t>с. 187: «there is some overlap of the distributions of I. virginica and I. versicolor, so that a certain diagnosis of these two species could not be based solely on these four measurements»</w:t>
            </w:r>
          </w:p>
        </w:tc>
        <w:tc>
          <w:tcPr>
            <w:tcW w:type="dxa" w:w="5102"/>
          </w:tcPr>
          <w:p>
            <w:pPr>
              <w:spacing w:after="40"/>
            </w:pPr>
            <w:r>
              <w:rPr>
                <w:b w:val="0"/>
                <w:i w:val="0"/>
                <w:sz w:val="17"/>
              </w:rPr>
              <w:t>Перекрытие групп: различие между Iris virginica и Iris versicolor (15.31 единицы) меньше четырёх стандартных отклонений каждого вида; распределения частично перекрываются, и надёжный диагноз вида только по четырём измерениям невозможен.</w:t>
            </w:r>
          </w:p>
          <w:p>
            <w:pPr>
              <w:spacing w:after="40"/>
            </w:pPr>
            <w:r>
              <w:rPr>
                <w:b w:val="0"/>
                <w:i w:val="0"/>
                <w:sz w:val="16"/>
              </w:rPr>
              <w:t>Пояснение: Про «чувствительность к выбросам» у Фишера нет.</w:t>
            </w:r>
          </w:p>
        </w:tc>
      </w:tr>
      <w:tr>
        <w:tc>
          <w:tcPr>
            <w:tcW w:type="dxa" w:w="3515"/>
          </w:tcPr>
          <w:p>
            <w:pPr>
              <w:spacing w:after="40"/>
            </w:pPr>
            <w:r>
              <w:rPr>
                <w:b w:val="0"/>
                <w:i w:val="0"/>
                <w:sz w:val="17"/>
              </w:rPr>
              <w:t>Применим только для задач с учителем.</w:t>
            </w:r>
          </w:p>
        </w:tc>
        <w:tc>
          <w:tcPr>
            <w:tcW w:type="dxa" w:w="1474"/>
            <w:shd w:val="clear" w:color="auto" w:fill="FCE4D6"/>
          </w:tcPr>
          <w:p>
            <w:pPr>
              <w:spacing w:after="40"/>
            </w:pPr>
            <w:r>
              <w:rPr>
                <w:b/>
                <w:i w:val="0"/>
                <w:sz w:val="17"/>
              </w:rPr>
              <w:t>Не совпадало — заменено</w:t>
            </w:r>
          </w:p>
        </w:tc>
        <w:tc>
          <w:tcPr>
            <w:tcW w:type="dxa" w:w="4932"/>
          </w:tcPr>
          <w:p>
            <w:pPr>
              <w:spacing w:after="40"/>
            </w:pPr>
            <w:r>
              <w:rPr>
                <w:b/>
                <w:i w:val="0"/>
                <w:sz w:val="17"/>
              </w:rPr>
              <w:t>Страницы в отчёте: [3] с. 179</w:t>
            </w:r>
          </w:p>
          <w:p>
            <w:pPr>
              <w:spacing w:after="40"/>
            </w:pPr>
            <w:r>
              <w:rPr>
                <w:b w:val="0"/>
                <w:i/>
                <w:sz w:val="17"/>
              </w:rPr>
              <w:t>с. 179: «When two or more populations have been measured in several characters …»</w:t>
            </w:r>
          </w:p>
        </w:tc>
        <w:tc>
          <w:tcPr>
            <w:tcW w:type="dxa" w:w="5102"/>
          </w:tcPr>
          <w:p>
            <w:pPr>
              <w:spacing w:after="40"/>
            </w:pPr>
            <w:r>
              <w:rPr>
                <w:b w:val="0"/>
                <w:i w:val="0"/>
                <w:sz w:val="17"/>
              </w:rPr>
              <w:t>Известные группы: метод применяется к заранее заданным совокупностям (видам), измеренным по нескольким признакам.</w:t>
            </w:r>
          </w:p>
        </w:tc>
      </w:tr>
    </w:tbl>
    <w:p>
      <w:pPr>
        <w:pStyle w:val="Heading2"/>
      </w:pPr>
      <w:r>
        <w:t>2.3. Многомерное шкалирование (MDS)</w:t>
      </w:r>
    </w:p>
    <w:tbl>
      <w:tblPr>
        <w:tblStyle w:val="TableGrid"/>
        <w:tblW w:type="auto" w:w="0"/>
        <w:tblLook w:firstColumn="1" w:firstRow="1" w:lastColumn="0" w:lastRow="0" w:noHBand="0" w:noVBand="1" w:val="04A0"/>
      </w:tblPr>
      <w:tblGrid>
        <w:gridCol w:w="3535"/>
        <w:gridCol w:w="3535"/>
        <w:gridCol w:w="3535"/>
        <w:gridCol w:w="3535"/>
      </w:tblGrid>
      <w:tr>
        <w:tc>
          <w:tcPr>
            <w:tcW w:type="dxa" w:w="3515"/>
            <w:shd w:val="clear" w:color="auto" w:fill="BFBFBF"/>
          </w:tcPr>
          <w:p>
            <w:pPr>
              <w:spacing w:after="40"/>
            </w:pPr>
            <w:r>
              <w:rPr>
                <w:b/>
                <w:i w:val="0"/>
                <w:sz w:val="18"/>
              </w:rPr>
              <w:t>Было в отчёте</w:t>
            </w:r>
          </w:p>
        </w:tc>
        <w:tc>
          <w:tcPr>
            <w:tcW w:type="dxa" w:w="1474"/>
            <w:shd w:val="clear" w:color="auto" w:fill="BFBFBF"/>
          </w:tcPr>
          <w:p>
            <w:pPr>
              <w:spacing w:after="40"/>
            </w:pPr>
            <w:r>
              <w:rPr>
                <w:b/>
                <w:i w:val="0"/>
                <w:sz w:val="18"/>
              </w:rPr>
              <w:t>Статус</w:t>
            </w:r>
          </w:p>
        </w:tc>
        <w:tc>
          <w:tcPr>
            <w:tcW w:type="dxa" w:w="4932"/>
            <w:shd w:val="clear" w:color="auto" w:fill="BFBFBF"/>
          </w:tcPr>
          <w:p>
            <w:pPr>
              <w:spacing w:after="40"/>
            </w:pPr>
            <w:r>
              <w:rPr>
                <w:b/>
                <w:i w:val="0"/>
                <w:sz w:val="18"/>
              </w:rPr>
              <w:t>Источник: страница и цитата</w:t>
            </w:r>
          </w:p>
        </w:tc>
        <w:tc>
          <w:tcPr>
            <w:tcW w:type="dxa" w:w="5102"/>
            <w:shd w:val="clear" w:color="auto" w:fill="BFBFBF"/>
          </w:tcPr>
          <w:p>
            <w:pPr>
              <w:spacing w:after="40"/>
            </w:pPr>
            <w:r>
              <w:rPr>
                <w:b/>
                <w:i w:val="0"/>
                <w:sz w:val="18"/>
              </w:rPr>
              <w:t>Стало / что исправлено</w:t>
            </w:r>
          </w:p>
        </w:tc>
      </w:tr>
      <w:tr>
        <w:tc>
          <w:tcPr>
            <w:tcW w:type="dxa" w:w="3515"/>
          </w:tcPr>
          <w:p>
            <w:pPr>
              <w:spacing w:after="40"/>
            </w:pPr>
            <w:r>
              <w:rPr>
                <w:b w:val="0"/>
                <w:i w:val="0"/>
                <w:sz w:val="17"/>
              </w:rPr>
              <w:t>2.3. Многомерное шкалирование (MDS) в метрическом пространстве</w:t>
            </w:r>
          </w:p>
        </w:tc>
        <w:tc>
          <w:tcPr>
            <w:tcW w:type="dxa" w:w="1474"/>
            <w:shd w:val="clear" w:color="auto" w:fill="E2F0D9"/>
          </w:tcPr>
          <w:p>
            <w:pPr>
              <w:spacing w:after="40"/>
            </w:pPr>
            <w:r>
              <w:rPr>
                <w:b/>
                <w:i w:val="0"/>
                <w:sz w:val="17"/>
              </w:rPr>
              <w:t>Совпадает</w:t>
            </w:r>
          </w:p>
        </w:tc>
        <w:tc>
          <w:tcPr>
            <w:tcW w:type="dxa" w:w="4932"/>
          </w:tcPr>
          <w:p>
            <w:pPr>
              <w:spacing w:after="40"/>
            </w:pPr>
            <w:r>
              <w:rPr>
                <w:b/>
                <w:i w:val="0"/>
                <w:sz w:val="17"/>
              </w:rPr>
              <w:t>Страницы в отчёте: [4] с. 1</w:t>
            </w:r>
          </w:p>
          <w:p>
            <w:pPr>
              <w:spacing w:after="40"/>
            </w:pPr>
            <w:r>
              <w:rPr>
                <w:b w:val="0"/>
                <w:i/>
                <w:sz w:val="17"/>
              </w:rPr>
              <w:t>с. 1: «Multidimensional scaling (MDS) is the generic name of a class of techniques that aim to find a low-dimensional space, in which the distances between N points resemble as closely as possible a given or derived set of dissimilarities between N objects.»</w:t>
            </w:r>
          </w:p>
        </w:tc>
        <w:tc>
          <w:tcPr>
            <w:tcW w:type="dxa" w:w="5102"/>
          </w:tcPr>
          <w:p>
            <w:pPr>
              <w:spacing w:after="40"/>
            </w:pPr>
            <w:r>
              <w:rPr>
                <w:b w:val="0"/>
                <w:i w:val="0"/>
                <w:sz w:val="17"/>
              </w:rPr>
              <w:t>(текст сохранён)</w:t>
            </w:r>
          </w:p>
          <w:p>
            <w:pPr>
              <w:spacing w:after="40"/>
            </w:pPr>
            <w:r>
              <w:rPr>
                <w:b w:val="0"/>
                <w:i w:val="0"/>
                <w:sz w:val="16"/>
              </w:rPr>
              <w:t>Пояснение: Источник [4] заменён на свободно доступную заметку Meulman о работах Kruskal (1964); страницы указаны по ней.</w:t>
            </w:r>
          </w:p>
        </w:tc>
      </w:tr>
      <w:tr>
        <w:tc>
          <w:tcPr>
            <w:tcW w:type="dxa" w:w="3515"/>
          </w:tcPr>
          <w:p>
            <w:pPr>
              <w:spacing w:after="40"/>
            </w:pPr>
            <w:r>
              <w:rPr>
                <w:b w:val="0"/>
                <w:i w:val="0"/>
                <w:sz w:val="17"/>
              </w:rPr>
              <w:t>Сущность и цель:</w:t>
            </w:r>
          </w:p>
        </w:tc>
        <w:tc>
          <w:tcPr>
            <w:tcW w:type="dxa" w:w="1474"/>
            <w:shd w:val="clear" w:color="auto" w:fill="E2F0D9"/>
          </w:tcPr>
          <w:p>
            <w:pPr>
              <w:spacing w:after="40"/>
            </w:pPr>
            <w:r>
              <w:rPr>
                <w:b/>
                <w:i w:val="0"/>
                <w:sz w:val="17"/>
              </w:rPr>
              <w:t>Совпадает</w:t>
            </w:r>
          </w:p>
        </w:tc>
        <w:tc>
          <w:tcPr>
            <w:tcW w:type="dxa" w:w="4932"/>
          </w:tcPr>
          <w:p>
            <w:pPr>
              <w:spacing w:after="40"/>
            </w:pPr>
            <w:r>
              <w:rPr>
                <w:b/>
                <w:i w:val="0"/>
                <w:sz w:val="17"/>
              </w:rPr>
              <w:t>Страницы в отчёте: [4] с. 1</w:t>
            </w:r>
          </w:p>
        </w:tc>
        <w:tc>
          <w:tcPr>
            <w:tcW w:type="dxa" w:w="5102"/>
          </w:tcPr>
          <w:p>
            <w:pPr>
              <w:spacing w:after="40"/>
            </w:pPr>
            <w:r>
              <w:rPr>
                <w:b w:val="0"/>
                <w:i w:val="0"/>
                <w:sz w:val="17"/>
              </w:rPr>
              <w:t>(текст сохранён)</w:t>
            </w:r>
          </w:p>
        </w:tc>
      </w:tr>
      <w:tr>
        <w:tc>
          <w:tcPr>
            <w:tcW w:type="dxa" w:w="3515"/>
          </w:tcPr>
          <w:p>
            <w:pPr>
              <w:spacing w:after="40"/>
            </w:pPr>
            <w:r>
              <w:rPr>
                <w:b w:val="0"/>
                <w:i w:val="0"/>
                <w:sz w:val="17"/>
              </w:rPr>
              <w:t>Классический MDS (Metric Multidimensional Scaling) ставит своей целью такое расположение объектов в низкоразмерном пространстве, чтобы расстояния между ними в этом новом пространстве как можно лучше (обычно в смысле наименьших квадратов) соответствовали заданным исходным расстояниям (или различиям) между ними.</w:t>
            </w:r>
          </w:p>
        </w:tc>
        <w:tc>
          <w:tcPr>
            <w:tcW w:type="dxa" w:w="1474"/>
            <w:shd w:val="clear" w:color="auto" w:fill="FFF2CC"/>
          </w:tcPr>
          <w:p>
            <w:pPr>
              <w:spacing w:after="40"/>
            </w:pPr>
            <w:r>
              <w:rPr>
                <w:b/>
                <w:i w:val="0"/>
                <w:sz w:val="17"/>
              </w:rPr>
              <w:t>Исправлено частично</w:t>
            </w:r>
          </w:p>
        </w:tc>
        <w:tc>
          <w:tcPr>
            <w:tcW w:type="dxa" w:w="4932"/>
          </w:tcPr>
          <w:p>
            <w:pPr>
              <w:spacing w:after="40"/>
            </w:pPr>
            <w:r>
              <w:rPr>
                <w:b/>
                <w:i w:val="0"/>
                <w:sz w:val="17"/>
              </w:rPr>
              <w:t>Страницы в отчёте: [4] с. 1</w:t>
            </w:r>
          </w:p>
          <w:p>
            <w:pPr>
              <w:spacing w:after="40"/>
            </w:pPr>
            <w:r>
              <w:rPr>
                <w:b w:val="0"/>
                <w:i/>
                <w:sz w:val="17"/>
              </w:rPr>
              <w:t>с. 1: «Multidimensional scaling (MDS) is the generic name of a class of techniques that aim to find a low-dimensional space, in which the distances between N points resemble as closely as possible a given or derived set of dissimilarities between N objects.»</w:t>
            </w:r>
          </w:p>
          <w:p>
            <w:pPr>
              <w:spacing w:after="40"/>
            </w:pPr>
            <w:r>
              <w:rPr>
                <w:b w:val="0"/>
                <w:i/>
                <w:sz w:val="17"/>
              </w:rPr>
              <w:t>с. 3 (обзор [1]): «Classical scaling finds the linear mapping M that minimizes the cost function φ(Y) = Σ_ij (d_ij² − ||y_i − y_j||²)»</w:t>
            </w:r>
          </w:p>
        </w:tc>
        <w:tc>
          <w:tcPr>
            <w:tcW w:type="dxa" w:w="5102"/>
          </w:tcPr>
          <w:p>
            <w:pPr>
              <w:spacing w:after="40"/>
            </w:pPr>
            <w:r>
              <w:rPr>
                <w:b w:val="0"/>
                <w:i w:val="0"/>
                <w:sz w:val="17"/>
              </w:rPr>
              <w:t>MDS (Multidimensional Scaling) — класс методов, которые ищут низкоразмерное пространство, где расстояния между N точками как можно точнее соответствуют заданным или выведенным различиям (dissimilarities) между N объектами. В классическом (метрическом) варианте ищется линейное отображение, минимизирующее φ(Y) = Σ_ij (d_ij² − ||y_i − y_j||²) (см. [1] с. 3).</w:t>
            </w:r>
          </w:p>
          <w:p>
            <w:pPr>
              <w:spacing w:after="40"/>
            </w:pPr>
            <w:r>
              <w:rPr>
                <w:b w:val="0"/>
                <w:i w:val="0"/>
                <w:sz w:val="16"/>
              </w:rPr>
              <w:t>Пояснение: Определение подтверждено; формула классического варианта дана по обзору [1].</w:t>
            </w:r>
          </w:p>
        </w:tc>
      </w:tr>
      <w:tr>
        <w:tc>
          <w:tcPr>
            <w:tcW w:type="dxa" w:w="3515"/>
          </w:tcPr>
          <w:p>
            <w:pPr>
              <w:spacing w:after="40"/>
            </w:pPr>
            <w:r>
              <w:rPr>
                <w:b w:val="0"/>
                <w:i w:val="0"/>
                <w:sz w:val="17"/>
              </w:rPr>
              <w:t>Математический аппарат:</w:t>
            </w:r>
          </w:p>
        </w:tc>
        <w:tc>
          <w:tcPr>
            <w:tcW w:type="dxa" w:w="1474"/>
            <w:shd w:val="clear" w:color="auto" w:fill="E2F0D9"/>
          </w:tcPr>
          <w:p>
            <w:pPr>
              <w:spacing w:after="40"/>
            </w:pPr>
            <w:r>
              <w:rPr>
                <w:b/>
                <w:i w:val="0"/>
                <w:sz w:val="17"/>
              </w:rPr>
              <w:t>Совпадает</w:t>
            </w:r>
          </w:p>
        </w:tc>
        <w:tc>
          <w:tcPr>
            <w:tcW w:type="dxa" w:w="4932"/>
          </w:tcPr>
          <w:p>
            <w:pPr>
              <w:spacing w:after="40"/>
            </w:pPr>
            <w:r>
              <w:rPr>
                <w:b/>
                <w:i w:val="0"/>
                <w:sz w:val="17"/>
              </w:rPr>
              <w:t>Страницы в отчёте: [4] с. 2; [1] с. 3–4</w:t>
            </w:r>
          </w:p>
        </w:tc>
        <w:tc>
          <w:tcPr>
            <w:tcW w:type="dxa" w:w="5102"/>
          </w:tcPr>
          <w:p>
            <w:pPr>
              <w:spacing w:after="40"/>
            </w:pPr>
            <w:r>
              <w:rPr>
                <w:b w:val="0"/>
                <w:i w:val="0"/>
                <w:sz w:val="17"/>
              </w:rPr>
              <w:t>(текст сохранён)</w:t>
            </w:r>
          </w:p>
          <w:p>
            <w:pPr>
              <w:spacing w:after="40"/>
            </w:pPr>
            <w:r>
              <w:rPr>
                <w:b w:val="0"/>
                <w:i w:val="0"/>
                <w:sz w:val="16"/>
              </w:rPr>
              <w:t>Пояснение: Классический MDS описан в [4] (с. 2) и в обзоре [1] (с. 3–4).</w:t>
            </w:r>
          </w:p>
        </w:tc>
      </w:tr>
      <w:tr>
        <w:tc>
          <w:tcPr>
            <w:tcW w:type="dxa" w:w="3515"/>
          </w:tcPr>
          <w:p>
            <w:pPr>
              <w:spacing w:after="40"/>
            </w:pPr>
            <w:r>
              <w:rPr>
                <w:b w:val="0"/>
                <w:i w:val="0"/>
                <w:sz w:val="17"/>
              </w:rPr>
              <w:t>Имеется матрица попарных расстояний (dissimilarities) D размерности n x n.</w:t>
            </w:r>
          </w:p>
        </w:tc>
        <w:tc>
          <w:tcPr>
            <w:tcW w:type="dxa" w:w="1474"/>
            <w:shd w:val="clear" w:color="auto" w:fill="FFF2CC"/>
          </w:tcPr>
          <w:p>
            <w:pPr>
              <w:spacing w:after="40"/>
            </w:pPr>
            <w:r>
              <w:rPr>
                <w:b/>
                <w:i w:val="0"/>
                <w:sz w:val="17"/>
              </w:rPr>
              <w:t>Исправлено частично</w:t>
            </w:r>
          </w:p>
        </w:tc>
        <w:tc>
          <w:tcPr>
            <w:tcW w:type="dxa" w:w="4932"/>
          </w:tcPr>
          <w:p>
            <w:pPr>
              <w:spacing w:after="40"/>
            </w:pPr>
            <w:r>
              <w:rPr>
                <w:b/>
                <w:i w:val="0"/>
                <w:sz w:val="17"/>
              </w:rPr>
              <w:t>Страницы в отчёте: [4] с. 2; [1] с. 3</w:t>
            </w:r>
          </w:p>
          <w:p>
            <w:pPr>
              <w:spacing w:after="40"/>
            </w:pPr>
            <w:r>
              <w:rPr>
                <w:b w:val="0"/>
                <w:i/>
                <w:sz w:val="17"/>
              </w:rPr>
              <w:t>с. 2: «Here Δ = {δij} is a matrix with given or derived dissimilarities δij between N objects»</w:t>
            </w:r>
          </w:p>
          <w:p>
            <w:pPr>
              <w:spacing w:after="40"/>
            </w:pPr>
            <w:r>
              <w:rPr>
                <w:b w:val="0"/>
                <w:i/>
                <w:sz w:val="17"/>
              </w:rPr>
              <w:t>с. 3 ([1]): «a pairwise Euclidean distance matrix D whose entries d_ij represent the Euclidean distance between the high-dimensional datapoints x_i and x_j»</w:t>
            </w:r>
          </w:p>
        </w:tc>
        <w:tc>
          <w:tcPr>
            <w:tcW w:type="dxa" w:w="5102"/>
          </w:tcPr>
          <w:p>
            <w:pPr>
              <w:spacing w:after="40"/>
            </w:pPr>
            <w:r>
              <w:rPr>
                <w:b w:val="0"/>
                <w:i w:val="0"/>
                <w:sz w:val="17"/>
              </w:rPr>
              <w:t>Имеется матрица Δ = {δ_ij} размерности n x n с заданными или выведенными различиями (dissimilarities) между n объектами; в частном случае это матрица D попарных евклидовых расстояний между точками x_i и x_j.</w:t>
            </w:r>
          </w:p>
          <w:p>
            <w:pPr>
              <w:spacing w:after="40"/>
            </w:pPr>
            <w:r>
              <w:rPr>
                <w:b w:val="0"/>
                <w:i w:val="0"/>
                <w:sz w:val="16"/>
              </w:rPr>
              <w:t>Пояснение: Матрица различий δ_ij — обозначение источника [4]; случай евклидовых расстояний — по обзору [1].</w:t>
            </w:r>
          </w:p>
        </w:tc>
      </w:tr>
      <w:tr>
        <w:tc>
          <w:tcPr>
            <w:tcW w:type="dxa" w:w="3515"/>
          </w:tcPr>
          <w:p>
            <w:pPr>
              <w:spacing w:after="40"/>
            </w:pPr>
            <w:r>
              <w:rPr>
                <w:b w:val="0"/>
                <w:i w:val="0"/>
                <w:sz w:val="17"/>
              </w:rPr>
              <w:t>Преобразование матрицы расстояний: строится матрица B, элементы которой являются скалярными произведениями между векторами объектов в искомом пространстве. Это делается через операцию "двойного центрирования" (double-centering) матрицы квадратов расстояний: B = -0.5 * J * D^(2) * J, где J = I - (1/n) * 11^T — матрица центрирования, I — единичная матрица, 1 — вектор из единиц.</w:t>
            </w:r>
          </w:p>
        </w:tc>
        <w:tc>
          <w:tcPr>
            <w:tcW w:type="dxa" w:w="1474"/>
            <w:shd w:val="clear" w:color="auto" w:fill="FFF2CC"/>
          </w:tcPr>
          <w:p>
            <w:pPr>
              <w:spacing w:after="40"/>
            </w:pPr>
            <w:r>
              <w:rPr>
                <w:b/>
                <w:i w:val="0"/>
                <w:sz w:val="17"/>
              </w:rPr>
              <w:t>Исправлено частично</w:t>
            </w:r>
          </w:p>
        </w:tc>
        <w:tc>
          <w:tcPr>
            <w:tcW w:type="dxa" w:w="4932"/>
          </w:tcPr>
          <w:p>
            <w:pPr>
              <w:spacing w:after="40"/>
            </w:pPr>
            <w:r>
              <w:rPr>
                <w:b/>
                <w:i w:val="0"/>
                <w:sz w:val="17"/>
              </w:rPr>
              <w:t>Страницы в отчёте: [4] с. 2; [1] с. 4; [6] прим. 17, с. 2322</w:t>
            </w:r>
          </w:p>
          <w:p>
            <w:pPr>
              <w:spacing w:after="40"/>
            </w:pPr>
            <w:r>
              <w:rPr>
                <w:b w:val="0"/>
                <w:i/>
                <w:sz w:val="17"/>
              </w:rPr>
              <w:t>с. 2: «In Classical MDS, the approximation of dissimilarities by distances is channeled through scalar products, and involves an eigenvalue decomposition of a matrix S ≡ −½ J Δ² J. … J is a centering operator that renders the resulting matrix S double-centered.»</w:t>
            </w:r>
          </w:p>
          <w:p>
            <w:pPr>
              <w:spacing w:after="40"/>
            </w:pPr>
            <w:r>
              <w:rPr>
                <w:b w:val="0"/>
                <w:i/>
                <w:sz w:val="17"/>
              </w:rPr>
              <w:t>с. 4 ([1]): «k_ij = −½ (d_ij² − (1/n)Σ_l d_il² − (1/n)Σ_l d_jl² + (1/n²)Σ_lm d_lm²)»</w:t>
            </w:r>
          </w:p>
          <w:p>
            <w:pPr>
              <w:spacing w:after="40"/>
            </w:pPr>
            <w:r>
              <w:rPr>
                <w:b w:val="0"/>
                <w:i/>
                <w:sz w:val="17"/>
              </w:rPr>
              <w:t>с. 2322 ([6], прим. 17): «τ(D) = −HSH/2 … H is the “centering matrix” {H_ij = δ_ij − 1/N}»</w:t>
            </w:r>
          </w:p>
        </w:tc>
        <w:tc>
          <w:tcPr>
            <w:tcW w:type="dxa" w:w="5102"/>
          </w:tcPr>
          <w:p>
            <w:pPr>
              <w:spacing w:after="40"/>
            </w:pPr>
            <w:r>
              <w:rPr>
                <w:b w:val="0"/>
                <w:i w:val="0"/>
                <w:sz w:val="17"/>
              </w:rPr>
              <w:t>Преобразование матрицы расстояний: в классическом MDS приближение различий расстояниями проходит через скалярные произведения; строится дважды центрированная матрица B через операцию «двойного центрирования» матрицы квадратов расстояний: B = -0.5 * J * D^(2) * J, где J = I - (1/n) * 11^T — матрица (оператор) центрирования, I — единичная матрица, 1 — вектор из единиц. В поэлементной записи: k_ij = −½ (d_ij² − (1/n) Σ_l d_il² − (1/n) Σ_l d_jl² + (1/n²) Σ_lm d_lm²).</w:t>
            </w:r>
          </w:p>
          <w:p>
            <w:pPr>
              <w:spacing w:after="40"/>
            </w:pPr>
            <w:r>
              <w:rPr>
                <w:b w:val="0"/>
                <w:i w:val="0"/>
                <w:sz w:val="16"/>
              </w:rPr>
              <w:t>Пояснение: Формула B = −½JΔ²J подтверждена источником [4] (с. 2), поэлементная запись — обзором [1], оператор H — статьёй [6].</w:t>
            </w:r>
          </w:p>
        </w:tc>
      </w:tr>
      <w:tr>
        <w:tc>
          <w:tcPr>
            <w:tcW w:type="dxa" w:w="3515"/>
          </w:tcPr>
          <w:p>
            <w:pPr>
              <w:spacing w:after="40"/>
            </w:pPr>
            <w:r>
              <w:rPr>
                <w:b w:val="0"/>
                <w:i w:val="0"/>
                <w:sz w:val="17"/>
              </w:rPr>
              <w:t>Разложение: Матрица B является симметричной положительно полуопределенной. Производится ее спектральное разложение: B = V * Λ * V^T, где Λ — диагональная матрица собственных значений λ_i, V — матрица собственных векторов.</w:t>
            </w:r>
          </w:p>
        </w:tc>
        <w:tc>
          <w:tcPr>
            <w:tcW w:type="dxa" w:w="1474"/>
            <w:shd w:val="clear" w:color="auto" w:fill="FFF2CC"/>
          </w:tcPr>
          <w:p>
            <w:pPr>
              <w:spacing w:after="40"/>
            </w:pPr>
            <w:r>
              <w:rPr>
                <w:b/>
                <w:i w:val="0"/>
                <w:sz w:val="17"/>
              </w:rPr>
              <w:t>Исправлено частично</w:t>
            </w:r>
          </w:p>
        </w:tc>
        <w:tc>
          <w:tcPr>
            <w:tcW w:type="dxa" w:w="4932"/>
          </w:tcPr>
          <w:p>
            <w:pPr>
              <w:spacing w:after="40"/>
            </w:pPr>
            <w:r>
              <w:rPr>
                <w:b/>
                <w:i w:val="0"/>
                <w:sz w:val="17"/>
              </w:rPr>
              <w:t>Страницы в отчёте: [4] с. 2; [1] с. 4</w:t>
            </w:r>
          </w:p>
          <w:p>
            <w:pPr>
              <w:spacing w:after="40"/>
            </w:pPr>
            <w:r>
              <w:rPr>
                <w:b w:val="0"/>
                <w:i/>
                <w:sz w:val="17"/>
              </w:rPr>
              <w:t>с. 2: «From the eigenvalue decomposition of S, with eigenvalues ordered from big to small, a low-dimensional configuration X is derived …»</w:t>
            </w:r>
          </w:p>
        </w:tc>
        <w:tc>
          <w:tcPr>
            <w:tcW w:type="dxa" w:w="5102"/>
          </w:tcPr>
          <w:p>
            <w:pPr>
              <w:spacing w:after="40"/>
            </w:pPr>
            <w:r>
              <w:rPr>
                <w:b w:val="0"/>
                <w:i w:val="0"/>
                <w:sz w:val="17"/>
              </w:rPr>
              <w:t>Разложение: матрицу B раскладывают на собственные значения, упорядоченные от больших к меньшим: B = V * Λ * V^T, где Λ — диагональная матрица собственных значений λ_i, V — матрица собственных векторов.</w:t>
            </w:r>
          </w:p>
          <w:p>
            <w:pPr>
              <w:spacing w:after="40"/>
            </w:pPr>
            <w:r>
              <w:rPr>
                <w:b w:val="0"/>
                <w:i w:val="0"/>
                <w:sz w:val="16"/>
              </w:rPr>
              <w:t>Пояснение: Утверждение о «положительной полуопределённости» в источниках не приведено — убрано.</w:t>
            </w:r>
          </w:p>
        </w:tc>
      </w:tr>
      <w:tr>
        <w:tc>
          <w:tcPr>
            <w:tcW w:type="dxa" w:w="3515"/>
          </w:tcPr>
          <w:p>
            <w:pPr>
              <w:spacing w:after="40"/>
            </w:pPr>
            <w:r>
              <w:rPr>
                <w:b w:val="0"/>
                <w:i w:val="0"/>
                <w:sz w:val="17"/>
              </w:rPr>
              <w:t>Проекция: для снижения размерности до k берутся k наибольших положительных собственных значений и соответствующие им собственные векторы. Координаты объектов в k-мерном пространстве задаются как:</w:t>
            </w:r>
          </w:p>
        </w:tc>
        <w:tc>
          <w:tcPr>
            <w:tcW w:type="dxa" w:w="1474"/>
            <w:shd w:val="clear" w:color="auto" w:fill="FFF2CC"/>
          </w:tcPr>
          <w:p>
            <w:pPr>
              <w:spacing w:after="40"/>
            </w:pPr>
            <w:r>
              <w:rPr>
                <w:b/>
                <w:i w:val="0"/>
                <w:sz w:val="17"/>
              </w:rPr>
              <w:t>Исправлено частично</w:t>
            </w:r>
          </w:p>
        </w:tc>
        <w:tc>
          <w:tcPr>
            <w:tcW w:type="dxa" w:w="4932"/>
          </w:tcPr>
          <w:p>
            <w:pPr>
              <w:spacing w:after="40"/>
            </w:pPr>
            <w:r>
              <w:rPr>
                <w:b/>
                <w:i w:val="0"/>
                <w:sz w:val="17"/>
              </w:rPr>
              <w:t>Страницы в отчёте: [4] с. 2; [1] с. 4</w:t>
            </w:r>
          </w:p>
          <w:p>
            <w:pPr>
              <w:spacing w:after="40"/>
            </w:pPr>
            <w:r>
              <w:rPr>
                <w:b w:val="0"/>
                <w:i/>
                <w:sz w:val="17"/>
              </w:rPr>
              <w:t>с. 2: «… taking the first p eigenvectors and the square root of the first p eigenvalues, with S approximated being by the scalar product matrix XX′.»</w:t>
            </w:r>
          </w:p>
        </w:tc>
        <w:tc>
          <w:tcPr>
            <w:tcW w:type="dxa" w:w="5102"/>
          </w:tcPr>
          <w:p>
            <w:pPr>
              <w:spacing w:after="40"/>
            </w:pPr>
            <w:r>
              <w:rPr>
                <w:b w:val="0"/>
                <w:i w:val="0"/>
                <w:sz w:val="17"/>
              </w:rPr>
              <w:t>Проекция: для снижения размерности до k берутся первые k собственных векторов и квадратные корни первых k (наибольших) собственных значений; матрица B при этом аппроксимируется матрицей скалярных произведений XX^T. Координаты объектов в k-мерном пространстве задаются как:</w:t>
            </w:r>
          </w:p>
        </w:tc>
      </w:tr>
      <w:tr>
        <w:tc>
          <w:tcPr>
            <w:tcW w:type="dxa" w:w="3515"/>
          </w:tcPr>
          <w:p>
            <w:pPr>
              <w:spacing w:after="40"/>
            </w:pPr>
            <w:r>
              <w:rPr>
                <w:b w:val="0"/>
                <w:i w:val="0"/>
                <w:sz w:val="17"/>
              </w:rPr>
              <w:t>X_k = V_k * sqrt(Λ_k), где V_k — матрица из k собственных векторов, Λ_k — диагональная матрица из k собственных значений.</w:t>
            </w:r>
          </w:p>
        </w:tc>
        <w:tc>
          <w:tcPr>
            <w:tcW w:type="dxa" w:w="1474"/>
            <w:shd w:val="clear" w:color="auto" w:fill="E2F0D9"/>
          </w:tcPr>
          <w:p>
            <w:pPr>
              <w:spacing w:after="40"/>
            </w:pPr>
            <w:r>
              <w:rPr>
                <w:b/>
                <w:i w:val="0"/>
                <w:sz w:val="17"/>
              </w:rPr>
              <w:t>Совпадает</w:t>
            </w:r>
          </w:p>
        </w:tc>
        <w:tc>
          <w:tcPr>
            <w:tcW w:type="dxa" w:w="4932"/>
          </w:tcPr>
          <w:p>
            <w:pPr>
              <w:spacing w:after="40"/>
            </w:pPr>
            <w:r>
              <w:rPr>
                <w:b/>
                <w:i w:val="0"/>
                <w:sz w:val="17"/>
              </w:rPr>
              <w:t>Страницы в отчёте: [4] с. 2; [1] с. 4</w:t>
            </w:r>
          </w:p>
          <w:p>
            <w:pPr>
              <w:spacing w:after="40"/>
            </w:pPr>
            <w:r>
              <w:rPr>
                <w:b w:val="0"/>
                <w:i/>
                <w:sz w:val="17"/>
              </w:rPr>
              <w:t>с. 4 ([1]): «multiplying the principal eigenvectors … with the square-root of their corresponding eigenvalues»</w:t>
            </w:r>
          </w:p>
        </w:tc>
        <w:tc>
          <w:tcPr>
            <w:tcW w:type="dxa" w:w="5102"/>
          </w:tcPr>
          <w:p>
            <w:pPr>
              <w:spacing w:after="40"/>
            </w:pPr>
            <w:r>
              <w:rPr>
                <w:b w:val="0"/>
                <w:i w:val="0"/>
                <w:sz w:val="17"/>
              </w:rPr>
              <w:t>(текст сохранён)</w:t>
            </w:r>
          </w:p>
          <w:p>
            <w:pPr>
              <w:spacing w:after="40"/>
            </w:pPr>
            <w:r>
              <w:rPr>
                <w:b w:val="0"/>
                <w:i w:val="0"/>
                <w:sz w:val="16"/>
              </w:rPr>
              <w:t>Пояснение: Формула X_k = V_k·√Λ_k подтверждена [4] и обзором [1].</w:t>
            </w:r>
          </w:p>
        </w:tc>
      </w:tr>
      <w:tr>
        <w:tc>
          <w:tcPr>
            <w:tcW w:type="dxa" w:w="3515"/>
          </w:tcPr>
          <w:p>
            <w:pPr>
              <w:spacing w:after="40"/>
            </w:pPr>
            <w:r>
              <w:rPr>
                <w:b w:val="0"/>
                <w:i w:val="0"/>
                <w:sz w:val="17"/>
              </w:rPr>
              <w:t>Связь с PCA: если в качестве исходных данных используется матрица объектов X, а в качестве меры различия — евклидово расстояние, то классический метрический MDS дает тот же результат, что и PCA (с точностью до вращения). Таким образом, PCA можно рассматривать как частный случай MDS.</w:t>
            </w:r>
          </w:p>
        </w:tc>
        <w:tc>
          <w:tcPr>
            <w:tcW w:type="dxa" w:w="1474"/>
            <w:shd w:val="clear" w:color="auto" w:fill="FFF2CC"/>
          </w:tcPr>
          <w:p>
            <w:pPr>
              <w:spacing w:after="40"/>
            </w:pPr>
            <w:r>
              <w:rPr>
                <w:b/>
                <w:i w:val="0"/>
                <w:sz w:val="17"/>
              </w:rPr>
              <w:t>Исправлено частично</w:t>
            </w:r>
          </w:p>
        </w:tc>
        <w:tc>
          <w:tcPr>
            <w:tcW w:type="dxa" w:w="4932"/>
          </w:tcPr>
          <w:p>
            <w:pPr>
              <w:spacing w:after="40"/>
            </w:pPr>
            <w:r>
              <w:rPr>
                <w:b/>
                <w:i w:val="0"/>
                <w:sz w:val="17"/>
              </w:rPr>
              <w:t>Страницы в отчёте: [1] с. 3–4; [6] с. 2319; [4] с. 2</w:t>
            </w:r>
          </w:p>
          <w:p>
            <w:pPr>
              <w:spacing w:after="40"/>
            </w:pPr>
            <w:r>
              <w:rPr>
                <w:b w:val="0"/>
                <w:i/>
                <w:sz w:val="17"/>
              </w:rPr>
              <w:t>с. 3 ([1]): «PCA is identical to the traditional technique for multidimensional scaling called classical scaling.»</w:t>
            </w:r>
          </w:p>
          <w:p>
            <w:pPr>
              <w:spacing w:after="40"/>
            </w:pPr>
            <w:r>
              <w:rPr>
                <w:b w:val="0"/>
                <w:i/>
                <w:sz w:val="17"/>
              </w:rPr>
              <w:t>с. 2319 ([6]): «Classical MDS finds an embedding that preserves the interpoint distances, equivalent to PCA when those distances are Euclidean.»</w:t>
            </w:r>
          </w:p>
          <w:p>
            <w:pPr>
              <w:spacing w:after="40"/>
            </w:pPr>
            <w:r>
              <w:rPr>
                <w:b w:val="0"/>
                <w:i/>
                <w:sz w:val="17"/>
              </w:rPr>
              <w:t>с. 2 ([4]): «This procedure is also known als the Young-Householder (1938) process. Since the method was independently from Torgerson proposed by Gower (1966) …»</w:t>
            </w:r>
          </w:p>
        </w:tc>
        <w:tc>
          <w:tcPr>
            <w:tcW w:type="dxa" w:w="5102"/>
          </w:tcPr>
          <w:p>
            <w:pPr>
              <w:spacing w:after="40"/>
            </w:pPr>
            <w:r>
              <w:rPr>
                <w:b w:val="0"/>
                <w:i w:val="0"/>
                <w:sz w:val="17"/>
              </w:rPr>
              <w:t>Связь с PCA: PCA идентичен классическому шкалированию — традиционной технике многомерного шкалирования; классический MDS находит вложение, сохраняющее попарные расстояния, и эквивалентен PCA, когда расстояния евклидовы. Собственные векторы u_i и v_i матриц XᵀX и XXᵀ связаны соотношением √λ_i · v_i = X · u_i. Эта процедура известна как процесс Янга–Хаусхолдера (1938); независимо от Торгерсона её предложил Гауэр (1966).</w:t>
            </w:r>
          </w:p>
          <w:p>
            <w:pPr>
              <w:spacing w:after="40"/>
            </w:pPr>
            <w:r>
              <w:rPr>
                <w:b w:val="0"/>
                <w:i w:val="0"/>
                <w:sz w:val="16"/>
              </w:rPr>
              <w:t>Пояснение: Утверждение верно; подтверждено обзором [1], статьёй [6] и заметкой [4].</w:t>
            </w:r>
          </w:p>
        </w:tc>
      </w:tr>
      <w:tr>
        <w:tc>
          <w:tcPr>
            <w:tcW w:type="dxa" w:w="3515"/>
          </w:tcPr>
          <w:p>
            <w:pPr>
              <w:spacing w:after="40"/>
            </w:pPr>
            <w:r>
              <w:rPr>
                <w:b w:val="0"/>
                <w:i w:val="0"/>
                <w:sz w:val="17"/>
              </w:rPr>
              <w:t>Вариации MDS:</w:t>
            </w:r>
          </w:p>
        </w:tc>
        <w:tc>
          <w:tcPr>
            <w:tcW w:type="dxa" w:w="1474"/>
            <w:shd w:val="clear" w:color="auto" w:fill="FFF2CC"/>
          </w:tcPr>
          <w:p>
            <w:pPr>
              <w:spacing w:after="40"/>
            </w:pPr>
            <w:r>
              <w:rPr>
                <w:b/>
                <w:i w:val="0"/>
                <w:sz w:val="17"/>
              </w:rPr>
              <w:t>Исправлено частично</w:t>
            </w:r>
          </w:p>
        </w:tc>
        <w:tc>
          <w:tcPr>
            <w:tcW w:type="dxa" w:w="4932"/>
          </w:tcPr>
          <w:p>
            <w:pPr>
              <w:spacing w:after="40"/>
            </w:pPr>
            <w:r>
              <w:rPr>
                <w:b/>
                <w:i w:val="0"/>
                <w:sz w:val="17"/>
              </w:rPr>
              <w:t>Страницы в отчёте: [4] с. 1–3</w:t>
            </w:r>
          </w:p>
        </w:tc>
        <w:tc>
          <w:tcPr>
            <w:tcW w:type="dxa" w:w="5102"/>
          </w:tcPr>
          <w:p>
            <w:pPr>
              <w:spacing w:after="40"/>
            </w:pPr>
            <w:r>
              <w:rPr>
                <w:b w:val="0"/>
                <w:i w:val="0"/>
                <w:sz w:val="17"/>
              </w:rPr>
              <w:t>Неметрическое MDS (Шепард, Краскал):</w:t>
            </w:r>
          </w:p>
        </w:tc>
      </w:tr>
      <w:tr>
        <w:tc>
          <w:tcPr>
            <w:tcW w:type="dxa" w:w="3515"/>
          </w:tcPr>
          <w:p>
            <w:pPr>
              <w:spacing w:after="40"/>
            </w:pPr>
            <w:r>
              <w:rPr>
                <w:b w:val="0"/>
                <w:i w:val="0"/>
                <w:sz w:val="17"/>
              </w:rPr>
              <w:t>Неметрическое MDS (Non-metric MDS): используется, когда данные являются порядковыми (ранговыми). Алгоритм стремится сохранить лишь монотонную зависимость между исходными различиями и расстояниями в целевом пространстве.</w:t>
            </w:r>
          </w:p>
        </w:tc>
        <w:tc>
          <w:tcPr>
            <w:tcW w:type="dxa" w:w="1474"/>
            <w:shd w:val="clear" w:color="auto" w:fill="FFF2CC"/>
          </w:tcPr>
          <w:p>
            <w:pPr>
              <w:spacing w:after="40"/>
            </w:pPr>
            <w:r>
              <w:rPr>
                <w:b/>
                <w:i w:val="0"/>
                <w:sz w:val="17"/>
              </w:rPr>
              <w:t>Исправлено частично</w:t>
            </w:r>
          </w:p>
        </w:tc>
        <w:tc>
          <w:tcPr>
            <w:tcW w:type="dxa" w:w="4932"/>
          </w:tcPr>
          <w:p>
            <w:pPr>
              <w:spacing w:after="40"/>
            </w:pPr>
            <w:r>
              <w:rPr>
                <w:b/>
                <w:i w:val="0"/>
                <w:sz w:val="17"/>
              </w:rPr>
              <w:t>Страницы в отчёте: [4] с. 1–2</w:t>
            </w:r>
          </w:p>
          <w:p>
            <w:pPr>
              <w:spacing w:after="40"/>
            </w:pPr>
            <w:r>
              <w:rPr>
                <w:b w:val="0"/>
                <w:i/>
                <w:sz w:val="17"/>
              </w:rPr>
              <w:t>с. 1: «The innovating step was to state that no assumptions were made about the form of the distance functions, except that its values had to be monotonic with the data.»</w:t>
            </w:r>
          </w:p>
          <w:p>
            <w:pPr>
              <w:spacing w:after="40"/>
            </w:pPr>
            <w:r>
              <w:rPr>
                <w:b w:val="0"/>
                <w:i/>
                <w:sz w:val="17"/>
              </w:rPr>
              <w:t>с. 2: «Kruskal began by defining an explicit least squares loss function to minimize, called stress, proposed a gradient method to obtain successor configurations, and introduced monotone regression of distances upon dissimilarities to obtain perfect monotonicity.»</w:t>
            </w:r>
          </w:p>
        </w:tc>
        <w:tc>
          <w:tcPr>
            <w:tcW w:type="dxa" w:w="5102"/>
          </w:tcPr>
          <w:p>
            <w:pPr>
              <w:spacing w:after="40"/>
            </w:pPr>
            <w:r>
              <w:rPr>
                <w:b w:val="0"/>
                <w:i w:val="0"/>
                <w:sz w:val="17"/>
              </w:rPr>
              <w:t>Неметрическое MDS (Non-metric MDS): относительно функции расстояния не делается никаких предположений, кроме того, что её значения монотонны относительно данных; по порядковой (ранговой) информации строится метрическая конфигурация точек. Краскал задал явную функцию потерь по методу наименьших квадратов — стресс (stress), предложил градиентный метод для получения последовательных конфигураций и монотонную регрессию расстояний на различия.</w:t>
            </w:r>
          </w:p>
          <w:p>
            <w:pPr>
              <w:spacing w:after="40"/>
            </w:pPr>
            <w:r>
              <w:rPr>
                <w:b w:val="0"/>
                <w:i w:val="0"/>
                <w:sz w:val="16"/>
              </w:rPr>
              <w:t>Пояснение: Смысл прежнего текста подтверждён; уточнён по источнику.</w:t>
            </w:r>
          </w:p>
        </w:tc>
      </w:tr>
      <w:tr>
        <w:tc>
          <w:tcPr>
            <w:tcW w:type="dxa" w:w="3515"/>
          </w:tcPr>
          <w:p>
            <w:pPr>
              <w:spacing w:after="40"/>
            </w:pPr>
            <w:r>
              <w:rPr>
                <w:b w:val="0"/>
                <w:i w:val="0"/>
                <w:sz w:val="17"/>
              </w:rPr>
              <w:t>Взвешенное MDS (Weighted MDS): позволяет назначать разные веса разным парам объектов.</w:t>
            </w:r>
          </w:p>
        </w:tc>
        <w:tc>
          <w:tcPr>
            <w:tcW w:type="dxa" w:w="1474"/>
            <w:shd w:val="clear" w:color="auto" w:fill="FCE4D6"/>
          </w:tcPr>
          <w:p>
            <w:pPr>
              <w:spacing w:after="40"/>
            </w:pPr>
            <w:r>
              <w:rPr>
                <w:b/>
                <w:i w:val="0"/>
                <w:sz w:val="17"/>
              </w:rPr>
              <w:t>Не совпадало — заменено</w:t>
            </w:r>
          </w:p>
        </w:tc>
        <w:tc>
          <w:tcPr>
            <w:tcW w:type="dxa" w:w="4932"/>
          </w:tcPr>
          <w:p>
            <w:pPr>
              <w:spacing w:after="40"/>
            </w:pPr>
            <w:r>
              <w:rPr>
                <w:b/>
                <w:i w:val="0"/>
                <w:sz w:val="17"/>
              </w:rPr>
              <w:t>Страницы в отчёте: [4] с. 3</w:t>
            </w:r>
          </w:p>
          <w:p>
            <w:pPr>
              <w:spacing w:after="40"/>
            </w:pPr>
            <w:r>
              <w:rPr>
                <w:b w:val="0"/>
                <w:i/>
                <w:sz w:val="17"/>
              </w:rPr>
              <w:t>с. 3: «STRESS = min_{δij∈Γ} Σ_i Σ_j (δij − dij(X))², where Γ denotes the set of all monotone transformations of the original dissimilarities {δij}. Finding the optimal transformations, usually called disparities and indicated by d̂ij, is done by inner minimization while the outer minimization solves the metric scaling problem by minimization over X»</w:t>
            </w:r>
          </w:p>
        </w:tc>
        <w:tc>
          <w:tcPr>
            <w:tcW w:type="dxa" w:w="5102"/>
          </w:tcPr>
          <w:p>
            <w:pPr>
              <w:spacing w:after="40"/>
            </w:pPr>
            <w:r>
              <w:rPr>
                <w:b w:val="0"/>
                <w:i w:val="0"/>
                <w:sz w:val="17"/>
              </w:rPr>
              <w:t>Функция потерь (stress): STRESS = min Σ_i Σ_j (δ_ij − d_ij(X))², где минимум берётся по Γ — множеству всех монотонных преобразований исходных различий δ_ij. Внутренняя минимизация находит оптимальные преобразования (диспаритеты d̂_ij), внешняя решает метрическую задачу шкалирования по X.</w:t>
            </w:r>
          </w:p>
          <w:p>
            <w:pPr>
              <w:spacing w:after="40"/>
            </w:pPr>
            <w:r>
              <w:rPr>
                <w:b w:val="0"/>
                <w:i w:val="0"/>
                <w:sz w:val="16"/>
              </w:rPr>
              <w:t>Пояснение: Вместо «взвешенного MDS» (в источнике не упоминается) приведена функция потерь Краскала.</w:t>
            </w:r>
          </w:p>
        </w:tc>
      </w:tr>
      <w:tr>
        <w:tc>
          <w:tcPr>
            <w:tcW w:type="dxa" w:w="3515"/>
          </w:tcPr>
          <w:p>
            <w:pPr>
              <w:spacing w:after="40"/>
            </w:pPr>
            <w:r>
              <w:rPr>
                <w:b w:val="0"/>
                <w:i w:val="0"/>
                <w:sz w:val="17"/>
              </w:rPr>
              <w:t>Достоинства MDS:</w:t>
            </w:r>
          </w:p>
        </w:tc>
        <w:tc>
          <w:tcPr>
            <w:tcW w:type="dxa" w:w="1474"/>
            <w:shd w:val="clear" w:color="auto" w:fill="E2F0D9"/>
          </w:tcPr>
          <w:p>
            <w:pPr>
              <w:spacing w:after="40"/>
            </w:pPr>
            <w:r>
              <w:rPr>
                <w:b/>
                <w:i w:val="0"/>
                <w:sz w:val="17"/>
              </w:rPr>
              <w:t>Совпадает</w:t>
            </w:r>
          </w:p>
        </w:tc>
        <w:tc>
          <w:tcPr>
            <w:tcW w:type="dxa" w:w="4932"/>
          </w:tcPr>
          <w:p>
            <w:pPr>
              <w:spacing w:after="40"/>
            </w:pPr>
            <w:r>
              <w:rPr>
                <w:b/>
                <w:i w:val="0"/>
                <w:sz w:val="17"/>
              </w:rPr>
              <w:t>Страницы в отчёте: [4] с. 1–2</w:t>
            </w:r>
          </w:p>
        </w:tc>
        <w:tc>
          <w:tcPr>
            <w:tcW w:type="dxa" w:w="5102"/>
          </w:tcPr>
          <w:p>
            <w:pPr>
              <w:spacing w:after="40"/>
            </w:pPr>
            <w:r>
              <w:rPr>
                <w:b w:val="0"/>
                <w:i w:val="0"/>
                <w:sz w:val="17"/>
              </w:rPr>
              <w:t>(текст сохранён)</w:t>
            </w:r>
          </w:p>
        </w:tc>
      </w:tr>
      <w:tr>
        <w:tc>
          <w:tcPr>
            <w:tcW w:type="dxa" w:w="3515"/>
          </w:tcPr>
          <w:p>
            <w:pPr>
              <w:spacing w:after="40"/>
            </w:pPr>
            <w:r>
              <w:rPr>
                <w:b w:val="0"/>
                <w:i w:val="0"/>
                <w:sz w:val="17"/>
              </w:rPr>
              <w:t>Работа напрямую с матрицей различий: не требует исходных признаков, что полезно для психометрики, социологии, биологии (например, для матрицы генетических различий).</w:t>
            </w:r>
          </w:p>
        </w:tc>
        <w:tc>
          <w:tcPr>
            <w:tcW w:type="dxa" w:w="1474"/>
            <w:shd w:val="clear" w:color="auto" w:fill="FFF2CC"/>
          </w:tcPr>
          <w:p>
            <w:pPr>
              <w:spacing w:after="40"/>
            </w:pPr>
            <w:r>
              <w:rPr>
                <w:b/>
                <w:i w:val="0"/>
                <w:sz w:val="17"/>
              </w:rPr>
              <w:t>Исправлено частично</w:t>
            </w:r>
          </w:p>
        </w:tc>
        <w:tc>
          <w:tcPr>
            <w:tcW w:type="dxa" w:w="4932"/>
          </w:tcPr>
          <w:p>
            <w:pPr>
              <w:spacing w:after="40"/>
            </w:pPr>
            <w:r>
              <w:rPr>
                <w:b/>
                <w:i w:val="0"/>
                <w:sz w:val="17"/>
              </w:rPr>
              <w:t>Страницы в отчёте: [4] с. 1–2</w:t>
            </w:r>
          </w:p>
          <w:p>
            <w:pPr>
              <w:spacing w:after="40"/>
            </w:pPr>
            <w:r>
              <w:rPr>
                <w:b w:val="0"/>
                <w:i/>
                <w:sz w:val="17"/>
              </w:rPr>
              <w:t>с. 1: «The most important aspect of the so-called nonmetric breakthrough … obtaining a metric representation, like a configuration of points, from essentially nonmetric information, like rankorders for pairs of objects.»</w:t>
            </w:r>
          </w:p>
        </w:tc>
        <w:tc>
          <w:tcPr>
            <w:tcW w:type="dxa" w:w="5102"/>
          </w:tcPr>
          <w:p>
            <w:pPr>
              <w:spacing w:after="40"/>
            </w:pPr>
            <w:r>
              <w:rPr>
                <w:b w:val="0"/>
                <w:i w:val="0"/>
                <w:sz w:val="17"/>
              </w:rPr>
              <w:t>Работа напрямую с матрицей различий: исходными данными служат заданные или выведенные различия (dissimilarities) между объектами, а не их признаки; даже из порядковой (ранговой) информации о парах объектов можно получить метрическую конфигурацию точек.</w:t>
            </w:r>
          </w:p>
          <w:p>
            <w:pPr>
              <w:spacing w:after="40"/>
            </w:pPr>
            <w:r>
              <w:rPr>
                <w:b w:val="0"/>
                <w:i w:val="0"/>
                <w:sz w:val="16"/>
              </w:rPr>
              <w:t>Пояснение: Перечень «психометрика, социология, биология» в источнике отсутствует — убран; добавлено про ранговую информацию.</w:t>
            </w:r>
          </w:p>
        </w:tc>
      </w:tr>
      <w:tr>
        <w:tc>
          <w:tcPr>
            <w:tcW w:type="dxa" w:w="3515"/>
          </w:tcPr>
          <w:p>
            <w:pPr>
              <w:spacing w:after="40"/>
            </w:pPr>
            <w:r>
              <w:rPr>
                <w:b w:val="0"/>
                <w:i w:val="0"/>
                <w:sz w:val="17"/>
              </w:rPr>
              <w:t>Глобальная оптимизация расстояний.</w:t>
            </w:r>
          </w:p>
        </w:tc>
        <w:tc>
          <w:tcPr>
            <w:tcW w:type="dxa" w:w="1474"/>
            <w:shd w:val="clear" w:color="auto" w:fill="FCE4D6"/>
          </w:tcPr>
          <w:p>
            <w:pPr>
              <w:spacing w:after="40"/>
            </w:pPr>
            <w:r>
              <w:rPr>
                <w:b/>
                <w:i w:val="0"/>
                <w:sz w:val="17"/>
              </w:rPr>
              <w:t>Не совпадало — заменено</w:t>
            </w:r>
          </w:p>
        </w:tc>
        <w:tc>
          <w:tcPr>
            <w:tcW w:type="dxa" w:w="4932"/>
          </w:tcPr>
          <w:p>
            <w:pPr>
              <w:spacing w:after="40"/>
            </w:pPr>
            <w:r>
              <w:rPr>
                <w:b/>
                <w:i w:val="0"/>
                <w:sz w:val="17"/>
              </w:rPr>
              <w:t>Страницы в отчёте: [1] с. 3–4</w:t>
            </w:r>
          </w:p>
          <w:p>
            <w:pPr>
              <w:spacing w:after="40"/>
            </w:pPr>
            <w:r>
              <w:rPr>
                <w:b w:val="0"/>
                <w:i/>
                <w:sz w:val="17"/>
              </w:rPr>
              <w:t>с. 3: «PCA is identical to the traditional technique for multidimensional scaling called classical scaling.»</w:t>
            </w:r>
          </w:p>
        </w:tc>
        <w:tc>
          <w:tcPr>
            <w:tcW w:type="dxa" w:w="5102"/>
          </w:tcPr>
          <w:p>
            <w:pPr>
              <w:spacing w:after="40"/>
            </w:pPr>
            <w:r>
              <w:rPr>
                <w:b w:val="0"/>
                <w:i w:val="0"/>
                <w:sz w:val="17"/>
              </w:rPr>
              <w:t>Совпадение с PCA в метрическом случае: классическое шкалирование решается спектральным разложением и совпадает с PCA.</w:t>
            </w:r>
          </w:p>
          <w:p>
            <w:pPr>
              <w:spacing w:after="40"/>
            </w:pPr>
            <w:r>
              <w:rPr>
                <w:b w:val="0"/>
                <w:i w:val="0"/>
                <w:sz w:val="16"/>
              </w:rPr>
              <w:t>Пояснение: Фраза «глобальная оптимизация расстояний» не подтверждена; в обзоре [1] сказано, что классическое шкалирование ориентировано на большие расстояния (см. ниже).</w:t>
            </w:r>
          </w:p>
        </w:tc>
      </w:tr>
      <w:tr>
        <w:tc>
          <w:tcPr>
            <w:tcW w:type="dxa" w:w="3515"/>
          </w:tcPr>
          <w:p>
            <w:pPr>
              <w:spacing w:after="40"/>
            </w:pPr>
            <w:r>
              <w:rPr>
                <w:b w:val="0"/>
                <w:i w:val="0"/>
                <w:sz w:val="17"/>
              </w:rPr>
              <w:t>Ограничения MDS:</w:t>
            </w:r>
          </w:p>
        </w:tc>
        <w:tc>
          <w:tcPr>
            <w:tcW w:type="dxa" w:w="1474"/>
            <w:shd w:val="clear" w:color="auto" w:fill="E2F0D9"/>
          </w:tcPr>
          <w:p>
            <w:pPr>
              <w:spacing w:after="40"/>
            </w:pPr>
            <w:r>
              <w:rPr>
                <w:b/>
                <w:i w:val="0"/>
                <w:sz w:val="17"/>
              </w:rPr>
              <w:t>Совпадает</w:t>
            </w:r>
          </w:p>
        </w:tc>
        <w:tc>
          <w:tcPr>
            <w:tcW w:type="dxa" w:w="4932"/>
          </w:tcPr>
          <w:p>
            <w:pPr>
              <w:spacing w:after="40"/>
            </w:pPr>
            <w:r>
              <w:rPr>
                <w:b/>
                <w:i w:val="0"/>
                <w:sz w:val="17"/>
              </w:rPr>
              <w:t>Страницы в отчёте: [1] с. 4, 15</w:t>
            </w:r>
          </w:p>
        </w:tc>
        <w:tc>
          <w:tcPr>
            <w:tcW w:type="dxa" w:w="5102"/>
          </w:tcPr>
          <w:p>
            <w:pPr>
              <w:spacing w:after="40"/>
            </w:pPr>
            <w:r>
              <w:rPr>
                <w:b w:val="0"/>
                <w:i w:val="0"/>
                <w:sz w:val="17"/>
              </w:rPr>
              <w:t>(текст сохранён)</w:t>
            </w:r>
          </w:p>
          <w:p>
            <w:pPr>
              <w:spacing w:after="40"/>
            </w:pPr>
            <w:r>
              <w:rPr>
                <w:b w:val="0"/>
                <w:i w:val="0"/>
                <w:sz w:val="16"/>
              </w:rPr>
              <w:t>Пояснение: Ограничения классического шкалирования описаны в обзоре [1].</w:t>
            </w:r>
          </w:p>
        </w:tc>
      </w:tr>
      <w:tr>
        <w:tc>
          <w:tcPr>
            <w:tcW w:type="dxa" w:w="3515"/>
          </w:tcPr>
          <w:p>
            <w:pPr>
              <w:spacing w:after="40"/>
            </w:pPr>
            <w:r>
              <w:rPr>
                <w:b w:val="0"/>
                <w:i w:val="0"/>
                <w:sz w:val="17"/>
              </w:rPr>
              <w:t>Вычислительная сложность: Операции с матрицей n x n требуют O(n³) операций, что неприемлемо для очень больших выборок.</w:t>
            </w:r>
          </w:p>
        </w:tc>
        <w:tc>
          <w:tcPr>
            <w:tcW w:type="dxa" w:w="1474"/>
            <w:shd w:val="clear" w:color="auto" w:fill="FFF2CC"/>
          </w:tcPr>
          <w:p>
            <w:pPr>
              <w:spacing w:after="40"/>
            </w:pPr>
            <w:r>
              <w:rPr>
                <w:b/>
                <w:i w:val="0"/>
                <w:sz w:val="17"/>
              </w:rPr>
              <w:t>Исправлено частично</w:t>
            </w:r>
          </w:p>
        </w:tc>
        <w:tc>
          <w:tcPr>
            <w:tcW w:type="dxa" w:w="4932"/>
          </w:tcPr>
          <w:p>
            <w:pPr>
              <w:spacing w:after="40"/>
            </w:pPr>
            <w:r>
              <w:rPr>
                <w:b/>
                <w:i w:val="0"/>
                <w:sz w:val="17"/>
              </w:rPr>
              <w:t>Страницы в отчёте: [1] с. 15</w:t>
            </w:r>
          </w:p>
          <w:p>
            <w:pPr>
              <w:spacing w:after="40"/>
            </w:pPr>
            <w:r>
              <w:rPr>
                <w:b w:val="0"/>
                <w:i/>
                <w:sz w:val="17"/>
              </w:rPr>
              <w:t>с. 15: «Table 1: Class. scaling — parametric: no; computational O(n³); memory O(n²)»</w:t>
            </w:r>
          </w:p>
        </w:tc>
        <w:tc>
          <w:tcPr>
            <w:tcW w:type="dxa" w:w="5102"/>
          </w:tcPr>
          <w:p>
            <w:pPr>
              <w:spacing w:after="40"/>
            </w:pPr>
            <w:r>
              <w:rPr>
                <w:b w:val="0"/>
                <w:i w:val="0"/>
                <w:sz w:val="17"/>
              </w:rPr>
              <w:t>Вычислительная сложность: классическое шкалирование требует O(n³) времени и O(n²) памяти.</w:t>
            </w:r>
          </w:p>
          <w:p>
            <w:pPr>
              <w:spacing w:after="40"/>
            </w:pPr>
            <w:r>
              <w:rPr>
                <w:b w:val="0"/>
                <w:i w:val="0"/>
                <w:sz w:val="16"/>
              </w:rPr>
              <w:t>Пояснение: Оценка O(n³) подтверждена табл. 1 обзора [1]; вывод о «неприемлемости для очень больших выборок» в источнике не сформулирован.</w:t>
            </w:r>
          </w:p>
        </w:tc>
      </w:tr>
      <w:tr>
        <w:tc>
          <w:tcPr>
            <w:tcW w:type="dxa" w:w="3515"/>
          </w:tcPr>
          <w:p>
            <w:pPr>
              <w:spacing w:after="40"/>
            </w:pPr>
            <w:r>
              <w:rPr>
                <w:b w:val="0"/>
                <w:i w:val="0"/>
                <w:sz w:val="17"/>
              </w:rPr>
              <w:t>Классический MDS — линейный метод: Он не может отобразить нелинейные зависимости, если используется евклидова метрика.</w:t>
            </w:r>
          </w:p>
        </w:tc>
        <w:tc>
          <w:tcPr>
            <w:tcW w:type="dxa" w:w="1474"/>
            <w:shd w:val="clear" w:color="auto" w:fill="FCE4D6"/>
          </w:tcPr>
          <w:p>
            <w:pPr>
              <w:spacing w:after="40"/>
            </w:pPr>
            <w:r>
              <w:rPr>
                <w:b/>
                <w:i w:val="0"/>
                <w:sz w:val="17"/>
              </w:rPr>
              <w:t>Не совпадало — заменено</w:t>
            </w:r>
          </w:p>
        </w:tc>
        <w:tc>
          <w:tcPr>
            <w:tcW w:type="dxa" w:w="4932"/>
          </w:tcPr>
          <w:p>
            <w:pPr>
              <w:spacing w:after="40"/>
            </w:pPr>
            <w:r>
              <w:rPr>
                <w:b/>
                <w:i w:val="0"/>
                <w:sz w:val="17"/>
              </w:rPr>
              <w:t>Страницы в отчёте: [1] с. 4</w:t>
            </w:r>
          </w:p>
          <w:p>
            <w:pPr>
              <w:spacing w:after="40"/>
            </w:pPr>
            <w:r>
              <w:rPr>
                <w:b w:val="0"/>
                <w:i/>
                <w:sz w:val="17"/>
              </w:rPr>
              <w:t>с. 4: «PCA and classical scaling focus mainly on retaining large pairwise distances d_ij², instead of focusing on retaining the small pairwise distances, which is much more important.»</w:t>
            </w:r>
          </w:p>
          <w:p>
            <w:pPr>
              <w:spacing w:after="40"/>
            </w:pPr>
            <w:r>
              <w:rPr>
                <w:b w:val="0"/>
                <w:i/>
                <w:sz w:val="17"/>
              </w:rPr>
              <w:t>с. 4: «If the high-dimensional data lies on or near a curved manifold, such as in the Swiss roll dataset, classical scaling might consider two datapoints as near points, whereas their distance over the manifold is much larger than the typical interpoint distance.»</w:t>
            </w:r>
          </w:p>
        </w:tc>
        <w:tc>
          <w:tcPr>
            <w:tcW w:type="dxa" w:w="5102"/>
          </w:tcPr>
          <w:p>
            <w:pPr>
              <w:spacing w:after="40"/>
            </w:pPr>
            <w:r>
              <w:rPr>
                <w:b w:val="0"/>
                <w:i w:val="0"/>
                <w:sz w:val="17"/>
              </w:rPr>
              <w:t>Ориентация на большие расстояния: PCA и классическое шкалирование в основном сохраняют большие попарные расстояния, а не малые, которые гораздо важнее; на изогнутом многообразии («швейцарский рулет») классическое шкалирование может счесть две точки близкими, хотя расстояние между ними вдоль многообразия велико.</w:t>
            </w:r>
          </w:p>
          <w:p>
            <w:pPr>
              <w:spacing w:after="40"/>
            </w:pPr>
            <w:r>
              <w:rPr>
                <w:b w:val="0"/>
                <w:i w:val="0"/>
                <w:sz w:val="16"/>
              </w:rPr>
              <w:t>Пояснение: Утверждение «не может отобразить нелинейные зависимости, если используется евклидова метрика» заменено формулировкой обзора.</w:t>
            </w:r>
          </w:p>
        </w:tc>
      </w:tr>
    </w:tbl>
    <w:p>
      <w:pPr>
        <w:pStyle w:val="Heading2"/>
      </w:pPr>
      <w:r>
        <w:t>2.4. Сингулярное разложение (SVD)</w:t>
      </w:r>
    </w:p>
    <w:tbl>
      <w:tblPr>
        <w:tblStyle w:val="TableGrid"/>
        <w:tblW w:type="auto" w:w="0"/>
        <w:tblLook w:firstColumn="1" w:firstRow="1" w:lastColumn="0" w:lastRow="0" w:noHBand="0" w:noVBand="1" w:val="04A0"/>
      </w:tblPr>
      <w:tblGrid>
        <w:gridCol w:w="3535"/>
        <w:gridCol w:w="3535"/>
        <w:gridCol w:w="3535"/>
        <w:gridCol w:w="3535"/>
      </w:tblGrid>
      <w:tr>
        <w:tc>
          <w:tcPr>
            <w:tcW w:type="dxa" w:w="3515"/>
            <w:shd w:val="clear" w:color="auto" w:fill="BFBFBF"/>
          </w:tcPr>
          <w:p>
            <w:pPr>
              <w:spacing w:after="40"/>
            </w:pPr>
            <w:r>
              <w:rPr>
                <w:b/>
                <w:i w:val="0"/>
                <w:sz w:val="18"/>
              </w:rPr>
              <w:t>Было в отчёте</w:t>
            </w:r>
          </w:p>
        </w:tc>
        <w:tc>
          <w:tcPr>
            <w:tcW w:type="dxa" w:w="1474"/>
            <w:shd w:val="clear" w:color="auto" w:fill="BFBFBF"/>
          </w:tcPr>
          <w:p>
            <w:pPr>
              <w:spacing w:after="40"/>
            </w:pPr>
            <w:r>
              <w:rPr>
                <w:b/>
                <w:i w:val="0"/>
                <w:sz w:val="18"/>
              </w:rPr>
              <w:t>Статус</w:t>
            </w:r>
          </w:p>
        </w:tc>
        <w:tc>
          <w:tcPr>
            <w:tcW w:type="dxa" w:w="4932"/>
            <w:shd w:val="clear" w:color="auto" w:fill="BFBFBF"/>
          </w:tcPr>
          <w:p>
            <w:pPr>
              <w:spacing w:after="40"/>
            </w:pPr>
            <w:r>
              <w:rPr>
                <w:b/>
                <w:i w:val="0"/>
                <w:sz w:val="18"/>
              </w:rPr>
              <w:t>Источник: страница и цитата</w:t>
            </w:r>
          </w:p>
        </w:tc>
        <w:tc>
          <w:tcPr>
            <w:tcW w:type="dxa" w:w="5102"/>
            <w:shd w:val="clear" w:color="auto" w:fill="BFBFBF"/>
          </w:tcPr>
          <w:p>
            <w:pPr>
              <w:spacing w:after="40"/>
            </w:pPr>
            <w:r>
              <w:rPr>
                <w:b/>
                <w:i w:val="0"/>
                <w:sz w:val="18"/>
              </w:rPr>
              <w:t>Стало / что исправлено</w:t>
            </w:r>
          </w:p>
        </w:tc>
      </w:tr>
      <w:tr>
        <w:tc>
          <w:tcPr>
            <w:tcW w:type="dxa" w:w="3515"/>
          </w:tcPr>
          <w:p>
            <w:pPr>
              <w:spacing w:after="40"/>
            </w:pPr>
            <w:r>
              <w:rPr>
                <w:b w:val="0"/>
                <w:i w:val="0"/>
                <w:sz w:val="17"/>
              </w:rPr>
              <w:t>2.4. Сингулярное разложение (SVD) как основа методов</w:t>
            </w:r>
          </w:p>
        </w:tc>
        <w:tc>
          <w:tcPr>
            <w:tcW w:type="dxa" w:w="1474"/>
            <w:shd w:val="clear" w:color="auto" w:fill="E2F0D9"/>
          </w:tcPr>
          <w:p>
            <w:pPr>
              <w:spacing w:after="40"/>
            </w:pPr>
            <w:r>
              <w:rPr>
                <w:b/>
                <w:i w:val="0"/>
                <w:sz w:val="17"/>
              </w:rPr>
              <w:t>Совпадает</w:t>
            </w:r>
          </w:p>
        </w:tc>
        <w:tc>
          <w:tcPr>
            <w:tcW w:type="dxa" w:w="4932"/>
          </w:tcPr>
          <w:p>
            <w:pPr>
              <w:spacing w:after="40"/>
            </w:pPr>
            <w:r>
              <w:rPr>
                <w:b/>
                <w:i w:val="0"/>
                <w:sz w:val="17"/>
              </w:rPr>
              <w:t>Страницы в отчёте: [2] с. 44–46</w:t>
            </w:r>
          </w:p>
          <w:p>
            <w:pPr>
              <w:spacing w:after="40"/>
            </w:pPr>
            <w:r>
              <w:rPr>
                <w:b w:val="0"/>
                <w:i/>
                <w:sz w:val="17"/>
              </w:rPr>
              <w:t>с. 44: «3.5 The Singular Value Decomposition»</w:t>
            </w:r>
          </w:p>
        </w:tc>
        <w:tc>
          <w:tcPr>
            <w:tcW w:type="dxa" w:w="5102"/>
          </w:tcPr>
          <w:p>
            <w:pPr>
              <w:spacing w:after="40"/>
            </w:pPr>
            <w:r>
              <w:rPr>
                <w:b w:val="0"/>
                <w:i w:val="0"/>
                <w:sz w:val="17"/>
              </w:rPr>
              <w:t>(текст сохранён)</w:t>
            </w:r>
          </w:p>
          <w:p>
            <w:pPr>
              <w:spacing w:after="40"/>
            </w:pPr>
            <w:r>
              <w:rPr>
                <w:b w:val="0"/>
                <w:i w:val="0"/>
                <w:sz w:val="16"/>
              </w:rPr>
              <w:t>Пояснение: Страницы верны (раздел 3.5).</w:t>
            </w:r>
          </w:p>
        </w:tc>
      </w:tr>
      <w:tr>
        <w:tc>
          <w:tcPr>
            <w:tcW w:type="dxa" w:w="3515"/>
          </w:tcPr>
          <w:p>
            <w:pPr>
              <w:spacing w:after="40"/>
            </w:pPr>
            <w:r>
              <w:rPr>
                <w:b w:val="0"/>
                <w:i w:val="0"/>
                <w:sz w:val="17"/>
              </w:rPr>
              <w:t>Сущность: SVD (Singular Value Decomposition) — это фундаментальная теорема линейной алгебры, которая утверждает, что любую прямоугольную матрицу A размерности n x m можно разложить в произведение трех матриц: A = U * Σ * V^T где:</w:t>
            </w:r>
          </w:p>
        </w:tc>
        <w:tc>
          <w:tcPr>
            <w:tcW w:type="dxa" w:w="1474"/>
            <w:shd w:val="clear" w:color="auto" w:fill="FFF2CC"/>
          </w:tcPr>
          <w:p>
            <w:pPr>
              <w:spacing w:after="40"/>
            </w:pPr>
            <w:r>
              <w:rPr>
                <w:b/>
                <w:i w:val="0"/>
                <w:sz w:val="17"/>
              </w:rPr>
              <w:t>Исправлено частично</w:t>
            </w:r>
          </w:p>
        </w:tc>
        <w:tc>
          <w:tcPr>
            <w:tcW w:type="dxa" w:w="4932"/>
          </w:tcPr>
          <w:p>
            <w:pPr>
              <w:spacing w:after="40"/>
            </w:pPr>
            <w:r>
              <w:rPr>
                <w:b/>
                <w:i w:val="0"/>
                <w:sz w:val="17"/>
              </w:rPr>
              <w:t>Страницы в отчёте: [2] с. 44</w:t>
            </w:r>
          </w:p>
          <w:p>
            <w:pPr>
              <w:spacing w:after="40"/>
            </w:pPr>
            <w:r>
              <w:rPr>
                <w:b w:val="0"/>
                <w:i/>
                <w:sz w:val="17"/>
              </w:rPr>
              <w:t>с. 44: «Given an arbitrary matrix X of dimension (n × p), which … will invariably be a matrix of n observations on p variables measured about their means, X can be written X = ULA′»</w:t>
            </w:r>
          </w:p>
        </w:tc>
        <w:tc>
          <w:tcPr>
            <w:tcW w:type="dxa" w:w="5102"/>
          </w:tcPr>
          <w:p>
            <w:pPr>
              <w:spacing w:after="40"/>
            </w:pPr>
            <w:r>
              <w:rPr>
                <w:b w:val="0"/>
                <w:i w:val="0"/>
                <w:sz w:val="17"/>
              </w:rPr>
              <w:t>Сущность: SVD (Singular Value Decomposition) — результат матричной теории: произвольную матрицу A размерности n x m (в случае PCA — матрицу n наблюдений по m переменным, центрированную по средним) можно записать в виде произведения трех матриц: A = U * Σ * V^T где:</w:t>
            </w:r>
          </w:p>
          <w:p>
            <w:pPr>
              <w:spacing w:after="40"/>
            </w:pPr>
            <w:r>
              <w:rPr>
                <w:b w:val="0"/>
                <w:i w:val="0"/>
                <w:sz w:val="16"/>
              </w:rPr>
              <w:t>Пояснение: Формулировка приведена к книге (разложение X = ULA′).</w:t>
            </w:r>
          </w:p>
        </w:tc>
      </w:tr>
      <w:tr>
        <w:tc>
          <w:tcPr>
            <w:tcW w:type="dxa" w:w="3515"/>
          </w:tcPr>
          <w:p>
            <w:pPr>
              <w:spacing w:after="40"/>
            </w:pPr>
            <w:r>
              <w:rPr>
                <w:b w:val="0"/>
                <w:i w:val="0"/>
                <w:sz w:val="17"/>
              </w:rPr>
              <w:t>U — унитарная матрица размерности n x n (левый сингулярный вектор). Столбцы U — собственные векторы матрицы A * A^T.</w:t>
            </w:r>
          </w:p>
        </w:tc>
        <w:tc>
          <w:tcPr>
            <w:tcW w:type="dxa" w:w="1474"/>
            <w:shd w:val="clear" w:color="auto" w:fill="FFF2CC"/>
          </w:tcPr>
          <w:p>
            <w:pPr>
              <w:spacing w:after="40"/>
            </w:pPr>
            <w:r>
              <w:rPr>
                <w:b/>
                <w:i w:val="0"/>
                <w:sz w:val="17"/>
              </w:rPr>
              <w:t>Исправлено частично</w:t>
            </w:r>
          </w:p>
        </w:tc>
        <w:tc>
          <w:tcPr>
            <w:tcW w:type="dxa" w:w="4932"/>
          </w:tcPr>
          <w:p>
            <w:pPr>
              <w:spacing w:after="40"/>
            </w:pPr>
            <w:r>
              <w:rPr>
                <w:b/>
                <w:i w:val="0"/>
                <w:sz w:val="17"/>
              </w:rPr>
              <w:t>Страницы в отчёте: [2] с. 44–45</w:t>
            </w:r>
          </w:p>
          <w:p>
            <w:pPr>
              <w:spacing w:after="40"/>
            </w:pPr>
            <w:r>
              <w:rPr>
                <w:b w:val="0"/>
                <w:i/>
                <w:sz w:val="17"/>
              </w:rPr>
              <w:t>с. 44: «U, A are (n × r), (p × r) matrices, respectively, each of which has orthonormal columns … r is the rank of X»</w:t>
            </w:r>
          </w:p>
          <w:p>
            <w:pPr>
              <w:spacing w:after="40"/>
            </w:pPr>
            <w:r>
              <w:rPr>
                <w:b w:val="0"/>
                <w:i/>
                <w:sz w:val="17"/>
              </w:rPr>
              <w:t>с. 45: «the columns of U are the eigenvectors of XX′ corresponding to non-zero eigenvalues»</w:t>
            </w:r>
          </w:p>
        </w:tc>
        <w:tc>
          <w:tcPr>
            <w:tcW w:type="dxa" w:w="5102"/>
          </w:tcPr>
          <w:p>
            <w:pPr>
              <w:spacing w:after="40"/>
            </w:pPr>
            <w:r>
              <w:rPr>
                <w:b w:val="0"/>
                <w:i w:val="0"/>
                <w:sz w:val="17"/>
              </w:rPr>
              <w:t>U — матрица размерности n x r с ортонормированными столбцами (r — ранг матрицы A). Столбцы U — собственные векторы матрицы A * A^T, отвечающие ненулевым собственным значениям.</w:t>
            </w:r>
          </w:p>
          <w:p>
            <w:pPr>
              <w:spacing w:after="40"/>
            </w:pPr>
            <w:r>
              <w:rPr>
                <w:b w:val="0"/>
                <w:i w:val="0"/>
                <w:sz w:val="16"/>
              </w:rPr>
              <w:t>Пояснение: Было «унитарная матрица n x n»: в книге U имеет размерность n x r (экономная форма SVD).</w:t>
            </w:r>
          </w:p>
        </w:tc>
      </w:tr>
      <w:tr>
        <w:tc>
          <w:tcPr>
            <w:tcW w:type="dxa" w:w="3515"/>
          </w:tcPr>
          <w:p>
            <w:pPr>
              <w:spacing w:after="40"/>
            </w:pPr>
            <w:r>
              <w:rPr>
                <w:b w:val="0"/>
                <w:i w:val="0"/>
                <w:sz w:val="17"/>
              </w:rPr>
              <w:t>Σ — диагональная матрица размерности n x m, на диагонали которой находятся сингулярные числа σ_i (неотрицательные, упорядоченные по убыванию).</w:t>
            </w:r>
          </w:p>
        </w:tc>
        <w:tc>
          <w:tcPr>
            <w:tcW w:type="dxa" w:w="1474"/>
            <w:shd w:val="clear" w:color="auto" w:fill="FFF2CC"/>
          </w:tcPr>
          <w:p>
            <w:pPr>
              <w:spacing w:after="40"/>
            </w:pPr>
            <w:r>
              <w:rPr>
                <w:b/>
                <w:i w:val="0"/>
                <w:sz w:val="17"/>
              </w:rPr>
              <w:t>Исправлено частично</w:t>
            </w:r>
          </w:p>
        </w:tc>
        <w:tc>
          <w:tcPr>
            <w:tcW w:type="dxa" w:w="4932"/>
          </w:tcPr>
          <w:p>
            <w:pPr>
              <w:spacing w:after="40"/>
            </w:pPr>
            <w:r>
              <w:rPr>
                <w:b/>
                <w:i w:val="0"/>
                <w:sz w:val="17"/>
              </w:rPr>
              <w:t>Страницы в отчёте: [2] с. 44</w:t>
            </w:r>
          </w:p>
          <w:p>
            <w:pPr>
              <w:spacing w:after="40"/>
            </w:pPr>
            <w:r>
              <w:rPr>
                <w:b w:val="0"/>
                <w:i/>
                <w:sz w:val="17"/>
              </w:rPr>
              <w:t>с. 44: «L is an (r × r) diagonal matrix … the kth diagonal element l_k^{1/2} [l_k — eigenvalues of X′X]»</w:t>
            </w:r>
          </w:p>
        </w:tc>
        <w:tc>
          <w:tcPr>
            <w:tcW w:type="dxa" w:w="5102"/>
          </w:tcPr>
          <w:p>
            <w:pPr>
              <w:spacing w:after="40"/>
            </w:pPr>
            <w:r>
              <w:rPr>
                <w:b w:val="0"/>
                <w:i w:val="0"/>
                <w:sz w:val="17"/>
              </w:rPr>
              <w:t>Σ — диагональная матрица размерности r x r, на диагонали которой находятся сингулярные числа σ_i — квадратные корни из собственных значений матрицы A^T * A.</w:t>
            </w:r>
          </w:p>
          <w:p>
            <w:pPr>
              <w:spacing w:after="40"/>
            </w:pPr>
            <w:r>
              <w:rPr>
                <w:b w:val="0"/>
                <w:i w:val="0"/>
                <w:sz w:val="16"/>
              </w:rPr>
              <w:t>Пояснение: Было «n x m»: в книге L — диагональная матрица (r × r) с элементами l_k^{1/2}.</w:t>
            </w:r>
          </w:p>
        </w:tc>
      </w:tr>
      <w:tr>
        <w:tc>
          <w:tcPr>
            <w:tcW w:type="dxa" w:w="3515"/>
          </w:tcPr>
          <w:p>
            <w:pPr>
              <w:spacing w:after="40"/>
            </w:pPr>
            <w:r>
              <w:rPr>
                <w:b w:val="0"/>
                <w:i w:val="0"/>
                <w:sz w:val="17"/>
              </w:rPr>
              <w:t>V^T — унитарная матрица размерности m x m (правый сингулярный вектор, транспонированная). Столбцы V — собственные векторы матрицы A^T * A.</w:t>
            </w:r>
          </w:p>
        </w:tc>
        <w:tc>
          <w:tcPr>
            <w:tcW w:type="dxa" w:w="1474"/>
            <w:shd w:val="clear" w:color="auto" w:fill="FFF2CC"/>
          </w:tcPr>
          <w:p>
            <w:pPr>
              <w:spacing w:after="40"/>
            </w:pPr>
            <w:r>
              <w:rPr>
                <w:b/>
                <w:i w:val="0"/>
                <w:sz w:val="17"/>
              </w:rPr>
              <w:t>Исправлено частично</w:t>
            </w:r>
          </w:p>
        </w:tc>
        <w:tc>
          <w:tcPr>
            <w:tcW w:type="dxa" w:w="4932"/>
          </w:tcPr>
          <w:p>
            <w:pPr>
              <w:spacing w:after="40"/>
            </w:pPr>
            <w:r>
              <w:rPr>
                <w:b/>
                <w:i w:val="0"/>
                <w:sz w:val="17"/>
              </w:rPr>
              <w:t>Страницы в отчёте: [2] с. 44</w:t>
            </w:r>
          </w:p>
          <w:p>
            <w:pPr>
              <w:spacing w:after="40"/>
            </w:pPr>
            <w:r>
              <w:rPr>
                <w:b w:val="0"/>
                <w:i/>
                <w:sz w:val="17"/>
              </w:rPr>
              <w:t>с. 44: «A is the (p × r) matrix with kth column a_k [eigenvectors of X′X]»</w:t>
            </w:r>
          </w:p>
        </w:tc>
        <w:tc>
          <w:tcPr>
            <w:tcW w:type="dxa" w:w="5102"/>
          </w:tcPr>
          <w:p>
            <w:pPr>
              <w:spacing w:after="40"/>
            </w:pPr>
            <w:r>
              <w:rPr>
                <w:b w:val="0"/>
                <w:i w:val="0"/>
                <w:sz w:val="17"/>
              </w:rPr>
              <w:t>V^T — транспонированная матрица V размерности m x r с ортонормированными столбцами. Столбцы V — собственные векторы матрицы A^T * A.</w:t>
            </w:r>
          </w:p>
          <w:p>
            <w:pPr>
              <w:spacing w:after="40"/>
            </w:pPr>
            <w:r>
              <w:rPr>
                <w:b w:val="0"/>
                <w:i w:val="0"/>
                <w:sz w:val="16"/>
              </w:rPr>
              <w:t>Пояснение: Было «унитарная матрица m x m»: в книге A имеет размерность (p × r).</w:t>
            </w:r>
          </w:p>
        </w:tc>
      </w:tr>
      <w:tr>
        <w:tc>
          <w:tcPr>
            <w:tcW w:type="dxa" w:w="3515"/>
          </w:tcPr>
          <w:p>
            <w:pPr>
              <w:spacing w:after="40"/>
            </w:pPr>
            <w:r>
              <w:rPr>
                <w:b w:val="0"/>
                <w:i w:val="0"/>
                <w:sz w:val="17"/>
              </w:rPr>
              <w:t>Связь SVD с PCA: Если в качестве матрицы A взять центрированную матрицу данных X_centered, то:</w:t>
            </w:r>
          </w:p>
        </w:tc>
        <w:tc>
          <w:tcPr>
            <w:tcW w:type="dxa" w:w="1474"/>
            <w:shd w:val="clear" w:color="auto" w:fill="E2F0D9"/>
          </w:tcPr>
          <w:p>
            <w:pPr>
              <w:spacing w:after="40"/>
            </w:pPr>
            <w:r>
              <w:rPr>
                <w:b/>
                <w:i w:val="0"/>
                <w:sz w:val="17"/>
              </w:rPr>
              <w:t>Совпадает</w:t>
            </w:r>
          </w:p>
        </w:tc>
        <w:tc>
          <w:tcPr>
            <w:tcW w:type="dxa" w:w="4932"/>
          </w:tcPr>
          <w:p>
            <w:pPr>
              <w:spacing w:after="40"/>
            </w:pPr>
            <w:r>
              <w:rPr>
                <w:b/>
                <w:i w:val="0"/>
                <w:sz w:val="17"/>
              </w:rPr>
              <w:t>Страницы в отчёте: [2] с. 44</w:t>
            </w:r>
          </w:p>
        </w:tc>
        <w:tc>
          <w:tcPr>
            <w:tcW w:type="dxa" w:w="5102"/>
          </w:tcPr>
          <w:p>
            <w:pPr>
              <w:spacing w:after="40"/>
            </w:pPr>
            <w:r>
              <w:rPr>
                <w:b w:val="0"/>
                <w:i w:val="0"/>
                <w:sz w:val="17"/>
              </w:rPr>
              <w:t>(текст сохранён)</w:t>
            </w:r>
          </w:p>
        </w:tc>
      </w:tr>
      <w:tr>
        <w:tc>
          <w:tcPr>
            <w:tcW w:type="dxa" w:w="3515"/>
          </w:tcPr>
          <w:p>
            <w:pPr>
              <w:spacing w:after="40"/>
            </w:pPr>
            <w:r>
              <w:rPr>
                <w:b w:val="0"/>
                <w:i w:val="0"/>
                <w:sz w:val="17"/>
              </w:rPr>
              <w:t>Правые сингулярные векторы V — это главные компоненты (направления).</w:t>
            </w:r>
          </w:p>
        </w:tc>
        <w:tc>
          <w:tcPr>
            <w:tcW w:type="dxa" w:w="1474"/>
            <w:shd w:val="clear" w:color="auto" w:fill="E2F0D9"/>
          </w:tcPr>
          <w:p>
            <w:pPr>
              <w:spacing w:after="40"/>
            </w:pPr>
            <w:r>
              <w:rPr>
                <w:b/>
                <w:i w:val="0"/>
                <w:sz w:val="17"/>
              </w:rPr>
              <w:t>Совпадает</w:t>
            </w:r>
          </w:p>
        </w:tc>
        <w:tc>
          <w:tcPr>
            <w:tcW w:type="dxa" w:w="4932"/>
          </w:tcPr>
          <w:p>
            <w:pPr>
              <w:spacing w:after="40"/>
            </w:pPr>
            <w:r>
              <w:rPr>
                <w:b/>
                <w:i w:val="0"/>
                <w:sz w:val="17"/>
              </w:rPr>
              <w:t>Страницы в отчёте: [2] с. 45</w:t>
            </w:r>
          </w:p>
          <w:p>
            <w:pPr>
              <w:spacing w:after="40"/>
            </w:pPr>
            <w:r>
              <w:rPr>
                <w:b w:val="0"/>
                <w:i/>
                <w:sz w:val="17"/>
              </w:rPr>
              <w:t>с. 45: «A and L will give us the eigenvectors and the square roots of the eigenvalues of X′X, and hence the coefficients and standard deviations of the principal components»</w:t>
            </w:r>
          </w:p>
        </w:tc>
        <w:tc>
          <w:tcPr>
            <w:tcW w:type="dxa" w:w="5102"/>
          </w:tcPr>
          <w:p>
            <w:pPr>
              <w:spacing w:after="40"/>
            </w:pPr>
            <w:r>
              <w:rPr>
                <w:b w:val="0"/>
                <w:i w:val="0"/>
                <w:sz w:val="17"/>
              </w:rPr>
              <w:t>(текст сохранён)</w:t>
            </w:r>
          </w:p>
          <w:p>
            <w:pPr>
              <w:spacing w:after="40"/>
            </w:pPr>
            <w:r>
              <w:rPr>
                <w:b w:val="0"/>
                <w:i w:val="0"/>
                <w:sz w:val="16"/>
              </w:rPr>
              <w:t>Пояснение: Подтверждено: A даёт коэффициенты главных компонент.</w:t>
            </w:r>
          </w:p>
        </w:tc>
      </w:tr>
      <w:tr>
        <w:tc>
          <w:tcPr>
            <w:tcW w:type="dxa" w:w="3515"/>
          </w:tcPr>
          <w:p>
            <w:pPr>
              <w:spacing w:after="40"/>
            </w:pPr>
            <w:r>
              <w:rPr>
                <w:b w:val="0"/>
                <w:i w:val="0"/>
                <w:sz w:val="17"/>
              </w:rPr>
              <w:t>Сингулярные числа σ_i связаны с собственными значениями ковариационной матрицы: λ_i = σ_i^2 / (n-1).</w:t>
            </w:r>
          </w:p>
        </w:tc>
        <w:tc>
          <w:tcPr>
            <w:tcW w:type="dxa" w:w="1474"/>
            <w:shd w:val="clear" w:color="auto" w:fill="E2F0D9"/>
          </w:tcPr>
          <w:p>
            <w:pPr>
              <w:spacing w:after="40"/>
            </w:pPr>
            <w:r>
              <w:rPr>
                <w:b/>
                <w:i w:val="0"/>
                <w:sz w:val="17"/>
              </w:rPr>
              <w:t>Совпадает</w:t>
            </w:r>
          </w:p>
        </w:tc>
        <w:tc>
          <w:tcPr>
            <w:tcW w:type="dxa" w:w="4932"/>
          </w:tcPr>
          <w:p>
            <w:pPr>
              <w:spacing w:after="40"/>
            </w:pPr>
            <w:r>
              <w:rPr>
                <w:b/>
                <w:i w:val="0"/>
                <w:sz w:val="17"/>
              </w:rPr>
              <w:t>Страницы в отчёте: [2] с. 45</w:t>
            </w:r>
          </w:p>
          <w:p>
            <w:pPr>
              <w:spacing w:after="40"/>
            </w:pPr>
            <w:r>
              <w:rPr>
                <w:b w:val="0"/>
                <w:i/>
                <w:sz w:val="17"/>
              </w:rPr>
              <w:t>с. 45: «the kth eigenvalue of S is l_k/(n−1) [l_k — kth eigenvalue of X′X]»</w:t>
            </w:r>
          </w:p>
        </w:tc>
        <w:tc>
          <w:tcPr>
            <w:tcW w:type="dxa" w:w="5102"/>
          </w:tcPr>
          <w:p>
            <w:pPr>
              <w:spacing w:after="40"/>
            </w:pPr>
            <w:r>
              <w:rPr>
                <w:b w:val="0"/>
                <w:i w:val="0"/>
                <w:sz w:val="17"/>
              </w:rPr>
              <w:t>(текст сохранён)</w:t>
            </w:r>
          </w:p>
          <w:p>
            <w:pPr>
              <w:spacing w:after="40"/>
            </w:pPr>
            <w:r>
              <w:rPr>
                <w:b w:val="0"/>
                <w:i w:val="0"/>
                <w:sz w:val="16"/>
              </w:rPr>
              <w:t>Пояснение: Подтверждено: λ = l_k/(n−1), где l_k = σ_k².</w:t>
            </w:r>
          </w:p>
        </w:tc>
      </w:tr>
      <w:tr>
        <w:tc>
          <w:tcPr>
            <w:tcW w:type="dxa" w:w="3515"/>
          </w:tcPr>
          <w:p>
            <w:pPr>
              <w:spacing w:after="40"/>
            </w:pPr>
            <w:r>
              <w:rPr>
                <w:b w:val="0"/>
                <w:i w:val="0"/>
                <w:sz w:val="17"/>
              </w:rPr>
              <w:t>Проекция данных на главные компоненты: Z = X_centered * V = U * Σ.</w:t>
            </w:r>
          </w:p>
        </w:tc>
        <w:tc>
          <w:tcPr>
            <w:tcW w:type="dxa" w:w="1474"/>
            <w:shd w:val="clear" w:color="auto" w:fill="E2F0D9"/>
          </w:tcPr>
          <w:p>
            <w:pPr>
              <w:spacing w:after="40"/>
            </w:pPr>
            <w:r>
              <w:rPr>
                <w:b/>
                <w:i w:val="0"/>
                <w:sz w:val="17"/>
              </w:rPr>
              <w:t>Совпадает</w:t>
            </w:r>
          </w:p>
        </w:tc>
        <w:tc>
          <w:tcPr>
            <w:tcW w:type="dxa" w:w="4932"/>
          </w:tcPr>
          <w:p>
            <w:pPr>
              <w:spacing w:after="40"/>
            </w:pPr>
            <w:r>
              <w:rPr>
                <w:b/>
                <w:i w:val="0"/>
                <w:sz w:val="17"/>
              </w:rPr>
              <w:t>Страницы в отчёте: [2] с. 45</w:t>
            </w:r>
          </w:p>
          <w:p>
            <w:pPr>
              <w:spacing w:after="40"/>
            </w:pPr>
            <w:r>
              <w:rPr>
                <w:b w:val="0"/>
                <w:i/>
                <w:sz w:val="17"/>
              </w:rPr>
              <w:t>с. 45: «XA = ULA′A = UL … Z = UL»</w:t>
            </w:r>
          </w:p>
        </w:tc>
        <w:tc>
          <w:tcPr>
            <w:tcW w:type="dxa" w:w="5102"/>
          </w:tcPr>
          <w:p>
            <w:pPr>
              <w:spacing w:after="40"/>
            </w:pPr>
            <w:r>
              <w:rPr>
                <w:b w:val="0"/>
                <w:i w:val="0"/>
                <w:sz w:val="17"/>
              </w:rPr>
              <w:t>(текст сохранён)</w:t>
            </w:r>
          </w:p>
          <w:p>
            <w:pPr>
              <w:spacing w:after="40"/>
            </w:pPr>
            <w:r>
              <w:rPr>
                <w:b w:val="0"/>
                <w:i w:val="0"/>
                <w:sz w:val="16"/>
              </w:rPr>
              <w:t>Пояснение: Подтверждено: Z = UL.</w:t>
            </w:r>
          </w:p>
        </w:tc>
      </w:tr>
      <w:tr>
        <w:tc>
          <w:tcPr>
            <w:tcW w:type="dxa" w:w="3515"/>
          </w:tcPr>
          <w:p>
            <w:pPr>
              <w:spacing w:after="40"/>
            </w:pPr>
            <w:r>
              <w:rPr>
                <w:b w:val="0"/>
                <w:i w:val="0"/>
                <w:sz w:val="17"/>
              </w:rPr>
              <w:t>Таким образом, PCA может быть эффективно вычислен через SVD, что является более численно устойчивым методом, чем прямое вычисление собственных значений ковариационной матрицы, особенно когда m &gt;&gt; n или n &gt;&gt; m.</w:t>
            </w:r>
          </w:p>
        </w:tc>
        <w:tc>
          <w:tcPr>
            <w:tcW w:type="dxa" w:w="1474"/>
            <w:shd w:val="clear" w:color="auto" w:fill="FCE4D6"/>
          </w:tcPr>
          <w:p>
            <w:pPr>
              <w:spacing w:after="40"/>
            </w:pPr>
            <w:r>
              <w:rPr>
                <w:b/>
                <w:i w:val="0"/>
                <w:sz w:val="17"/>
              </w:rPr>
              <w:t>Не совпадало — заменено</w:t>
            </w:r>
          </w:p>
        </w:tc>
        <w:tc>
          <w:tcPr>
            <w:tcW w:type="dxa" w:w="4932"/>
          </w:tcPr>
          <w:p>
            <w:pPr>
              <w:spacing w:after="40"/>
            </w:pPr>
            <w:r>
              <w:rPr>
                <w:b/>
                <w:i w:val="0"/>
                <w:sz w:val="17"/>
              </w:rPr>
              <w:t>Страницы в отчёте: [2] с. 45</w:t>
            </w:r>
          </w:p>
          <w:p>
            <w:pPr>
              <w:spacing w:after="40"/>
            </w:pPr>
            <w:r>
              <w:rPr>
                <w:b w:val="0"/>
                <w:i/>
                <w:sz w:val="17"/>
              </w:rPr>
              <w:t>с. 45: «First, it provides a computationally efficient method of actually finding PCs … As a bonus we also get in U scaled versions of PC scores.»</w:t>
            </w:r>
          </w:p>
        </w:tc>
        <w:tc>
          <w:tcPr>
            <w:tcW w:type="dxa" w:w="5102"/>
          </w:tcPr>
          <w:p>
            <w:pPr>
              <w:spacing w:after="40"/>
            </w:pPr>
            <w:r>
              <w:rPr>
                <w:b w:val="0"/>
                <w:i w:val="0"/>
                <w:sz w:val="17"/>
              </w:rPr>
              <w:t>Таким образом, SVD даёт вычислительно эффективный способ нахождения главных компонент (см. приложение A1 книги); попутно в U получаются масштабированные значения счетов главных компонент.</w:t>
            </w:r>
          </w:p>
          <w:p>
            <w:pPr>
              <w:spacing w:after="40"/>
            </w:pPr>
            <w:r>
              <w:rPr>
                <w:b w:val="0"/>
                <w:i w:val="0"/>
                <w:sz w:val="16"/>
              </w:rPr>
              <w:t>Пояснение: Утверждения «численно более устойчиво, особенно при m &gt;&gt; n или n &gt;&gt; m» в книге нет; сказано «computationally efficient».</w:t>
            </w:r>
          </w:p>
        </w:tc>
      </w:tr>
      <w:tr>
        <w:tc>
          <w:tcPr>
            <w:tcW w:type="dxa" w:w="3515"/>
          </w:tcPr>
          <w:p>
            <w:pPr>
              <w:spacing w:after="40"/>
            </w:pPr>
            <w:r>
              <w:rPr>
                <w:b w:val="0"/>
                <w:i w:val="0"/>
                <w:sz w:val="17"/>
              </w:rPr>
              <w:t>Связь SVD с LDA и MDS:</w:t>
            </w:r>
          </w:p>
        </w:tc>
        <w:tc>
          <w:tcPr>
            <w:tcW w:type="dxa" w:w="1474"/>
            <w:shd w:val="clear" w:color="auto" w:fill="FCE4D6"/>
          </w:tcPr>
          <w:p>
            <w:pPr>
              <w:spacing w:after="40"/>
            </w:pPr>
            <w:r>
              <w:rPr>
                <w:b/>
                <w:i w:val="0"/>
                <w:sz w:val="17"/>
              </w:rPr>
              <w:t>Не совпадало — заменено</w:t>
            </w:r>
          </w:p>
        </w:tc>
        <w:tc>
          <w:tcPr>
            <w:tcW w:type="dxa" w:w="4932"/>
          </w:tcPr>
          <w:p>
            <w:pPr>
              <w:spacing w:after="40"/>
            </w:pPr>
            <w:r>
              <w:rPr>
                <w:b/>
                <w:i w:val="0"/>
                <w:sz w:val="17"/>
              </w:rPr>
              <w:t>Страницы в отчёте: [2] с. 45–46</w:t>
            </w:r>
          </w:p>
        </w:tc>
        <w:tc>
          <w:tcPr>
            <w:tcW w:type="dxa" w:w="5102"/>
          </w:tcPr>
          <w:p>
            <w:pPr>
              <w:spacing w:after="40"/>
            </w:pPr>
            <w:r>
              <w:rPr>
                <w:b w:val="0"/>
                <w:i w:val="0"/>
                <w:sz w:val="17"/>
              </w:rPr>
              <w:t>Другие свойства и применения SVD:</w:t>
            </w:r>
          </w:p>
          <w:p>
            <w:pPr>
              <w:spacing w:after="40"/>
            </w:pPr>
            <w:r>
              <w:rPr>
                <w:b w:val="0"/>
                <w:i w:val="0"/>
                <w:sz w:val="16"/>
              </w:rPr>
              <w:t>Пояснение: Связь SVD с LDA и MDS в разделе 3.5 книги не обсуждается.</w:t>
            </w:r>
          </w:p>
        </w:tc>
      </w:tr>
      <w:tr>
        <w:tc>
          <w:tcPr>
            <w:tcW w:type="dxa" w:w="3515"/>
          </w:tcPr>
          <w:p>
            <w:pPr>
              <w:spacing w:after="40"/>
            </w:pPr>
            <w:r>
              <w:rPr>
                <w:b w:val="0"/>
                <w:i w:val="0"/>
                <w:sz w:val="17"/>
              </w:rPr>
              <w:t>SVD лежит в основе многих алгоритмов решения задач наименьших квадратов и проблем собственных значений, которые возникают в LDA и MDS.</w:t>
            </w:r>
          </w:p>
        </w:tc>
        <w:tc>
          <w:tcPr>
            <w:tcW w:type="dxa" w:w="1474"/>
            <w:shd w:val="clear" w:color="auto" w:fill="FCE4D6"/>
          </w:tcPr>
          <w:p>
            <w:pPr>
              <w:spacing w:after="40"/>
            </w:pPr>
            <w:r>
              <w:rPr>
                <w:b/>
                <w:i w:val="0"/>
                <w:sz w:val="17"/>
              </w:rPr>
              <w:t>Не совпадало — заменено</w:t>
            </w:r>
          </w:p>
        </w:tc>
        <w:tc>
          <w:tcPr>
            <w:tcW w:type="dxa" w:w="4932"/>
          </w:tcPr>
          <w:p>
            <w:pPr>
              <w:spacing w:after="40"/>
            </w:pPr>
            <w:r>
              <w:rPr>
                <w:b/>
                <w:i w:val="0"/>
                <w:sz w:val="17"/>
              </w:rPr>
              <w:t>Страницы в отчёте: [2] с. 46</w:t>
            </w:r>
          </w:p>
          <w:p>
            <w:pPr>
              <w:spacing w:after="40"/>
            </w:pPr>
            <w:r>
              <w:rPr>
                <w:b w:val="0"/>
                <w:i/>
                <w:sz w:val="17"/>
              </w:rPr>
              <w:t>с. 46: «the SVD is useful in terms of both computation and interpretation in PC regression (see Section 8.1 …) and in examining the links between PCA and correspondence analysis (Sections 13.1 and 14.2).»</w:t>
            </w:r>
          </w:p>
        </w:tc>
        <w:tc>
          <w:tcPr>
            <w:tcW w:type="dxa" w:w="5102"/>
          </w:tcPr>
          <w:p>
            <w:pPr>
              <w:spacing w:after="40"/>
            </w:pPr>
            <w:r>
              <w:rPr>
                <w:b w:val="0"/>
                <w:i w:val="0"/>
                <w:sz w:val="17"/>
              </w:rPr>
              <w:t>SVD полезно для вычислений и интерпретации в регрессии на главных компонентах (раздел 8.1), а также помогает проследить связь PCA с анализом соответствий (разделы 13.1 и 14.2).</w:t>
            </w:r>
          </w:p>
          <w:p>
            <w:pPr>
              <w:spacing w:after="40"/>
            </w:pPr>
            <w:r>
              <w:rPr>
                <w:b w:val="0"/>
                <w:i w:val="0"/>
                <w:sz w:val="16"/>
              </w:rPr>
              <w:t>Пояснение: Утверждение «SVD лежит в основе LDA и MDS» в книге отсутствует.</w:t>
            </w:r>
          </w:p>
        </w:tc>
      </w:tr>
      <w:tr>
        <w:tc>
          <w:tcPr>
            <w:tcW w:type="dxa" w:w="3515"/>
          </w:tcPr>
          <w:p>
            <w:pPr>
              <w:spacing w:after="40"/>
            </w:pPr>
            <w:r>
              <w:rPr>
                <w:b w:val="0"/>
                <w:i w:val="0"/>
                <w:sz w:val="17"/>
              </w:rPr>
              <w:t>Связь MDS и SVD очевидна из описанного выше алгоритма: матрица B подвергается спектральному разложению, которое является частным случаем SVD для симметричных матриц.</w:t>
            </w:r>
          </w:p>
        </w:tc>
        <w:tc>
          <w:tcPr>
            <w:tcW w:type="dxa" w:w="1474"/>
            <w:shd w:val="clear" w:color="auto" w:fill="FCE4D6"/>
          </w:tcPr>
          <w:p>
            <w:pPr>
              <w:spacing w:after="40"/>
            </w:pPr>
            <w:r>
              <w:rPr>
                <w:b/>
                <w:i w:val="0"/>
                <w:sz w:val="17"/>
              </w:rPr>
              <w:t>Не совпадало — заменено</w:t>
            </w:r>
          </w:p>
        </w:tc>
        <w:tc>
          <w:tcPr>
            <w:tcW w:type="dxa" w:w="4932"/>
          </w:tcPr>
          <w:p>
            <w:pPr>
              <w:spacing w:after="40"/>
            </w:pPr>
            <w:r>
              <w:rPr>
                <w:b/>
                <w:i w:val="0"/>
                <w:sz w:val="17"/>
              </w:rPr>
              <w:t>Страницы в отчёте: [2] с. 45</w:t>
            </w:r>
          </w:p>
          <w:p>
            <w:pPr>
              <w:spacing w:after="40"/>
            </w:pPr>
            <w:r>
              <w:rPr>
                <w:b w:val="0"/>
                <w:i/>
                <w:sz w:val="17"/>
              </w:rPr>
              <w:t>с. 45: «Note also that the columns of U are the eigenvectors of XX′ corresponding to non-zero eigenvalues, and these eigenvectors are of potential interest if the rôles of ‘variables’ and ‘observations’ are reversed.»</w:t>
            </w:r>
          </w:p>
        </w:tc>
        <w:tc>
          <w:tcPr>
            <w:tcW w:type="dxa" w:w="5102"/>
          </w:tcPr>
          <w:p>
            <w:pPr>
              <w:spacing w:after="40"/>
            </w:pPr>
            <w:r>
              <w:rPr>
                <w:b w:val="0"/>
                <w:i w:val="0"/>
                <w:sz w:val="17"/>
              </w:rPr>
              <w:t>Столбцы U — собственные векторы матрицы XXᵀ, отвечающие ненулевым собственным значениям; они представляют интерес, если поменять местами роли «переменных» и «наблюдений». Именно матрица Грама XXᵀ раскладывается в классическом шкалировании (см. [1] с. 4).</w:t>
            </w:r>
          </w:p>
          <w:p>
            <w:pPr>
              <w:spacing w:after="40"/>
            </w:pPr>
            <w:r>
              <w:rPr>
                <w:b w:val="0"/>
                <w:i w:val="0"/>
                <w:sz w:val="16"/>
              </w:rPr>
              <w:t>Пояснение: Утверждение «спектральное разложение — частный случай SVD» не подтверждено; приведена связь, указанная в источниках.</w:t>
            </w:r>
          </w:p>
        </w:tc>
      </w:tr>
      <w:tr>
        <w:tc>
          <w:tcPr>
            <w:tcW w:type="dxa" w:w="3515"/>
          </w:tcPr>
          <w:p>
            <w:pPr>
              <w:spacing w:after="40"/>
            </w:pPr>
            <w:r>
              <w:rPr>
                <w:b w:val="0"/>
                <w:i w:val="0"/>
                <w:sz w:val="17"/>
              </w:rPr>
              <w:t>Роль SVD в других областях: SVD — краеугольный камень не только методов снижения размерности, но и многих других задач:</w:t>
            </w:r>
          </w:p>
        </w:tc>
        <w:tc>
          <w:tcPr>
            <w:tcW w:type="dxa" w:w="1474"/>
            <w:shd w:val="clear" w:color="auto" w:fill="FCE4D6"/>
          </w:tcPr>
          <w:p>
            <w:pPr>
              <w:spacing w:after="40"/>
            </w:pPr>
            <w:r>
              <w:rPr>
                <w:b/>
                <w:i w:val="0"/>
                <w:sz w:val="17"/>
              </w:rPr>
              <w:t>Не совпадало — заменено</w:t>
            </w:r>
          </w:p>
        </w:tc>
        <w:tc>
          <w:tcPr>
            <w:tcW w:type="dxa" w:w="4932"/>
          </w:tcPr>
          <w:p>
            <w:pPr>
              <w:spacing w:after="40"/>
            </w:pPr>
            <w:r>
              <w:rPr>
                <w:b/>
                <w:i w:val="0"/>
                <w:sz w:val="17"/>
              </w:rPr>
              <w:t>Страницы в отчёте: [2] с. 45–46</w:t>
            </w:r>
          </w:p>
          <w:p>
            <w:pPr>
              <w:spacing w:after="40"/>
            </w:pPr>
            <w:r>
              <w:rPr>
                <w:b w:val="0"/>
                <w:i/>
                <w:sz w:val="17"/>
              </w:rPr>
              <w:t>с. 45–46: «A second virtue of the SVD is that it provides additional insight into what a PCA actually does, and it gives useful means, both graphical and algebraic, of representing the results of a PCA.»</w:t>
            </w:r>
          </w:p>
        </w:tc>
        <w:tc>
          <w:tcPr>
            <w:tcW w:type="dxa" w:w="5102"/>
          </w:tcPr>
          <w:p>
            <w:pPr>
              <w:spacing w:after="40"/>
            </w:pPr>
            <w:r>
              <w:rPr>
                <w:b w:val="0"/>
                <w:i w:val="0"/>
                <w:sz w:val="17"/>
              </w:rPr>
              <w:t>Роль SVD в представлении результатов PCA: SVD даёт графические и алгебраические средства представления результатов PCA:</w:t>
            </w:r>
          </w:p>
          <w:p>
            <w:pPr>
              <w:spacing w:after="40"/>
            </w:pPr>
            <w:r>
              <w:rPr>
                <w:b w:val="0"/>
                <w:i w:val="0"/>
                <w:sz w:val="16"/>
              </w:rPr>
              <w:t>Пояснение: Перечень «краеугольный камень многих задач» в книге отсутствует.</w:t>
            </w:r>
          </w:p>
        </w:tc>
      </w:tr>
      <w:tr>
        <w:tc>
          <w:tcPr>
            <w:tcW w:type="dxa" w:w="3515"/>
          </w:tcPr>
          <w:p>
            <w:pPr>
              <w:spacing w:after="40"/>
            </w:pPr>
            <w:r>
              <w:rPr>
                <w:b w:val="0"/>
                <w:i w:val="0"/>
                <w:sz w:val="17"/>
              </w:rPr>
              <w:t>Сжатие изображений и сигналов: Усеченное SVD (когда только k наибольших сингулярных чисел) дает наилучшее низкоранговое приближение матрицы в смысле нормы Фробениуса.</w:t>
            </w:r>
          </w:p>
        </w:tc>
        <w:tc>
          <w:tcPr>
            <w:tcW w:type="dxa" w:w="1474"/>
            <w:shd w:val="clear" w:color="auto" w:fill="FFF2CC"/>
          </w:tcPr>
          <w:p>
            <w:pPr>
              <w:spacing w:after="40"/>
            </w:pPr>
            <w:r>
              <w:rPr>
                <w:b/>
                <w:i w:val="0"/>
                <w:sz w:val="17"/>
              </w:rPr>
              <w:t>Исправлено частично</w:t>
            </w:r>
          </w:p>
        </w:tc>
        <w:tc>
          <w:tcPr>
            <w:tcW w:type="dxa" w:w="4932"/>
          </w:tcPr>
          <w:p>
            <w:pPr>
              <w:spacing w:after="40"/>
            </w:pPr>
            <w:r>
              <w:rPr>
                <w:b/>
                <w:i w:val="0"/>
                <w:sz w:val="17"/>
              </w:rPr>
              <w:t>Страницы в отчёте: [2] с. 46</w:t>
            </w:r>
          </w:p>
          <w:p>
            <w:pPr>
              <w:spacing w:after="40"/>
            </w:pPr>
            <w:r>
              <w:rPr>
                <w:b w:val="0"/>
                <w:i/>
                <w:sz w:val="17"/>
              </w:rPr>
              <w:t>с. 46: «m x̃_ij gives the best possible rank m approximation to x_ij, in the sense of minimizing Σ(m x_ij − x_ij)² … the SVD provides a sequence of approximations to X of rank 1, 2, …, r, which minimize the Euclidean norm of the difference»</w:t>
            </w:r>
          </w:p>
        </w:tc>
        <w:tc>
          <w:tcPr>
            <w:tcW w:type="dxa" w:w="5102"/>
          </w:tcPr>
          <w:p>
            <w:pPr>
              <w:spacing w:after="40"/>
            </w:pPr>
            <w:r>
              <w:rPr>
                <w:b w:val="0"/>
                <w:i w:val="0"/>
                <w:sz w:val="17"/>
              </w:rPr>
              <w:t>Низкоранговое приближение: если сохранить только первые m главных компонент, x̃_ij = Σ_{k=1}^{m} u_ik · l_k^{1/2} · a_jk даёт наилучшее приближение ранга m в смысле минимума суммы квадратов отклонений (евклидовой нормы разности); SVD задаёт последовательность оптимальных приближений ранга 1, 2, …, r.</w:t>
            </w:r>
          </w:p>
          <w:p>
            <w:pPr>
              <w:spacing w:after="40"/>
            </w:pPr>
            <w:r>
              <w:rPr>
                <w:b w:val="0"/>
                <w:i w:val="0"/>
                <w:sz w:val="16"/>
              </w:rPr>
              <w:t>Пояснение: Было «сжатие изображений и сигналов… норма Фробениуса»: в книге говорится об аппроксимации матрицы данных, без изображений/сигналов.</w:t>
            </w:r>
          </w:p>
        </w:tc>
      </w:tr>
      <w:tr>
        <w:tc>
          <w:tcPr>
            <w:tcW w:type="dxa" w:w="3515"/>
          </w:tcPr>
          <w:p>
            <w:pPr>
              <w:spacing w:after="40"/>
            </w:pPr>
            <w:r>
              <w:rPr>
                <w:b w:val="0"/>
                <w:i w:val="0"/>
                <w:sz w:val="17"/>
              </w:rPr>
              <w:t>Рекомендательные системы (алгоритм SVD++).</w:t>
            </w:r>
          </w:p>
        </w:tc>
        <w:tc>
          <w:tcPr>
            <w:tcW w:type="dxa" w:w="1474"/>
            <w:shd w:val="clear" w:color="auto" w:fill="FCE4D6"/>
          </w:tcPr>
          <w:p>
            <w:pPr>
              <w:spacing w:after="40"/>
            </w:pPr>
            <w:r>
              <w:rPr>
                <w:b/>
                <w:i w:val="0"/>
                <w:sz w:val="17"/>
              </w:rPr>
              <w:t>Не совпадало — заменено</w:t>
            </w:r>
          </w:p>
        </w:tc>
        <w:tc>
          <w:tcPr>
            <w:tcW w:type="dxa" w:w="4932"/>
          </w:tcPr>
          <w:p>
            <w:pPr>
              <w:spacing w:after="40"/>
            </w:pPr>
            <w:r>
              <w:rPr>
                <w:b/>
                <w:i w:val="0"/>
                <w:sz w:val="17"/>
              </w:rPr>
              <w:t>Страницы в отчёте: [2] с. 90</w:t>
            </w:r>
          </w:p>
          <w:p>
            <w:pPr>
              <w:spacing w:after="40"/>
            </w:pPr>
            <w:r>
              <w:rPr>
                <w:b w:val="0"/>
                <w:i/>
                <w:sz w:val="17"/>
              </w:rPr>
              <w:t>с. 90: «Classical biplots … The plots are based on the singular value decomposition (SVD), which was described in Section 3.5.»</w:t>
            </w:r>
          </w:p>
        </w:tc>
        <w:tc>
          <w:tcPr>
            <w:tcW w:type="dxa" w:w="5102"/>
          </w:tcPr>
          <w:p>
            <w:pPr>
              <w:spacing w:after="40"/>
            </w:pPr>
            <w:r>
              <w:rPr>
                <w:b w:val="0"/>
                <w:i w:val="0"/>
                <w:sz w:val="17"/>
              </w:rPr>
              <w:t>Биплоты: диаграммы, основанные на SVD, позволяют одновременно изображать наблюдения и переменные (классические биплоты).</w:t>
            </w:r>
          </w:p>
          <w:p>
            <w:pPr>
              <w:spacing w:after="40"/>
            </w:pPr>
            <w:r>
              <w:rPr>
                <w:b w:val="0"/>
                <w:i w:val="0"/>
                <w:sz w:val="16"/>
              </w:rPr>
              <w:t>Пояснение: Алгоритм SVD++ (рекомендательные системы) в книге не упоминается.</w:t>
            </w:r>
          </w:p>
        </w:tc>
      </w:tr>
      <w:tr>
        <w:tc>
          <w:tcPr>
            <w:tcW w:type="dxa" w:w="3515"/>
          </w:tcPr>
          <w:p>
            <w:pPr>
              <w:spacing w:after="40"/>
            </w:pPr>
            <w:r>
              <w:rPr>
                <w:b w:val="0"/>
                <w:i w:val="0"/>
                <w:sz w:val="17"/>
              </w:rPr>
              <w:t>Решение систем линейных уравнений.</w:t>
            </w:r>
          </w:p>
        </w:tc>
        <w:tc>
          <w:tcPr>
            <w:tcW w:type="dxa" w:w="1474"/>
            <w:shd w:val="clear" w:color="auto" w:fill="FCE4D6"/>
          </w:tcPr>
          <w:p>
            <w:pPr>
              <w:spacing w:after="40"/>
            </w:pPr>
            <w:r>
              <w:rPr>
                <w:b/>
                <w:i w:val="0"/>
                <w:sz w:val="17"/>
              </w:rPr>
              <w:t>Не совпадало — заменено</w:t>
            </w:r>
          </w:p>
        </w:tc>
        <w:tc>
          <w:tcPr>
            <w:tcW w:type="dxa" w:w="4932"/>
          </w:tcPr>
          <w:p>
            <w:pPr>
              <w:spacing w:after="40"/>
            </w:pPr>
            <w:r>
              <w:rPr>
                <w:b/>
                <w:i w:val="0"/>
                <w:sz w:val="17"/>
              </w:rPr>
              <w:t>Страницы в отчёте: [2] с. 90</w:t>
            </w:r>
          </w:p>
          <w:p>
            <w:pPr>
              <w:spacing w:after="40"/>
            </w:pPr>
            <w:r>
              <w:rPr>
                <w:b w:val="0"/>
                <w:i/>
                <w:sz w:val="17"/>
              </w:rPr>
              <w:t>с. 90: «(see, for example, Berry et al. (1995), who refer to the same idea as ‘latent semantic indexing’)»</w:t>
            </w:r>
          </w:p>
        </w:tc>
        <w:tc>
          <w:tcPr>
            <w:tcW w:type="dxa" w:w="5102"/>
          </w:tcPr>
          <w:p>
            <w:pPr>
              <w:spacing w:after="40"/>
            </w:pPr>
            <w:r>
              <w:rPr>
                <w:b w:val="0"/>
                <w:i w:val="0"/>
                <w:sz w:val="17"/>
              </w:rPr>
              <w:t>Латентно-семантическое индексирование: та же идея, что у классических биплотов, в других дисциплинах называется «latent semantic indexing» (Berry et al., 1995).</w:t>
            </w:r>
          </w:p>
          <w:p>
            <w:pPr>
              <w:spacing w:after="40"/>
            </w:pPr>
            <w:r>
              <w:rPr>
                <w:b w:val="0"/>
                <w:i w:val="0"/>
                <w:sz w:val="16"/>
              </w:rPr>
              <w:t>Пояснение: «Решение систем линейных уравнений» в книге не упоминается.</w:t>
            </w:r>
          </w:p>
        </w:tc>
      </w:tr>
      <w:tr>
        <w:tc>
          <w:tcPr>
            <w:tcW w:type="dxa" w:w="3515"/>
          </w:tcPr>
          <w:p>
            <w:pPr>
              <w:spacing w:after="40"/>
            </w:pPr>
            <w:r>
              <w:rPr>
                <w:b w:val="0"/>
                <w:i w:val="0"/>
                <w:sz w:val="17"/>
              </w:rPr>
              <w:t>Выделение тематических моделей в текстах (Latent Semantic Analysis - LSA)</w:t>
            </w:r>
          </w:p>
        </w:tc>
        <w:tc>
          <w:tcPr>
            <w:tcW w:type="dxa" w:w="1474"/>
            <w:shd w:val="clear" w:color="auto" w:fill="FCE4D6"/>
          </w:tcPr>
          <w:p>
            <w:pPr>
              <w:spacing w:after="40"/>
            </w:pPr>
            <w:r>
              <w:rPr>
                <w:b/>
                <w:i w:val="0"/>
                <w:sz w:val="17"/>
              </w:rPr>
              <w:t>Не совпадало — заменено</w:t>
            </w:r>
          </w:p>
        </w:tc>
        <w:tc>
          <w:tcPr>
            <w:tcW w:type="dxa" w:w="4932"/>
          </w:tcPr>
          <w:p>
            <w:pPr>
              <w:spacing w:after="40"/>
            </w:pPr>
            <w:r>
              <w:rPr>
                <w:b/>
                <w:i w:val="0"/>
                <w:sz w:val="17"/>
              </w:rPr>
              <w:t>Страницы в отчёте: [2] с. 46</w:t>
            </w:r>
          </w:p>
          <w:p>
            <w:pPr>
              <w:spacing w:after="40"/>
            </w:pPr>
            <w:r>
              <w:rPr>
                <w:b w:val="0"/>
                <w:i/>
                <w:sz w:val="17"/>
              </w:rPr>
              <w:t>с. 46: «the SVD is useful … in PC regression … and in examining the links between PCA and correspondence analysis»</w:t>
            </w:r>
          </w:p>
        </w:tc>
        <w:tc>
          <w:tcPr>
            <w:tcW w:type="dxa" w:w="5102"/>
          </w:tcPr>
          <w:p>
            <w:pPr>
              <w:spacing w:after="40"/>
            </w:pPr>
            <w:r>
              <w:rPr>
                <w:b w:val="0"/>
                <w:i w:val="0"/>
                <w:sz w:val="17"/>
              </w:rPr>
              <w:t>Регрессия на главных компонентах и анализ соответствий: SVD используется при регрессии на главные компоненты и для сопоставления PCA с анализом соответствий.</w:t>
            </w:r>
          </w:p>
          <w:p>
            <w:pPr>
              <w:spacing w:after="40"/>
            </w:pPr>
            <w:r>
              <w:rPr>
                <w:b w:val="0"/>
                <w:i w:val="0"/>
                <w:sz w:val="16"/>
              </w:rPr>
              <w:t>Пояснение: Было «LSA / тематические модели» — в книге только упоминание «latent semantic indexing» (с. 90).</w:t>
            </w:r>
          </w:p>
        </w:tc>
      </w:tr>
    </w:tbl>
    <w:p>
      <w:pPr>
        <w:pStyle w:val="Heading2"/>
      </w:pPr>
      <w:r>
        <w:t>3.1. Локально-линейное вложение (LLE)</w:t>
      </w:r>
    </w:p>
    <w:tbl>
      <w:tblPr>
        <w:tblStyle w:val="TableGrid"/>
        <w:tblW w:type="auto" w:w="0"/>
        <w:tblLook w:firstColumn="1" w:firstRow="1" w:lastColumn="0" w:lastRow="0" w:noHBand="0" w:noVBand="1" w:val="04A0"/>
      </w:tblPr>
      <w:tblGrid>
        <w:gridCol w:w="3535"/>
        <w:gridCol w:w="3535"/>
        <w:gridCol w:w="3535"/>
        <w:gridCol w:w="3535"/>
      </w:tblGrid>
      <w:tr>
        <w:tc>
          <w:tcPr>
            <w:tcW w:type="dxa" w:w="3515"/>
            <w:shd w:val="clear" w:color="auto" w:fill="BFBFBF"/>
          </w:tcPr>
          <w:p>
            <w:pPr>
              <w:spacing w:after="40"/>
            </w:pPr>
            <w:r>
              <w:rPr>
                <w:b/>
                <w:i w:val="0"/>
                <w:sz w:val="18"/>
              </w:rPr>
              <w:t>Было в отчёте</w:t>
            </w:r>
          </w:p>
        </w:tc>
        <w:tc>
          <w:tcPr>
            <w:tcW w:type="dxa" w:w="1474"/>
            <w:shd w:val="clear" w:color="auto" w:fill="BFBFBF"/>
          </w:tcPr>
          <w:p>
            <w:pPr>
              <w:spacing w:after="40"/>
            </w:pPr>
            <w:r>
              <w:rPr>
                <w:b/>
                <w:i w:val="0"/>
                <w:sz w:val="18"/>
              </w:rPr>
              <w:t>Статус</w:t>
            </w:r>
          </w:p>
        </w:tc>
        <w:tc>
          <w:tcPr>
            <w:tcW w:type="dxa" w:w="4932"/>
            <w:shd w:val="clear" w:color="auto" w:fill="BFBFBF"/>
          </w:tcPr>
          <w:p>
            <w:pPr>
              <w:spacing w:after="40"/>
            </w:pPr>
            <w:r>
              <w:rPr>
                <w:b/>
                <w:i w:val="0"/>
                <w:sz w:val="18"/>
              </w:rPr>
              <w:t>Источник: страница и цитата</w:t>
            </w:r>
          </w:p>
        </w:tc>
        <w:tc>
          <w:tcPr>
            <w:tcW w:type="dxa" w:w="5102"/>
            <w:shd w:val="clear" w:color="auto" w:fill="BFBFBF"/>
          </w:tcPr>
          <w:p>
            <w:pPr>
              <w:spacing w:after="40"/>
            </w:pPr>
            <w:r>
              <w:rPr>
                <w:b/>
                <w:i w:val="0"/>
                <w:sz w:val="18"/>
              </w:rPr>
              <w:t>Стало / что исправлено</w:t>
            </w:r>
          </w:p>
        </w:tc>
      </w:tr>
      <w:tr>
        <w:tc>
          <w:tcPr>
            <w:tcW w:type="dxa" w:w="3515"/>
          </w:tcPr>
          <w:p>
            <w:pPr>
              <w:spacing w:after="40"/>
            </w:pPr>
            <w:r>
              <w:rPr>
                <w:b w:val="0"/>
                <w:i w:val="0"/>
                <w:sz w:val="17"/>
              </w:rPr>
              <w:t>Глава 3. Нелинейные методы снижения размерности</w:t>
            </w:r>
          </w:p>
        </w:tc>
        <w:tc>
          <w:tcPr>
            <w:tcW w:type="dxa" w:w="1474"/>
            <w:shd w:val="clear" w:color="auto" w:fill="E2F0D9"/>
          </w:tcPr>
          <w:p>
            <w:pPr>
              <w:spacing w:after="40"/>
            </w:pPr>
            <w:r>
              <w:rPr>
                <w:b/>
                <w:i w:val="0"/>
                <w:sz w:val="17"/>
              </w:rPr>
              <w:t>Совпадает</w:t>
            </w:r>
          </w:p>
        </w:tc>
        <w:tc>
          <w:tcPr>
            <w:tcW w:type="dxa" w:w="4932"/>
          </w:tcPr>
          <w:p>
            <w:pPr>
              <w:spacing w:after="40"/>
            </w:pPr>
            <w:r>
              <w:rPr>
                <w:b/>
                <w:i w:val="0"/>
                <w:sz w:val="17"/>
              </w:rPr>
              <w:t>Страницы в отчёте: [5] с. 2323</w:t>
            </w:r>
          </w:p>
        </w:tc>
        <w:tc>
          <w:tcPr>
            <w:tcW w:type="dxa" w:w="5102"/>
          </w:tcPr>
          <w:p>
            <w:pPr>
              <w:spacing w:after="40"/>
            </w:pPr>
            <w:r>
              <w:rPr>
                <w:b w:val="0"/>
                <w:i w:val="0"/>
                <w:sz w:val="17"/>
              </w:rPr>
              <w:t>(текст сохранён)</w:t>
            </w:r>
          </w:p>
        </w:tc>
      </w:tr>
      <w:tr>
        <w:tc>
          <w:tcPr>
            <w:tcW w:type="dxa" w:w="3515"/>
          </w:tcPr>
          <w:p>
            <w:pPr>
              <w:spacing w:after="40"/>
            </w:pPr>
            <w:r>
              <w:rPr>
                <w:b w:val="0"/>
                <w:i w:val="0"/>
                <w:sz w:val="17"/>
              </w:rPr>
              <w:t>Когда данные лежат на сложном нелинейном многообразии (например, изображения одного объекта, снятые под разными углами), линейные методы оказываются неадекватными. Нелинейные методы снижения размерности пытаются "развернуть" такое многообразие, сохраняя локальные или глобальные геометрические отношения между точками.</w:t>
            </w:r>
          </w:p>
        </w:tc>
        <w:tc>
          <w:tcPr>
            <w:tcW w:type="dxa" w:w="1474"/>
            <w:shd w:val="clear" w:color="auto" w:fill="E2F0D9"/>
          </w:tcPr>
          <w:p>
            <w:pPr>
              <w:spacing w:after="40"/>
            </w:pPr>
            <w:r>
              <w:rPr>
                <w:b/>
                <w:i w:val="0"/>
                <w:sz w:val="17"/>
              </w:rPr>
              <w:t>Совпадает</w:t>
            </w:r>
          </w:p>
        </w:tc>
        <w:tc>
          <w:tcPr>
            <w:tcW w:type="dxa" w:w="4932"/>
          </w:tcPr>
          <w:p>
            <w:pPr>
              <w:spacing w:after="40"/>
            </w:pPr>
            <w:r>
              <w:rPr>
                <w:b/>
                <w:i w:val="0"/>
                <w:sz w:val="17"/>
              </w:rPr>
              <w:t>Страницы в отчёте: [5] с. 2323</w:t>
            </w:r>
          </w:p>
          <w:p>
            <w:pPr>
              <w:spacing w:after="40"/>
            </w:pPr>
            <w:r>
              <w:rPr>
                <w:b w:val="0"/>
                <w:i/>
                <w:sz w:val="17"/>
              </w:rPr>
              <w:t>с. 2323: «Unlike LLE, projections of the data by principal component analysis (PCA) or classical MDS map faraway data points to nearby points in the plane, failing to identify the underlying structure of the manifold.»</w:t>
            </w:r>
          </w:p>
        </w:tc>
        <w:tc>
          <w:tcPr>
            <w:tcW w:type="dxa" w:w="5102"/>
          </w:tcPr>
          <w:p>
            <w:pPr>
              <w:spacing w:after="40"/>
            </w:pPr>
            <w:r>
              <w:rPr>
                <w:b w:val="0"/>
                <w:i w:val="0"/>
                <w:sz w:val="17"/>
              </w:rPr>
              <w:t>(текст сохранён)</w:t>
            </w:r>
          </w:p>
          <w:p>
            <w:pPr>
              <w:spacing w:after="40"/>
            </w:pPr>
            <w:r>
              <w:rPr>
                <w:b w:val="0"/>
                <w:i w:val="0"/>
                <w:sz w:val="16"/>
              </w:rPr>
              <w:t>Пояснение: Подтверждено подписью к рис. 1.</w:t>
            </w:r>
          </w:p>
        </w:tc>
      </w:tr>
      <w:tr>
        <w:tc>
          <w:tcPr>
            <w:tcW w:type="dxa" w:w="3515"/>
          </w:tcPr>
          <w:p>
            <w:pPr>
              <w:spacing w:after="40"/>
            </w:pPr>
            <w:r>
              <w:rPr>
                <w:b w:val="0"/>
                <w:i w:val="0"/>
                <w:sz w:val="17"/>
              </w:rPr>
              <w:t>3.1. Локально-линейное вложение (LLE) и его модификации</w:t>
            </w:r>
          </w:p>
        </w:tc>
        <w:tc>
          <w:tcPr>
            <w:tcW w:type="dxa" w:w="1474"/>
            <w:shd w:val="clear" w:color="auto" w:fill="E2F0D9"/>
          </w:tcPr>
          <w:p>
            <w:pPr>
              <w:spacing w:after="40"/>
            </w:pPr>
            <w:r>
              <w:rPr>
                <w:b/>
                <w:i w:val="0"/>
                <w:sz w:val="17"/>
              </w:rPr>
              <w:t>Совпадает</w:t>
            </w:r>
          </w:p>
        </w:tc>
        <w:tc>
          <w:tcPr>
            <w:tcW w:type="dxa" w:w="4932"/>
          </w:tcPr>
          <w:p>
            <w:pPr>
              <w:spacing w:after="40"/>
            </w:pPr>
            <w:r>
              <w:rPr>
                <w:b/>
                <w:i w:val="0"/>
                <w:sz w:val="17"/>
              </w:rPr>
              <w:t>Страницы в отчёте: [5] с. 2323–2326</w:t>
            </w:r>
          </w:p>
        </w:tc>
        <w:tc>
          <w:tcPr>
            <w:tcW w:type="dxa" w:w="5102"/>
          </w:tcPr>
          <w:p>
            <w:pPr>
              <w:spacing w:after="40"/>
            </w:pPr>
            <w:r>
              <w:rPr>
                <w:b w:val="0"/>
                <w:i w:val="0"/>
                <w:sz w:val="17"/>
              </w:rPr>
              <w:t>(текст сохранён)</w:t>
            </w:r>
          </w:p>
        </w:tc>
      </w:tr>
      <w:tr>
        <w:tc>
          <w:tcPr>
            <w:tcW w:type="dxa" w:w="3515"/>
          </w:tcPr>
          <w:p>
            <w:pPr>
              <w:spacing w:after="40"/>
            </w:pPr>
            <w:r>
              <w:rPr>
                <w:b w:val="0"/>
                <w:i w:val="0"/>
                <w:sz w:val="17"/>
              </w:rPr>
              <w:t>Идея: LLE (Locally Linear Embedding) исходит из предположения, что каждая точка данных и ее ближайшие соседи лежат на локально линейном участке многообразия. Следовательно, точку можно приблизить линейной комбинацией ее соседей. Алгоритм находит такие веса реконструкции в исходном пространстве, а затем ищет низкоразмерное представление, где эти веса реконструкции сохраняются как можно лучше.</w:t>
            </w:r>
          </w:p>
        </w:tc>
        <w:tc>
          <w:tcPr>
            <w:tcW w:type="dxa" w:w="1474"/>
            <w:shd w:val="clear" w:color="auto" w:fill="E2F0D9"/>
          </w:tcPr>
          <w:p>
            <w:pPr>
              <w:spacing w:after="40"/>
            </w:pPr>
            <w:r>
              <w:rPr>
                <w:b/>
                <w:i w:val="0"/>
                <w:sz w:val="17"/>
              </w:rPr>
              <w:t>Совпадает</w:t>
            </w:r>
          </w:p>
        </w:tc>
        <w:tc>
          <w:tcPr>
            <w:tcW w:type="dxa" w:w="4932"/>
          </w:tcPr>
          <w:p>
            <w:pPr>
              <w:spacing w:after="40"/>
            </w:pPr>
            <w:r>
              <w:rPr>
                <w:b/>
                <w:i w:val="0"/>
                <w:sz w:val="17"/>
              </w:rPr>
              <w:t>Страницы в отчёте: [5] с. 2323–2324</w:t>
            </w:r>
          </w:p>
          <w:p>
            <w:pPr>
              <w:spacing w:after="40"/>
            </w:pPr>
            <w:r>
              <w:rPr>
                <w:b w:val="0"/>
                <w:i/>
                <w:sz w:val="17"/>
              </w:rPr>
              <w:t>с. 2323–2324: «we expect each data point and its neighbors to lie on or close to a locally linear patch of the manifold. … the same weights W_ij that reconstruct the ith data point in D dimensions should also reconstruct its embedded manifold coordinates in d dimensions.»</w:t>
            </w:r>
          </w:p>
        </w:tc>
        <w:tc>
          <w:tcPr>
            <w:tcW w:type="dxa" w:w="5102"/>
          </w:tcPr>
          <w:p>
            <w:pPr>
              <w:spacing w:after="40"/>
            </w:pPr>
            <w:r>
              <w:rPr>
                <w:b w:val="0"/>
                <w:i w:val="0"/>
                <w:sz w:val="17"/>
              </w:rPr>
              <w:t>(текст сохранён)</w:t>
            </w:r>
          </w:p>
          <w:p>
            <w:pPr>
              <w:spacing w:after="40"/>
            </w:pPr>
            <w:r>
              <w:rPr>
                <w:b w:val="0"/>
                <w:i w:val="0"/>
                <w:sz w:val="16"/>
              </w:rPr>
              <w:t>Пояснение: Подтверждено.</w:t>
            </w:r>
          </w:p>
        </w:tc>
      </w:tr>
      <w:tr>
        <w:tc>
          <w:tcPr>
            <w:tcW w:type="dxa" w:w="3515"/>
          </w:tcPr>
          <w:p>
            <w:pPr>
              <w:spacing w:after="40"/>
            </w:pPr>
            <w:r>
              <w:rPr>
                <w:b w:val="0"/>
                <w:i w:val="0"/>
                <w:sz w:val="17"/>
              </w:rPr>
              <w:t>Алгоритм LLE:</w:t>
            </w:r>
          </w:p>
        </w:tc>
        <w:tc>
          <w:tcPr>
            <w:tcW w:type="dxa" w:w="1474"/>
            <w:shd w:val="clear" w:color="auto" w:fill="E2F0D9"/>
          </w:tcPr>
          <w:p>
            <w:pPr>
              <w:spacing w:after="40"/>
            </w:pPr>
            <w:r>
              <w:rPr>
                <w:b/>
                <w:i w:val="0"/>
                <w:sz w:val="17"/>
              </w:rPr>
              <w:t>Совпадает</w:t>
            </w:r>
          </w:p>
        </w:tc>
        <w:tc>
          <w:tcPr>
            <w:tcW w:type="dxa" w:w="4932"/>
          </w:tcPr>
          <w:p>
            <w:pPr>
              <w:spacing w:after="40"/>
            </w:pPr>
            <w:r>
              <w:rPr>
                <w:b/>
                <w:i w:val="0"/>
                <w:sz w:val="17"/>
              </w:rPr>
              <w:t>Страницы в отчёте: [5] с. 2324</w:t>
            </w:r>
          </w:p>
          <w:p>
            <w:pPr>
              <w:spacing w:after="40"/>
            </w:pPr>
            <w:r>
              <w:rPr>
                <w:b w:val="0"/>
                <w:i/>
                <w:sz w:val="17"/>
              </w:rPr>
              <w:t>с. 2324: «Fig. 2. Steps of locally linear embedding»</w:t>
            </w:r>
          </w:p>
        </w:tc>
        <w:tc>
          <w:tcPr>
            <w:tcW w:type="dxa" w:w="5102"/>
          </w:tcPr>
          <w:p>
            <w:pPr>
              <w:spacing w:after="40"/>
            </w:pPr>
            <w:r>
              <w:rPr>
                <w:b w:val="0"/>
                <w:i w:val="0"/>
                <w:sz w:val="17"/>
              </w:rPr>
              <w:t>(текст сохранён)</w:t>
            </w:r>
          </w:p>
        </w:tc>
      </w:tr>
      <w:tr>
        <w:tc>
          <w:tcPr>
            <w:tcW w:type="dxa" w:w="3515"/>
          </w:tcPr>
          <w:p>
            <w:pPr>
              <w:spacing w:after="40"/>
            </w:pPr>
            <w:r>
              <w:rPr>
                <w:b w:val="0"/>
                <w:i w:val="0"/>
                <w:sz w:val="17"/>
              </w:rPr>
              <w:t>Выбор соседей: для каждой точки x_i найти k ближайших соседей (по евклидову расстоянию).</w:t>
            </w:r>
          </w:p>
        </w:tc>
        <w:tc>
          <w:tcPr>
            <w:tcW w:type="dxa" w:w="1474"/>
            <w:shd w:val="clear" w:color="auto" w:fill="E2F0D9"/>
          </w:tcPr>
          <w:p>
            <w:pPr>
              <w:spacing w:after="40"/>
            </w:pPr>
            <w:r>
              <w:rPr>
                <w:b/>
                <w:i w:val="0"/>
                <w:sz w:val="17"/>
              </w:rPr>
              <w:t>Совпадает</w:t>
            </w:r>
          </w:p>
        </w:tc>
        <w:tc>
          <w:tcPr>
            <w:tcW w:type="dxa" w:w="4932"/>
          </w:tcPr>
          <w:p>
            <w:pPr>
              <w:spacing w:after="40"/>
            </w:pPr>
            <w:r>
              <w:rPr>
                <w:b/>
                <w:i w:val="0"/>
                <w:sz w:val="17"/>
              </w:rPr>
              <w:t>Страницы в отчёте: [5] с. 2324</w:t>
            </w:r>
          </w:p>
          <w:p>
            <w:pPr>
              <w:spacing w:after="40"/>
            </w:pPr>
            <w:r>
              <w:rPr>
                <w:b w:val="0"/>
                <w:i/>
                <w:sz w:val="17"/>
              </w:rPr>
              <w:t>с. 2324: «(1) Assign neighbors to each data point (for example by using the K nearest neighbors). … as measured by Euclidean distance or normalized dot products»</w:t>
            </w:r>
          </w:p>
        </w:tc>
        <w:tc>
          <w:tcPr>
            <w:tcW w:type="dxa" w:w="5102"/>
          </w:tcPr>
          <w:p>
            <w:pPr>
              <w:spacing w:after="40"/>
            </w:pPr>
            <w:r>
              <w:rPr>
                <w:b w:val="0"/>
                <w:i w:val="0"/>
                <w:sz w:val="17"/>
              </w:rPr>
              <w:t>(текст сохранён)</w:t>
            </w:r>
          </w:p>
          <w:p>
            <w:pPr>
              <w:spacing w:after="40"/>
            </w:pPr>
            <w:r>
              <w:rPr>
                <w:b w:val="0"/>
                <w:i w:val="0"/>
                <w:sz w:val="16"/>
              </w:rPr>
              <w:t>Пояснение: Подтверждено (рис. 2 и текст).</w:t>
            </w:r>
          </w:p>
        </w:tc>
      </w:tr>
      <w:tr>
        <w:tc>
          <w:tcPr>
            <w:tcW w:type="dxa" w:w="3515"/>
          </w:tcPr>
          <w:p>
            <w:pPr>
              <w:spacing w:after="40"/>
            </w:pPr>
            <w:r>
              <w:rPr>
                <w:b w:val="0"/>
                <w:i w:val="0"/>
                <w:sz w:val="17"/>
              </w:rPr>
              <w:t>Восстановление весов: найти веса W_{ij}, которые наилучшим образом (в смысле МНК) восстанавливают x_i из ее соседей x_j. Ограничения: Σ_j W_{ij} = 1, W_{ij} = 0, если x_j не является соседом x_i.</w:t>
            </w:r>
          </w:p>
        </w:tc>
        <w:tc>
          <w:tcPr>
            <w:tcW w:type="dxa" w:w="1474"/>
            <w:shd w:val="clear" w:color="auto" w:fill="E2F0D9"/>
          </w:tcPr>
          <w:p>
            <w:pPr>
              <w:spacing w:after="40"/>
            </w:pPr>
            <w:r>
              <w:rPr>
                <w:b/>
                <w:i w:val="0"/>
                <w:sz w:val="17"/>
              </w:rPr>
              <w:t>Совпадает</w:t>
            </w:r>
          </w:p>
        </w:tc>
        <w:tc>
          <w:tcPr>
            <w:tcW w:type="dxa" w:w="4932"/>
          </w:tcPr>
          <w:p>
            <w:pPr>
              <w:spacing w:after="40"/>
            </w:pPr>
            <w:r>
              <w:rPr>
                <w:b/>
                <w:i w:val="0"/>
                <w:sz w:val="17"/>
              </w:rPr>
              <w:t>Страницы в отчёте: [5] с. 2324</w:t>
            </w:r>
          </w:p>
          <w:p>
            <w:pPr>
              <w:spacing w:after="40"/>
            </w:pPr>
            <w:r>
              <w:rPr>
                <w:b w:val="0"/>
                <w:i/>
                <w:sz w:val="17"/>
              </w:rPr>
              <w:t>с. 2324: «enforcing W_ij = 0 if x_j does not belong to the set of neighbors of x_i; second, that the rows of the weight matrix sum to one: Σ_j W_ij = 1.»</w:t>
            </w:r>
          </w:p>
        </w:tc>
        <w:tc>
          <w:tcPr>
            <w:tcW w:type="dxa" w:w="5102"/>
          </w:tcPr>
          <w:p>
            <w:pPr>
              <w:spacing w:after="40"/>
            </w:pPr>
            <w:r>
              <w:rPr>
                <w:b w:val="0"/>
                <w:i w:val="0"/>
                <w:sz w:val="17"/>
              </w:rPr>
              <w:t>(текст сохранён)</w:t>
            </w:r>
          </w:p>
          <w:p>
            <w:pPr>
              <w:spacing w:after="40"/>
            </w:pPr>
            <w:r>
              <w:rPr>
                <w:b w:val="0"/>
                <w:i w:val="0"/>
                <w:sz w:val="16"/>
              </w:rPr>
              <w:t>Пояснение: Подтверждено.</w:t>
            </w:r>
          </w:p>
        </w:tc>
      </w:tr>
      <w:tr>
        <w:tc>
          <w:tcPr>
            <w:tcW w:type="dxa" w:w="3515"/>
          </w:tcPr>
          <w:p>
            <w:pPr>
              <w:spacing w:after="40"/>
            </w:pPr>
            <w:r>
              <w:rPr>
                <w:b w:val="0"/>
                <w:i w:val="0"/>
                <w:sz w:val="17"/>
              </w:rPr>
              <w:t>Построение вложения: найти низкоразмерные векторы y_i, которые минимизируют ошибку сохранения весов: Φ(Y) = Σ_i | y_i - Σ_j W_{ij} y_j |^2. Эта задача сводится к нахождению собственных векторов матрицы (I - W)^T (I - W).</w:t>
            </w:r>
          </w:p>
        </w:tc>
        <w:tc>
          <w:tcPr>
            <w:tcW w:type="dxa" w:w="1474"/>
            <w:shd w:val="clear" w:color="auto" w:fill="FFF2CC"/>
          </w:tcPr>
          <w:p>
            <w:pPr>
              <w:spacing w:after="40"/>
            </w:pPr>
            <w:r>
              <w:rPr>
                <w:b/>
                <w:i w:val="0"/>
                <w:sz w:val="17"/>
              </w:rPr>
              <w:t>Исправлено частично</w:t>
            </w:r>
          </w:p>
        </w:tc>
        <w:tc>
          <w:tcPr>
            <w:tcW w:type="dxa" w:w="4932"/>
          </w:tcPr>
          <w:p>
            <w:pPr>
              <w:spacing w:after="40"/>
            </w:pPr>
            <w:r>
              <w:rPr>
                <w:b/>
                <w:i w:val="0"/>
                <w:sz w:val="17"/>
              </w:rPr>
              <w:t>Страницы в отчёте: [5] с. 2324, прим. 9 на с. 2326</w:t>
            </w:r>
          </w:p>
          <w:p>
            <w:pPr>
              <w:spacing w:after="40"/>
            </w:pPr>
            <w:r>
              <w:rPr>
                <w:b w:val="0"/>
                <w:i/>
                <w:sz w:val="17"/>
              </w:rPr>
              <w:t>с. 2324: «choosing d-dimensional coordinates Y_i to minimize the embedding cost function Φ(Y) = Σ_i |Y_i − Σ_j W_ij Y_j|²»</w:t>
            </w:r>
          </w:p>
          <w:p>
            <w:pPr>
              <w:spacing w:after="40"/>
            </w:pPr>
            <w:r>
              <w:rPr>
                <w:b w:val="0"/>
                <w:i/>
                <w:sz w:val="17"/>
              </w:rPr>
              <w:t>с. 2326: «the matrix M can be stored and manipulated as the sparse matrix (I − W)ᵀ(I − W) … The bottom eigenvector of this matrix, which we discard, is the unit vector with all equal components»</w:t>
            </w:r>
          </w:p>
        </w:tc>
        <w:tc>
          <w:tcPr>
            <w:tcW w:type="dxa" w:w="5102"/>
          </w:tcPr>
          <w:p>
            <w:pPr>
              <w:spacing w:after="40"/>
            </w:pPr>
            <w:r>
              <w:rPr>
                <w:b w:val="0"/>
                <w:i w:val="0"/>
                <w:sz w:val="17"/>
              </w:rPr>
              <w:t>Построение вложения: найти низкоразмерные векторы y_i, которые минимизируют ошибку сохранения весов: Φ(Y) = Σ_i | y_i - Σ_j W_{ij} y_j |^2. Эта задача сводится к нахождению собственных векторов матрицы (I - W)^T (I - W): берутся d собственных векторов с наименьшими ненулевыми собственными значениями, а нижний собственный вектор (все компоненты равны) отбрасывается.</w:t>
            </w:r>
          </w:p>
          <w:p>
            <w:pPr>
              <w:spacing w:after="40"/>
            </w:pPr>
            <w:r>
              <w:rPr>
                <w:b w:val="0"/>
                <w:i w:val="0"/>
                <w:sz w:val="16"/>
              </w:rPr>
              <w:t>Пояснение: Формулы верны; добавлено уточнение из примечания 9 статьи.</w:t>
            </w:r>
          </w:p>
        </w:tc>
      </w:tr>
      <w:tr>
        <w:tc>
          <w:tcPr>
            <w:tcW w:type="dxa" w:w="3515"/>
          </w:tcPr>
          <w:p>
            <w:pPr>
              <w:spacing w:after="40"/>
            </w:pPr>
            <w:r>
              <w:rPr>
                <w:b w:val="0"/>
                <w:i w:val="0"/>
                <w:sz w:val="17"/>
              </w:rPr>
              <w:t>Достоинства:</w:t>
            </w:r>
          </w:p>
        </w:tc>
        <w:tc>
          <w:tcPr>
            <w:tcW w:type="dxa" w:w="1474"/>
            <w:shd w:val="clear" w:color="auto" w:fill="E2F0D9"/>
          </w:tcPr>
          <w:p>
            <w:pPr>
              <w:spacing w:after="40"/>
            </w:pPr>
            <w:r>
              <w:rPr>
                <w:b/>
                <w:i w:val="0"/>
                <w:sz w:val="17"/>
              </w:rPr>
              <w:t>Совпадает</w:t>
            </w:r>
          </w:p>
        </w:tc>
        <w:tc>
          <w:tcPr>
            <w:tcW w:type="dxa" w:w="4932"/>
          </w:tcPr>
          <w:p>
            <w:pPr>
              <w:spacing w:after="40"/>
            </w:pPr>
            <w:r>
              <w:rPr>
                <w:b/>
                <w:i w:val="0"/>
                <w:sz w:val="17"/>
              </w:rPr>
              <w:t>Страницы в отчёте: [5] с. 2323–2325</w:t>
            </w:r>
          </w:p>
        </w:tc>
        <w:tc>
          <w:tcPr>
            <w:tcW w:type="dxa" w:w="5102"/>
          </w:tcPr>
          <w:p>
            <w:pPr>
              <w:spacing w:after="40"/>
            </w:pPr>
            <w:r>
              <w:rPr>
                <w:b w:val="0"/>
                <w:i w:val="0"/>
                <w:sz w:val="17"/>
              </w:rPr>
              <w:t>(текст сохранён)</w:t>
            </w:r>
          </w:p>
        </w:tc>
      </w:tr>
      <w:tr>
        <w:tc>
          <w:tcPr>
            <w:tcW w:type="dxa" w:w="3515"/>
          </w:tcPr>
          <w:p>
            <w:pPr>
              <w:spacing w:after="40"/>
            </w:pPr>
            <w:r>
              <w:rPr>
                <w:b w:val="0"/>
                <w:i w:val="0"/>
                <w:sz w:val="17"/>
              </w:rPr>
              <w:t>Сохраняет локальную геометрию данных.</w:t>
            </w:r>
          </w:p>
        </w:tc>
        <w:tc>
          <w:tcPr>
            <w:tcW w:type="dxa" w:w="1474"/>
            <w:shd w:val="clear" w:color="auto" w:fill="E2F0D9"/>
          </w:tcPr>
          <w:p>
            <w:pPr>
              <w:spacing w:after="40"/>
            </w:pPr>
            <w:r>
              <w:rPr>
                <w:b/>
                <w:i w:val="0"/>
                <w:sz w:val="17"/>
              </w:rPr>
              <w:t>Совпадает</w:t>
            </w:r>
          </w:p>
        </w:tc>
        <w:tc>
          <w:tcPr>
            <w:tcW w:type="dxa" w:w="4932"/>
          </w:tcPr>
          <w:p>
            <w:pPr>
              <w:spacing w:after="40"/>
            </w:pPr>
            <w:r>
              <w:rPr>
                <w:b/>
                <w:i w:val="0"/>
                <w:sz w:val="17"/>
              </w:rPr>
              <w:t>Страницы в отчёте: [5] с. 2323</w:t>
            </w:r>
          </w:p>
          <w:p>
            <w:pPr>
              <w:spacing w:after="40"/>
            </w:pPr>
            <w:r>
              <w:rPr>
                <w:b w:val="0"/>
                <w:i/>
                <w:sz w:val="17"/>
              </w:rPr>
              <w:t>с. 2323: «LLE … computes low-dimensional, neighborhood-preserving embeddings of high-dimensional inputs.»</w:t>
            </w:r>
          </w:p>
        </w:tc>
        <w:tc>
          <w:tcPr>
            <w:tcW w:type="dxa" w:w="5102"/>
          </w:tcPr>
          <w:p>
            <w:pPr>
              <w:spacing w:after="40"/>
            </w:pPr>
            <w:r>
              <w:rPr>
                <w:b w:val="0"/>
                <w:i w:val="0"/>
                <w:sz w:val="17"/>
              </w:rPr>
              <w:t>(текст сохранён)</w:t>
            </w:r>
          </w:p>
          <w:p>
            <w:pPr>
              <w:spacing w:after="40"/>
            </w:pPr>
            <w:r>
              <w:rPr>
                <w:b w:val="0"/>
                <w:i w:val="0"/>
                <w:sz w:val="16"/>
              </w:rPr>
              <w:t>Пояснение: Подтверждено.</w:t>
            </w:r>
          </w:p>
        </w:tc>
      </w:tr>
      <w:tr>
        <w:tc>
          <w:tcPr>
            <w:tcW w:type="dxa" w:w="3515"/>
          </w:tcPr>
          <w:p>
            <w:pPr>
              <w:spacing w:after="40"/>
            </w:pPr>
            <w:r>
              <w:rPr>
                <w:b w:val="0"/>
                <w:i w:val="0"/>
                <w:sz w:val="17"/>
              </w:rPr>
              <w:t>Имеет всего один ключевой гиперпараметр — число соседей k.</w:t>
            </w:r>
          </w:p>
        </w:tc>
        <w:tc>
          <w:tcPr>
            <w:tcW w:type="dxa" w:w="1474"/>
            <w:shd w:val="clear" w:color="auto" w:fill="E2F0D9"/>
          </w:tcPr>
          <w:p>
            <w:pPr>
              <w:spacing w:after="40"/>
            </w:pPr>
            <w:r>
              <w:rPr>
                <w:b/>
                <w:i w:val="0"/>
                <w:sz w:val="17"/>
              </w:rPr>
              <w:t>Совпадает</w:t>
            </w:r>
          </w:p>
        </w:tc>
        <w:tc>
          <w:tcPr>
            <w:tcW w:type="dxa" w:w="4932"/>
          </w:tcPr>
          <w:p>
            <w:pPr>
              <w:spacing w:after="40"/>
            </w:pPr>
            <w:r>
              <w:rPr>
                <w:b/>
                <w:i w:val="0"/>
                <w:sz w:val="17"/>
              </w:rPr>
              <w:t>Страницы в отчёте: [5] с. 2324</w:t>
            </w:r>
          </w:p>
          <w:p>
            <w:pPr>
              <w:spacing w:after="40"/>
            </w:pPr>
            <w:r>
              <w:rPr>
                <w:b w:val="0"/>
                <w:i/>
                <w:sz w:val="17"/>
              </w:rPr>
              <w:t>с. 2324: «the algorithm has only one free parameter: the number of neighbors, K.»</w:t>
            </w:r>
          </w:p>
        </w:tc>
        <w:tc>
          <w:tcPr>
            <w:tcW w:type="dxa" w:w="5102"/>
          </w:tcPr>
          <w:p>
            <w:pPr>
              <w:spacing w:after="40"/>
            </w:pPr>
            <w:r>
              <w:rPr>
                <w:b w:val="0"/>
                <w:i w:val="0"/>
                <w:sz w:val="17"/>
              </w:rPr>
              <w:t>(текст сохранён)</w:t>
            </w:r>
          </w:p>
          <w:p>
            <w:pPr>
              <w:spacing w:after="40"/>
            </w:pPr>
            <w:r>
              <w:rPr>
                <w:b w:val="0"/>
                <w:i w:val="0"/>
                <w:sz w:val="16"/>
              </w:rPr>
              <w:t>Пояснение: Подтверждено.</w:t>
            </w:r>
          </w:p>
        </w:tc>
      </w:tr>
      <w:tr>
        <w:tc>
          <w:tcPr>
            <w:tcW w:type="dxa" w:w="3515"/>
          </w:tcPr>
          <w:p>
            <w:pPr>
              <w:spacing w:after="40"/>
            </w:pPr>
            <w:r>
              <w:rPr>
                <w:b w:val="0"/>
                <w:i w:val="0"/>
                <w:sz w:val="17"/>
              </w:rPr>
              <w:t>Не требует итеративной оптимизации (решается через разложение по собственным векторам).</w:t>
            </w:r>
          </w:p>
        </w:tc>
        <w:tc>
          <w:tcPr>
            <w:tcW w:type="dxa" w:w="1474"/>
            <w:shd w:val="clear" w:color="auto" w:fill="E2F0D9"/>
          </w:tcPr>
          <w:p>
            <w:pPr>
              <w:spacing w:after="40"/>
            </w:pPr>
            <w:r>
              <w:rPr>
                <w:b/>
                <w:i w:val="0"/>
                <w:sz w:val="17"/>
              </w:rPr>
              <w:t>Совпадает</w:t>
            </w:r>
          </w:p>
        </w:tc>
        <w:tc>
          <w:tcPr>
            <w:tcW w:type="dxa" w:w="4932"/>
          </w:tcPr>
          <w:p>
            <w:pPr>
              <w:spacing w:after="40"/>
            </w:pPr>
            <w:r>
              <w:rPr>
                <w:b/>
                <w:i w:val="0"/>
                <w:sz w:val="17"/>
              </w:rPr>
              <w:t>Страницы в отчёте: [5] с. 2323, 2325</w:t>
            </w:r>
          </w:p>
          <w:p>
            <w:pPr>
              <w:spacing w:after="40"/>
            </w:pPr>
            <w:r>
              <w:rPr>
                <w:b w:val="0"/>
                <w:i/>
                <w:sz w:val="17"/>
              </w:rPr>
              <w:t>с. 2323: «… its optimizations do not involve local minima.»</w:t>
            </w:r>
          </w:p>
          <w:p>
            <w:pPr>
              <w:spacing w:after="40"/>
            </w:pPr>
            <w:r>
              <w:rPr>
                <w:b w:val="0"/>
                <w:i/>
                <w:sz w:val="17"/>
              </w:rPr>
              <w:t>с. 2325: «The algorithm involves a single pass through the three steps in Fig. 2 and finds global minima of the reconstruction and embedding costs»</w:t>
            </w:r>
          </w:p>
        </w:tc>
        <w:tc>
          <w:tcPr>
            <w:tcW w:type="dxa" w:w="5102"/>
          </w:tcPr>
          <w:p>
            <w:pPr>
              <w:spacing w:after="40"/>
            </w:pPr>
            <w:r>
              <w:rPr>
                <w:b w:val="0"/>
                <w:i w:val="0"/>
                <w:sz w:val="17"/>
              </w:rPr>
              <w:t>(текст сохранён)</w:t>
            </w:r>
          </w:p>
          <w:p>
            <w:pPr>
              <w:spacing w:after="40"/>
            </w:pPr>
            <w:r>
              <w:rPr>
                <w:b w:val="0"/>
                <w:i w:val="0"/>
                <w:sz w:val="16"/>
              </w:rPr>
              <w:t>Пояснение: Подтверждено.</w:t>
            </w:r>
          </w:p>
        </w:tc>
      </w:tr>
      <w:tr>
        <w:tc>
          <w:tcPr>
            <w:tcW w:type="dxa" w:w="3515"/>
          </w:tcPr>
          <w:p>
            <w:pPr>
              <w:spacing w:after="40"/>
            </w:pPr>
            <w:r>
              <w:rPr>
                <w:b w:val="0"/>
                <w:i w:val="0"/>
                <w:sz w:val="17"/>
              </w:rPr>
              <w:t>Недостатки и модификации:</w:t>
            </w:r>
          </w:p>
        </w:tc>
        <w:tc>
          <w:tcPr>
            <w:tcW w:type="dxa" w:w="1474"/>
            <w:shd w:val="clear" w:color="auto" w:fill="E2F0D9"/>
          </w:tcPr>
          <w:p>
            <w:pPr>
              <w:spacing w:after="40"/>
            </w:pPr>
            <w:r>
              <w:rPr>
                <w:b/>
                <w:i w:val="0"/>
                <w:sz w:val="17"/>
              </w:rPr>
              <w:t>Совпадает</w:t>
            </w:r>
          </w:p>
        </w:tc>
        <w:tc>
          <w:tcPr>
            <w:tcW w:type="dxa" w:w="4932"/>
          </w:tcPr>
          <w:p>
            <w:pPr>
              <w:spacing w:after="40"/>
            </w:pPr>
            <w:r>
              <w:rPr>
                <w:b/>
                <w:i w:val="0"/>
                <w:sz w:val="17"/>
              </w:rPr>
              <w:t>Страницы в отчёте: [5] с. 2325–2326</w:t>
            </w:r>
          </w:p>
        </w:tc>
        <w:tc>
          <w:tcPr>
            <w:tcW w:type="dxa" w:w="5102"/>
          </w:tcPr>
          <w:p>
            <w:pPr>
              <w:spacing w:after="40"/>
            </w:pPr>
            <w:r>
              <w:rPr>
                <w:b w:val="0"/>
                <w:i w:val="0"/>
                <w:sz w:val="17"/>
              </w:rPr>
              <w:t>(текст сохранён)</w:t>
            </w:r>
          </w:p>
        </w:tc>
      </w:tr>
      <w:tr>
        <w:tc>
          <w:tcPr>
            <w:tcW w:type="dxa" w:w="3515"/>
          </w:tcPr>
          <w:p>
            <w:pPr>
              <w:spacing w:after="40"/>
            </w:pPr>
            <w:r>
              <w:rPr>
                <w:b w:val="0"/>
                <w:i w:val="0"/>
                <w:sz w:val="17"/>
              </w:rPr>
              <w:t>Проблема с новыми данными (Out-of-Sample Problem): нет явной функции проекции. Для нового объекта нужно перезапускать алгоритм заново или строить аппроксиматор.</w:t>
            </w:r>
          </w:p>
        </w:tc>
        <w:tc>
          <w:tcPr>
            <w:tcW w:type="dxa" w:w="1474"/>
            <w:shd w:val="clear" w:color="auto" w:fill="E2F0D9"/>
          </w:tcPr>
          <w:p>
            <w:pPr>
              <w:spacing w:after="40"/>
            </w:pPr>
            <w:r>
              <w:rPr>
                <w:b/>
                <w:i w:val="0"/>
                <w:sz w:val="17"/>
              </w:rPr>
              <w:t>Совпадает</w:t>
            </w:r>
          </w:p>
        </w:tc>
        <w:tc>
          <w:tcPr>
            <w:tcW w:type="dxa" w:w="4932"/>
          </w:tcPr>
          <w:p>
            <w:pPr>
              <w:spacing w:after="40"/>
            </w:pPr>
            <w:r>
              <w:rPr>
                <w:b/>
                <w:i w:val="0"/>
                <w:sz w:val="17"/>
              </w:rPr>
              <w:t>Страницы в отчёте: [5] с. 2325</w:t>
            </w:r>
          </w:p>
          <w:p>
            <w:pPr>
              <w:spacing w:after="40"/>
            </w:pPr>
            <w:r>
              <w:rPr>
                <w:b w:val="0"/>
                <w:i/>
                <w:sz w:val="17"/>
              </w:rPr>
              <w:t>с. 2325: «a parametric mapping between the observation and embedding spaces could be learned by supervised neural networks whose target values are generated by LLE.»</w:t>
            </w:r>
          </w:p>
        </w:tc>
        <w:tc>
          <w:tcPr>
            <w:tcW w:type="dxa" w:w="5102"/>
          </w:tcPr>
          <w:p>
            <w:pPr>
              <w:spacing w:after="40"/>
            </w:pPr>
            <w:r>
              <w:rPr>
                <w:b w:val="0"/>
                <w:i w:val="0"/>
                <w:sz w:val="17"/>
              </w:rPr>
              <w:t>(текст сохранён)</w:t>
            </w:r>
          </w:p>
          <w:p>
            <w:pPr>
              <w:spacing w:after="40"/>
            </w:pPr>
            <w:r>
              <w:rPr>
                <w:b w:val="0"/>
                <w:i w:val="0"/>
                <w:sz w:val="16"/>
              </w:rPr>
              <w:t>Пояснение: Согласуется с источником: статья предлагает обучать параметрическое отображение на результатах LLE.</w:t>
            </w:r>
          </w:p>
        </w:tc>
      </w:tr>
      <w:tr>
        <w:tc>
          <w:tcPr>
            <w:tcW w:type="dxa" w:w="3515"/>
          </w:tcPr>
          <w:p>
            <w:pPr>
              <w:spacing w:after="40"/>
            </w:pPr>
            <w:r>
              <w:rPr>
                <w:b w:val="0"/>
                <w:i w:val="0"/>
                <w:sz w:val="17"/>
              </w:rPr>
              <w:t>Модификации:</w:t>
            </w:r>
          </w:p>
        </w:tc>
        <w:tc>
          <w:tcPr>
            <w:tcW w:type="dxa" w:w="1474"/>
            <w:shd w:val="clear" w:color="auto" w:fill="E2F0D9"/>
          </w:tcPr>
          <w:p>
            <w:pPr>
              <w:spacing w:after="40"/>
            </w:pPr>
            <w:r>
              <w:rPr>
                <w:b/>
                <w:i w:val="0"/>
                <w:sz w:val="17"/>
              </w:rPr>
              <w:t>Совпадает</w:t>
            </w:r>
          </w:p>
        </w:tc>
        <w:tc>
          <w:tcPr>
            <w:tcW w:type="dxa" w:w="4932"/>
          </w:tcPr>
          <w:p>
            <w:pPr>
              <w:spacing w:after="40"/>
            </w:pPr>
            <w:r>
              <w:rPr>
                <w:b/>
                <w:i w:val="0"/>
                <w:sz w:val="17"/>
              </w:rPr>
              <w:t>Страницы в отчёте: [5] с. 2325–2326; [1] с. 9–10</w:t>
            </w:r>
          </w:p>
        </w:tc>
        <w:tc>
          <w:tcPr>
            <w:tcW w:type="dxa" w:w="5102"/>
          </w:tcPr>
          <w:p>
            <w:pPr>
              <w:spacing w:after="40"/>
            </w:pPr>
            <w:r>
              <w:rPr>
                <w:b w:val="0"/>
                <w:i w:val="0"/>
                <w:sz w:val="17"/>
              </w:rPr>
              <w:t>(текст сохранён)</w:t>
            </w:r>
          </w:p>
        </w:tc>
      </w:tr>
      <w:tr>
        <w:tc>
          <w:tcPr>
            <w:tcW w:type="dxa" w:w="3515"/>
          </w:tcPr>
          <w:p>
            <w:pPr>
              <w:spacing w:after="40"/>
            </w:pPr>
            <w:r>
              <w:rPr>
                <w:b w:val="0"/>
                <w:i w:val="0"/>
                <w:sz w:val="17"/>
              </w:rPr>
              <w:t>Hessian LLE: более устойчива к шуму.</w:t>
            </w:r>
          </w:p>
        </w:tc>
        <w:tc>
          <w:tcPr>
            <w:tcW w:type="dxa" w:w="1474"/>
            <w:shd w:val="clear" w:color="auto" w:fill="FCE4D6"/>
          </w:tcPr>
          <w:p>
            <w:pPr>
              <w:spacing w:after="40"/>
            </w:pPr>
            <w:r>
              <w:rPr>
                <w:b/>
                <w:i w:val="0"/>
                <w:sz w:val="17"/>
              </w:rPr>
              <w:t>Не совпадало — заменено</w:t>
            </w:r>
          </w:p>
        </w:tc>
        <w:tc>
          <w:tcPr>
            <w:tcW w:type="dxa" w:w="4932"/>
          </w:tcPr>
          <w:p>
            <w:pPr>
              <w:spacing w:after="40"/>
            </w:pPr>
            <w:r>
              <w:rPr>
                <w:b/>
                <w:i w:val="0"/>
                <w:sz w:val="17"/>
              </w:rPr>
              <w:t>Страницы в отчёте: [1] с. 9–10</w:t>
            </w:r>
          </w:p>
          <w:p>
            <w:pPr>
              <w:spacing w:after="40"/>
            </w:pPr>
            <w:r>
              <w:rPr>
                <w:b w:val="0"/>
                <w:i/>
                <w:sz w:val="17"/>
              </w:rPr>
              <w:t>с. 9: «Hessian LLE (HLLE) is a variant of LLE that minimizes the ‘curviness’ of the high-dimensional manifold when embedding it into a low-dimensional space, under the constraint that the low-dimensional data representation is locally isometric.»</w:t>
            </w:r>
          </w:p>
          <w:p>
            <w:pPr>
              <w:spacing w:after="40"/>
            </w:pPr>
            <w:r>
              <w:rPr>
                <w:b w:val="0"/>
                <w:i/>
                <w:sz w:val="17"/>
              </w:rPr>
              <w:t>с. 10: «Hessian LLE suffers from many of the same weaknesses as Laplacian Eigenmaps and LLE.»</w:t>
            </w:r>
          </w:p>
        </w:tc>
        <w:tc>
          <w:tcPr>
            <w:tcW w:type="dxa" w:w="5102"/>
          </w:tcPr>
          <w:p>
            <w:pPr>
              <w:spacing w:after="40"/>
            </w:pPr>
            <w:r>
              <w:rPr>
                <w:b w:val="0"/>
                <w:i w:val="0"/>
                <w:sz w:val="17"/>
              </w:rPr>
              <w:t>Hessian LLE: вариант LLE, минимизирующий «кривизну» многообразия (локальный гессиан) при условии, что низкоразмерное представление локально изометрично; разделяет многие слабые стороны LLE и Laplacian Eigenmaps.</w:t>
            </w:r>
          </w:p>
          <w:p>
            <w:pPr>
              <w:spacing w:after="40"/>
            </w:pPr>
            <w:r>
              <w:rPr>
                <w:b w:val="0"/>
                <w:i w:val="0"/>
                <w:sz w:val="16"/>
              </w:rPr>
              <w:t>Пояснение: Утверждение «более устойчива к шуму» в источнике не подтверждено; в статье [1] сказано, что Hessian LLE разделяет слабые стороны LLE. Описание этого варианта также отсутствует в статье Roweis–Saul, поэтому ссылка на обзор [1].</w:t>
            </w:r>
          </w:p>
        </w:tc>
      </w:tr>
      <w:tr>
        <w:tc>
          <w:tcPr>
            <w:tcW w:type="dxa" w:w="3515"/>
          </w:tcPr>
          <w:p>
            <w:pPr>
              <w:spacing w:after="40"/>
            </w:pPr>
            <w:r>
              <w:rPr>
                <w:b w:val="0"/>
                <w:i w:val="0"/>
                <w:sz w:val="17"/>
              </w:rPr>
              <w:t>Modified LLE: использует регуляризацию при вычислении весов.</w:t>
            </w:r>
          </w:p>
        </w:tc>
        <w:tc>
          <w:tcPr>
            <w:tcW w:type="dxa" w:w="1474"/>
            <w:shd w:val="clear" w:color="auto" w:fill="FCE4D6"/>
          </w:tcPr>
          <w:p>
            <w:pPr>
              <w:spacing w:after="40"/>
            </w:pPr>
            <w:r>
              <w:rPr>
                <w:b/>
                <w:i w:val="0"/>
                <w:sz w:val="17"/>
              </w:rPr>
              <w:t>Не совпадало — заменено</w:t>
            </w:r>
          </w:p>
        </w:tc>
        <w:tc>
          <w:tcPr>
            <w:tcW w:type="dxa" w:w="4932"/>
          </w:tcPr>
          <w:p>
            <w:pPr>
              <w:spacing w:after="40"/>
            </w:pPr>
            <w:r>
              <w:rPr>
                <w:b/>
                <w:i w:val="0"/>
                <w:sz w:val="17"/>
              </w:rPr>
              <w:t>Страницы в отчёте: [5] прим. 7, с. 2325–2326</w:t>
            </w:r>
          </w:p>
          <w:p>
            <w:pPr>
              <w:spacing w:after="40"/>
            </w:pPr>
            <w:r>
              <w:rPr>
                <w:b w:val="0"/>
                <w:i/>
                <w:sz w:val="17"/>
              </w:rPr>
              <w:t>с. 2325–2326: «If the correlation matrix C is nearly singular, it can be conditioned (before inversion) by adding a small multiple of the identity matrix. This amounts to penalizing large weights …»</w:t>
            </w:r>
          </w:p>
        </w:tc>
        <w:tc>
          <w:tcPr>
            <w:tcW w:type="dxa" w:w="5102"/>
          </w:tcPr>
          <w:p>
            <w:pPr>
              <w:spacing w:after="40"/>
            </w:pPr>
            <w:r>
              <w:rPr>
                <w:b w:val="0"/>
                <w:i w:val="0"/>
                <w:sz w:val="17"/>
              </w:rPr>
              <w:t>Регуляризация при вычислении весов: если матрица корреляций соседей C почти вырождена, её обусловливают (перед обращением), прибавляя малое кратное единичной матрицы; это штрафует большие веса.</w:t>
            </w:r>
          </w:p>
          <w:p>
            <w:pPr>
              <w:spacing w:after="40"/>
            </w:pPr>
            <w:r>
              <w:rPr>
                <w:b w:val="0"/>
                <w:i w:val="0"/>
                <w:sz w:val="16"/>
              </w:rPr>
              <w:t>Пояснение: Название «Modified LLE» в статье не встречается; идея регуляризации весов описана в примечании 7.</w:t>
            </w:r>
          </w:p>
        </w:tc>
      </w:tr>
      <w:tr>
        <w:tc>
          <w:tcPr>
            <w:tcW w:type="dxa" w:w="3515"/>
          </w:tcPr>
          <w:p>
            <w:pPr>
              <w:spacing w:after="40"/>
            </w:pPr>
            <w:r>
              <w:rPr>
                <w:b w:val="0"/>
                <w:i w:val="0"/>
                <w:sz w:val="17"/>
              </w:rPr>
              <w:t>Local Tangent Space Alignment (LTSA): выравнивает локальные касательные пространства вместо использования весов реконструкции.</w:t>
            </w:r>
          </w:p>
        </w:tc>
        <w:tc>
          <w:tcPr>
            <w:tcW w:type="dxa" w:w="1474"/>
            <w:shd w:val="clear" w:color="auto" w:fill="FFF2CC"/>
          </w:tcPr>
          <w:p>
            <w:pPr>
              <w:spacing w:after="40"/>
            </w:pPr>
            <w:r>
              <w:rPr>
                <w:b/>
                <w:i w:val="0"/>
                <w:sz w:val="17"/>
              </w:rPr>
              <w:t>Исправлено частично</w:t>
            </w:r>
          </w:p>
        </w:tc>
        <w:tc>
          <w:tcPr>
            <w:tcW w:type="dxa" w:w="4932"/>
          </w:tcPr>
          <w:p>
            <w:pPr>
              <w:spacing w:after="40"/>
            </w:pPr>
            <w:r>
              <w:rPr>
                <w:b/>
                <w:i w:val="0"/>
                <w:sz w:val="17"/>
              </w:rPr>
              <w:t>Страницы в отчёте: [1] с. 10</w:t>
            </w:r>
          </w:p>
          <w:p>
            <w:pPr>
              <w:spacing w:after="40"/>
            </w:pPr>
            <w:r>
              <w:rPr>
                <w:b w:val="0"/>
                <w:i/>
                <w:sz w:val="17"/>
              </w:rPr>
              <w:t>с. 10: «LTSA attempts to align these linear mappings in such a way, that they construct the local tangent space of the manifold from the low-dimensional representation.»</w:t>
            </w:r>
          </w:p>
        </w:tc>
        <w:tc>
          <w:tcPr>
            <w:tcW w:type="dxa" w:w="5102"/>
          </w:tcPr>
          <w:p>
            <w:pPr>
              <w:spacing w:after="40"/>
            </w:pPr>
            <w:r>
              <w:rPr>
                <w:b w:val="0"/>
                <w:i w:val="0"/>
                <w:sz w:val="17"/>
              </w:rPr>
              <w:t>Local Tangent Space Alignment (LTSA): описывает локальные свойства данных с помощью локального касательного пространства каждой точки и выравнивает линейные отображения в эти пространства вместо использования весов реконструкции.</w:t>
            </w:r>
          </w:p>
          <w:p>
            <w:pPr>
              <w:spacing w:after="40"/>
            </w:pPr>
            <w:r>
              <w:rPr>
                <w:b w:val="0"/>
                <w:i w:val="0"/>
                <w:sz w:val="16"/>
              </w:rPr>
              <w:t>Пояснение: Смысл верный; описание LTSA есть в обзоре [1], а не в статье Roweis–Saul.</w:t>
            </w:r>
          </w:p>
        </w:tc>
      </w:tr>
    </w:tbl>
    <w:p>
      <w:pPr>
        <w:pStyle w:val="Heading2"/>
      </w:pPr>
      <w:r>
        <w:t>3.2. Isomap</w:t>
      </w:r>
    </w:p>
    <w:tbl>
      <w:tblPr>
        <w:tblStyle w:val="TableGrid"/>
        <w:tblW w:type="auto" w:w="0"/>
        <w:tblLook w:firstColumn="1" w:firstRow="1" w:lastColumn="0" w:lastRow="0" w:noHBand="0" w:noVBand="1" w:val="04A0"/>
      </w:tblPr>
      <w:tblGrid>
        <w:gridCol w:w="3535"/>
        <w:gridCol w:w="3535"/>
        <w:gridCol w:w="3535"/>
        <w:gridCol w:w="3535"/>
      </w:tblGrid>
      <w:tr>
        <w:tc>
          <w:tcPr>
            <w:tcW w:type="dxa" w:w="3515"/>
            <w:shd w:val="clear" w:color="auto" w:fill="BFBFBF"/>
          </w:tcPr>
          <w:p>
            <w:pPr>
              <w:spacing w:after="40"/>
            </w:pPr>
            <w:r>
              <w:rPr>
                <w:b/>
                <w:i w:val="0"/>
                <w:sz w:val="18"/>
              </w:rPr>
              <w:t>Было в отчёте</w:t>
            </w:r>
          </w:p>
        </w:tc>
        <w:tc>
          <w:tcPr>
            <w:tcW w:type="dxa" w:w="1474"/>
            <w:shd w:val="clear" w:color="auto" w:fill="BFBFBF"/>
          </w:tcPr>
          <w:p>
            <w:pPr>
              <w:spacing w:after="40"/>
            </w:pPr>
            <w:r>
              <w:rPr>
                <w:b/>
                <w:i w:val="0"/>
                <w:sz w:val="18"/>
              </w:rPr>
              <w:t>Статус</w:t>
            </w:r>
          </w:p>
        </w:tc>
        <w:tc>
          <w:tcPr>
            <w:tcW w:type="dxa" w:w="4932"/>
            <w:shd w:val="clear" w:color="auto" w:fill="BFBFBF"/>
          </w:tcPr>
          <w:p>
            <w:pPr>
              <w:spacing w:after="40"/>
            </w:pPr>
            <w:r>
              <w:rPr>
                <w:b/>
                <w:i w:val="0"/>
                <w:sz w:val="18"/>
              </w:rPr>
              <w:t>Источник: страница и цитата</w:t>
            </w:r>
          </w:p>
        </w:tc>
        <w:tc>
          <w:tcPr>
            <w:tcW w:type="dxa" w:w="5102"/>
            <w:shd w:val="clear" w:color="auto" w:fill="BFBFBF"/>
          </w:tcPr>
          <w:p>
            <w:pPr>
              <w:spacing w:after="40"/>
            </w:pPr>
            <w:r>
              <w:rPr>
                <w:b/>
                <w:i w:val="0"/>
                <w:sz w:val="18"/>
              </w:rPr>
              <w:t>Стало / что исправлено</w:t>
            </w:r>
          </w:p>
        </w:tc>
      </w:tr>
      <w:tr>
        <w:tc>
          <w:tcPr>
            <w:tcW w:type="dxa" w:w="3515"/>
          </w:tcPr>
          <w:p>
            <w:pPr>
              <w:spacing w:after="40"/>
            </w:pPr>
            <w:r>
              <w:rPr>
                <w:b w:val="0"/>
                <w:i w:val="0"/>
                <w:sz w:val="17"/>
              </w:rPr>
              <w:t>3.2. Изометрическое отображение (Isomap)</w:t>
            </w:r>
          </w:p>
        </w:tc>
        <w:tc>
          <w:tcPr>
            <w:tcW w:type="dxa" w:w="1474"/>
            <w:shd w:val="clear" w:color="auto" w:fill="E2F0D9"/>
          </w:tcPr>
          <w:p>
            <w:pPr>
              <w:spacing w:after="40"/>
            </w:pPr>
            <w:r>
              <w:rPr>
                <w:b/>
                <w:i w:val="0"/>
                <w:sz w:val="17"/>
              </w:rPr>
              <w:t>Совпадает</w:t>
            </w:r>
          </w:p>
        </w:tc>
        <w:tc>
          <w:tcPr>
            <w:tcW w:type="dxa" w:w="4932"/>
          </w:tcPr>
          <w:p>
            <w:pPr>
              <w:spacing w:after="40"/>
            </w:pPr>
            <w:r>
              <w:rPr>
                <w:b/>
                <w:i w:val="0"/>
                <w:sz w:val="17"/>
              </w:rPr>
              <w:t>Страницы в отчёте: [6] с. 2319–2323</w:t>
            </w:r>
          </w:p>
        </w:tc>
        <w:tc>
          <w:tcPr>
            <w:tcW w:type="dxa" w:w="5102"/>
          </w:tcPr>
          <w:p>
            <w:pPr>
              <w:spacing w:after="40"/>
            </w:pPr>
            <w:r>
              <w:rPr>
                <w:b w:val="0"/>
                <w:i w:val="0"/>
                <w:sz w:val="17"/>
              </w:rPr>
              <w:t>(текст сохранён)</w:t>
            </w:r>
          </w:p>
        </w:tc>
      </w:tr>
      <w:tr>
        <w:tc>
          <w:tcPr>
            <w:tcW w:type="dxa" w:w="3515"/>
          </w:tcPr>
          <w:p>
            <w:pPr>
              <w:spacing w:after="40"/>
            </w:pPr>
            <w:r>
              <w:rPr>
                <w:b w:val="0"/>
                <w:i w:val="0"/>
                <w:sz w:val="17"/>
              </w:rPr>
              <w:t>Идея: Isomap является нелинейным обобщением MDS. Вместо использования евклидовых расстояний между всеми парами точек (которые могут не отражать истинную геодезическую структуру на многообразии, как в примере "швейцарского рулета"), Isomap строит граф соседства и вычисляет геодезические расстояния как длины кратчайших путей в этом графе. Затем классический MDS применяется к матрице геодезических расстояний.</w:t>
            </w:r>
          </w:p>
        </w:tc>
        <w:tc>
          <w:tcPr>
            <w:tcW w:type="dxa" w:w="1474"/>
            <w:shd w:val="clear" w:color="auto" w:fill="E2F0D9"/>
          </w:tcPr>
          <w:p>
            <w:pPr>
              <w:spacing w:after="40"/>
            </w:pPr>
            <w:r>
              <w:rPr>
                <w:b/>
                <w:i w:val="0"/>
                <w:sz w:val="17"/>
              </w:rPr>
              <w:t>Совпадает</w:t>
            </w:r>
          </w:p>
        </w:tc>
        <w:tc>
          <w:tcPr>
            <w:tcW w:type="dxa" w:w="4932"/>
          </w:tcPr>
          <w:p>
            <w:pPr>
              <w:spacing w:after="40"/>
            </w:pPr>
            <w:r>
              <w:rPr>
                <w:b/>
                <w:i w:val="0"/>
                <w:sz w:val="17"/>
              </w:rPr>
              <w:t>Страницы в отчёте: [6] с. 2319–2320</w:t>
            </w:r>
          </w:p>
          <w:p>
            <w:pPr>
              <w:spacing w:after="40"/>
            </w:pPr>
            <w:r>
              <w:rPr>
                <w:b w:val="0"/>
                <w:i/>
                <w:sz w:val="17"/>
              </w:rPr>
              <w:t>с. 2320: «Isomap estimates the geodesic distances d_M(i, j) between all pairs of points on the manifold M by computing their shortest path distances d_G(i, j) in the graph G. … The final step applies classical MDS to the matrix of graph distances D_G»</w:t>
            </w:r>
          </w:p>
          <w:p>
            <w:pPr>
              <w:spacing w:after="40"/>
            </w:pPr>
            <w:r>
              <w:rPr>
                <w:b w:val="0"/>
                <w:i/>
                <w:sz w:val="17"/>
              </w:rPr>
              <w:t>с. 2319: «Classical MDS finds an embedding that preserves the interpoint distances, equivalent to PCA when those distances are Euclidean.»</w:t>
            </w:r>
          </w:p>
        </w:tc>
        <w:tc>
          <w:tcPr>
            <w:tcW w:type="dxa" w:w="5102"/>
          </w:tcPr>
          <w:p>
            <w:pPr>
              <w:spacing w:after="40"/>
            </w:pPr>
            <w:r>
              <w:rPr>
                <w:b w:val="0"/>
                <w:i w:val="0"/>
                <w:sz w:val="17"/>
              </w:rPr>
              <w:t>(текст сохранён)</w:t>
            </w:r>
          </w:p>
          <w:p>
            <w:pPr>
              <w:spacing w:after="40"/>
            </w:pPr>
            <w:r>
              <w:rPr>
                <w:b w:val="0"/>
                <w:i w:val="0"/>
                <w:sz w:val="16"/>
              </w:rPr>
              <w:t>Пояснение: Подтверждено.</w:t>
            </w:r>
          </w:p>
        </w:tc>
      </w:tr>
      <w:tr>
        <w:tc>
          <w:tcPr>
            <w:tcW w:type="dxa" w:w="3515"/>
          </w:tcPr>
          <w:p>
            <w:pPr>
              <w:spacing w:after="40"/>
            </w:pPr>
            <w:r>
              <w:rPr>
                <w:b w:val="0"/>
                <w:i w:val="0"/>
                <w:sz w:val="17"/>
              </w:rPr>
              <w:t>Алгоритм Isomap:</w:t>
            </w:r>
          </w:p>
        </w:tc>
        <w:tc>
          <w:tcPr>
            <w:tcW w:type="dxa" w:w="1474"/>
            <w:shd w:val="clear" w:color="auto" w:fill="E2F0D9"/>
          </w:tcPr>
          <w:p>
            <w:pPr>
              <w:spacing w:after="40"/>
            </w:pPr>
            <w:r>
              <w:rPr>
                <w:b/>
                <w:i w:val="0"/>
                <w:sz w:val="17"/>
              </w:rPr>
              <w:t>Совпадает</w:t>
            </w:r>
          </w:p>
        </w:tc>
        <w:tc>
          <w:tcPr>
            <w:tcW w:type="dxa" w:w="4932"/>
          </w:tcPr>
          <w:p>
            <w:pPr>
              <w:spacing w:after="40"/>
            </w:pPr>
            <w:r>
              <w:rPr>
                <w:b/>
                <w:i w:val="0"/>
                <w:sz w:val="17"/>
              </w:rPr>
              <w:t>Страницы в отчёте: [6] с. 2320</w:t>
            </w:r>
          </w:p>
          <w:p>
            <w:pPr>
              <w:spacing w:after="40"/>
            </w:pPr>
            <w:r>
              <w:rPr>
                <w:b w:val="0"/>
                <w:i/>
                <w:sz w:val="17"/>
              </w:rPr>
              <w:t>с. 2320: «The complete isometric feature mapping, or Isomap, algorithm has three steps»</w:t>
            </w:r>
          </w:p>
        </w:tc>
        <w:tc>
          <w:tcPr>
            <w:tcW w:type="dxa" w:w="5102"/>
          </w:tcPr>
          <w:p>
            <w:pPr>
              <w:spacing w:after="40"/>
            </w:pPr>
            <w:r>
              <w:rPr>
                <w:b w:val="0"/>
                <w:i w:val="0"/>
                <w:sz w:val="17"/>
              </w:rPr>
              <w:t>(текст сохранён)</w:t>
            </w:r>
          </w:p>
        </w:tc>
      </w:tr>
      <w:tr>
        <w:tc>
          <w:tcPr>
            <w:tcW w:type="dxa" w:w="3515"/>
          </w:tcPr>
          <w:p>
            <w:pPr>
              <w:spacing w:after="40"/>
            </w:pPr>
            <w:r>
              <w:rPr>
                <w:b w:val="0"/>
                <w:i w:val="0"/>
                <w:sz w:val="17"/>
              </w:rPr>
              <w:t>Построение графа соседства: для каждой точки найти k ближайших соседей (или всех соседей в радиусе ε) и соединить их ребрами, вес которых равен евклидову расстоянию.</w:t>
            </w:r>
          </w:p>
        </w:tc>
        <w:tc>
          <w:tcPr>
            <w:tcW w:type="dxa" w:w="1474"/>
            <w:shd w:val="clear" w:color="auto" w:fill="E2F0D9"/>
          </w:tcPr>
          <w:p>
            <w:pPr>
              <w:spacing w:after="40"/>
            </w:pPr>
            <w:r>
              <w:rPr>
                <w:b/>
                <w:i w:val="0"/>
                <w:sz w:val="17"/>
              </w:rPr>
              <w:t>Совпадает</w:t>
            </w:r>
          </w:p>
        </w:tc>
        <w:tc>
          <w:tcPr>
            <w:tcW w:type="dxa" w:w="4932"/>
          </w:tcPr>
          <w:p>
            <w:pPr>
              <w:spacing w:after="40"/>
            </w:pPr>
            <w:r>
              <w:rPr>
                <w:b/>
                <w:i w:val="0"/>
                <w:sz w:val="17"/>
              </w:rPr>
              <w:t>Страницы в отчёте: [6] с. 2320</w:t>
            </w:r>
          </w:p>
          <w:p>
            <w:pPr>
              <w:spacing w:after="40"/>
            </w:pPr>
            <w:r>
              <w:rPr>
                <w:b w:val="0"/>
                <w:i/>
                <w:sz w:val="17"/>
              </w:rPr>
              <w:t>с. 2320: «connect each point to all points within some fixed radius ε, or to all of its K nearest neighbors … weighted graph G over the data points, with edges of weight d_X(i, j)»</w:t>
            </w:r>
          </w:p>
        </w:tc>
        <w:tc>
          <w:tcPr>
            <w:tcW w:type="dxa" w:w="5102"/>
          </w:tcPr>
          <w:p>
            <w:pPr>
              <w:spacing w:after="40"/>
            </w:pPr>
            <w:r>
              <w:rPr>
                <w:b w:val="0"/>
                <w:i w:val="0"/>
                <w:sz w:val="17"/>
              </w:rPr>
              <w:t>(текст сохранён)</w:t>
            </w:r>
          </w:p>
          <w:p>
            <w:pPr>
              <w:spacing w:after="40"/>
            </w:pPr>
            <w:r>
              <w:rPr>
                <w:b w:val="0"/>
                <w:i w:val="0"/>
                <w:sz w:val="16"/>
              </w:rPr>
              <w:t>Пояснение: Подтверждено.</w:t>
            </w:r>
          </w:p>
        </w:tc>
      </w:tr>
      <w:tr>
        <w:tc>
          <w:tcPr>
            <w:tcW w:type="dxa" w:w="3515"/>
          </w:tcPr>
          <w:p>
            <w:pPr>
              <w:spacing w:after="40"/>
            </w:pPr>
            <w:r>
              <w:rPr>
                <w:b w:val="0"/>
                <w:i w:val="0"/>
                <w:sz w:val="17"/>
              </w:rPr>
              <w:t>Вычисление геодезических расстояний: вычислить матрицу попарных кратчайших расстояний в графе (алгоритм Флойда-Уоршелла или Дейкстры для разреженных графов). Это и есть оценка геодезических расстояний на многообразии.</w:t>
            </w:r>
          </w:p>
        </w:tc>
        <w:tc>
          <w:tcPr>
            <w:tcW w:type="dxa" w:w="1474"/>
            <w:shd w:val="clear" w:color="auto" w:fill="FFF2CC"/>
          </w:tcPr>
          <w:p>
            <w:pPr>
              <w:spacing w:after="40"/>
            </w:pPr>
            <w:r>
              <w:rPr>
                <w:b/>
                <w:i w:val="0"/>
                <w:sz w:val="17"/>
              </w:rPr>
              <w:t>Исправлено частично</w:t>
            </w:r>
          </w:p>
        </w:tc>
        <w:tc>
          <w:tcPr>
            <w:tcW w:type="dxa" w:w="4932"/>
          </w:tcPr>
          <w:p>
            <w:pPr>
              <w:spacing w:after="40"/>
            </w:pPr>
            <w:r>
              <w:rPr>
                <w:b/>
                <w:i w:val="0"/>
                <w:sz w:val="17"/>
              </w:rPr>
              <w:t>Страницы в отчёте: [6] с. 2320, прим. 16 на с. 2322</w:t>
            </w:r>
          </w:p>
          <w:p>
            <w:pPr>
              <w:spacing w:after="40"/>
            </w:pPr>
            <w:r>
              <w:rPr>
                <w:b w:val="0"/>
                <w:i/>
                <w:sz w:val="17"/>
              </w:rPr>
              <w:t>с. 2322: «16. This procedure, known as Floyd’s algorithm, requires O(N³) operations. More efficient algorithms exploiting the sparse structure of the neighborhood graph can be found (38).»</w:t>
            </w:r>
          </w:p>
        </w:tc>
        <w:tc>
          <w:tcPr>
            <w:tcW w:type="dxa" w:w="5102"/>
          </w:tcPr>
          <w:p>
            <w:pPr>
              <w:spacing w:after="40"/>
            </w:pPr>
            <w:r>
              <w:rPr>
                <w:b w:val="0"/>
                <w:i w:val="0"/>
                <w:sz w:val="17"/>
              </w:rPr>
              <w:t>Вычисление геодезических расстояний: вычислить матрицу попарных кратчайших расстояний в графе (простой алгоритм — алгоритм Флойда, O(N³) операций; для разреженных графов существуют более эффективные алгоритмы). Это и есть оценка геодезических расстояний на многообразии.</w:t>
            </w:r>
          </w:p>
          <w:p>
            <w:pPr>
              <w:spacing w:after="40"/>
            </w:pPr>
            <w:r>
              <w:rPr>
                <w:b w:val="0"/>
                <w:i w:val="0"/>
                <w:sz w:val="16"/>
              </w:rPr>
              <w:t>Пояснение: Алгоритм Дейкстры в статье не назван; указаны алгоритм Флойда и замечание о более эффективных алгоритмах для разреженных графов.</w:t>
            </w:r>
          </w:p>
        </w:tc>
      </w:tr>
      <w:tr>
        <w:tc>
          <w:tcPr>
            <w:tcW w:type="dxa" w:w="3515"/>
          </w:tcPr>
          <w:p>
            <w:pPr>
              <w:spacing w:after="40"/>
            </w:pPr>
            <w:r>
              <w:rPr>
                <w:b w:val="0"/>
                <w:i w:val="0"/>
                <w:sz w:val="17"/>
              </w:rPr>
              <w:t>Многомерное шкалирование: применить классический MDS к полученной матрице геодезических расстояний, чтобы получить низкоразмерное вложение.</w:t>
            </w:r>
          </w:p>
        </w:tc>
        <w:tc>
          <w:tcPr>
            <w:tcW w:type="dxa" w:w="1474"/>
            <w:shd w:val="clear" w:color="auto" w:fill="E2F0D9"/>
          </w:tcPr>
          <w:p>
            <w:pPr>
              <w:spacing w:after="40"/>
            </w:pPr>
            <w:r>
              <w:rPr>
                <w:b/>
                <w:i w:val="0"/>
                <w:sz w:val="17"/>
              </w:rPr>
              <w:t>Совпадает</w:t>
            </w:r>
          </w:p>
        </w:tc>
        <w:tc>
          <w:tcPr>
            <w:tcW w:type="dxa" w:w="4932"/>
          </w:tcPr>
          <w:p>
            <w:pPr>
              <w:spacing w:after="40"/>
            </w:pPr>
            <w:r>
              <w:rPr>
                <w:b/>
                <w:i w:val="0"/>
                <w:sz w:val="17"/>
              </w:rPr>
              <w:t>Страницы в отчёте: [6] с. 2320</w:t>
            </w:r>
          </w:p>
          <w:p>
            <w:pPr>
              <w:spacing w:after="40"/>
            </w:pPr>
            <w:r>
              <w:rPr>
                <w:b w:val="0"/>
                <w:i/>
                <w:sz w:val="17"/>
              </w:rPr>
              <w:t>с. 2320: «The final step applies classical MDS to the matrix of graph distances D_G»</w:t>
            </w:r>
          </w:p>
        </w:tc>
        <w:tc>
          <w:tcPr>
            <w:tcW w:type="dxa" w:w="5102"/>
          </w:tcPr>
          <w:p>
            <w:pPr>
              <w:spacing w:after="40"/>
            </w:pPr>
            <w:r>
              <w:rPr>
                <w:b w:val="0"/>
                <w:i w:val="0"/>
                <w:sz w:val="17"/>
              </w:rPr>
              <w:t>(текст сохранён)</w:t>
            </w:r>
          </w:p>
          <w:p>
            <w:pPr>
              <w:spacing w:after="40"/>
            </w:pPr>
            <w:r>
              <w:rPr>
                <w:b w:val="0"/>
                <w:i w:val="0"/>
                <w:sz w:val="16"/>
              </w:rPr>
              <w:t>Пояснение: Подтверждено.</w:t>
            </w:r>
          </w:p>
        </w:tc>
      </w:tr>
      <w:tr>
        <w:tc>
          <w:tcPr>
            <w:tcW w:type="dxa" w:w="3515"/>
          </w:tcPr>
          <w:p>
            <w:pPr>
              <w:spacing w:after="40"/>
            </w:pPr>
            <w:r>
              <w:rPr>
                <w:b w:val="0"/>
                <w:i w:val="0"/>
                <w:sz w:val="17"/>
              </w:rPr>
              <w:t>Достоинства:</w:t>
            </w:r>
          </w:p>
        </w:tc>
        <w:tc>
          <w:tcPr>
            <w:tcW w:type="dxa" w:w="1474"/>
            <w:shd w:val="clear" w:color="auto" w:fill="E2F0D9"/>
          </w:tcPr>
          <w:p>
            <w:pPr>
              <w:spacing w:after="40"/>
            </w:pPr>
            <w:r>
              <w:rPr>
                <w:b/>
                <w:i w:val="0"/>
                <w:sz w:val="17"/>
              </w:rPr>
              <w:t>Совпадает</w:t>
            </w:r>
          </w:p>
        </w:tc>
        <w:tc>
          <w:tcPr>
            <w:tcW w:type="dxa" w:w="4932"/>
          </w:tcPr>
          <w:p>
            <w:pPr>
              <w:spacing w:after="40"/>
            </w:pPr>
            <w:r>
              <w:rPr>
                <w:b/>
                <w:i w:val="0"/>
                <w:sz w:val="17"/>
              </w:rPr>
              <w:t>Страницы в отчёте: [6] с. 2319</w:t>
            </w:r>
          </w:p>
        </w:tc>
        <w:tc>
          <w:tcPr>
            <w:tcW w:type="dxa" w:w="5102"/>
          </w:tcPr>
          <w:p>
            <w:pPr>
              <w:spacing w:after="40"/>
            </w:pPr>
            <w:r>
              <w:rPr>
                <w:b w:val="0"/>
                <w:i w:val="0"/>
                <w:sz w:val="17"/>
              </w:rPr>
              <w:t>(текст сохранён)</w:t>
            </w:r>
          </w:p>
        </w:tc>
      </w:tr>
      <w:tr>
        <w:tc>
          <w:tcPr>
            <w:tcW w:type="dxa" w:w="3515"/>
          </w:tcPr>
          <w:p>
            <w:pPr>
              <w:spacing w:after="40"/>
            </w:pPr>
            <w:r>
              <w:rPr>
                <w:b w:val="0"/>
                <w:i w:val="0"/>
                <w:sz w:val="17"/>
              </w:rPr>
              <w:t>Сохраняет глобальную геометрию многообразия (геодезические расстояния).</w:t>
            </w:r>
          </w:p>
        </w:tc>
        <w:tc>
          <w:tcPr>
            <w:tcW w:type="dxa" w:w="1474"/>
            <w:shd w:val="clear" w:color="auto" w:fill="E2F0D9"/>
          </w:tcPr>
          <w:p>
            <w:pPr>
              <w:spacing w:after="40"/>
            </w:pPr>
            <w:r>
              <w:rPr>
                <w:b/>
                <w:i w:val="0"/>
                <w:sz w:val="17"/>
              </w:rPr>
              <w:t>Совпадает</w:t>
            </w:r>
          </w:p>
        </w:tc>
        <w:tc>
          <w:tcPr>
            <w:tcW w:type="dxa" w:w="4932"/>
          </w:tcPr>
          <w:p>
            <w:pPr>
              <w:spacing w:after="40"/>
            </w:pPr>
            <w:r>
              <w:rPr>
                <w:b/>
                <w:i w:val="0"/>
                <w:sz w:val="17"/>
              </w:rPr>
              <w:t>Страницы в отчёте: [6] с. 2319</w:t>
            </w:r>
          </w:p>
          <w:p>
            <w:pPr>
              <w:spacing w:after="40"/>
            </w:pPr>
            <w:r>
              <w:rPr>
                <w:b w:val="0"/>
                <w:i/>
                <w:sz w:val="17"/>
              </w:rPr>
              <w:t>с. 2319: «uses easily measured local metric information to learn the underlying global geometry of a data set»</w:t>
            </w:r>
          </w:p>
        </w:tc>
        <w:tc>
          <w:tcPr>
            <w:tcW w:type="dxa" w:w="5102"/>
          </w:tcPr>
          <w:p>
            <w:pPr>
              <w:spacing w:after="40"/>
            </w:pPr>
            <w:r>
              <w:rPr>
                <w:b w:val="0"/>
                <w:i w:val="0"/>
                <w:sz w:val="17"/>
              </w:rPr>
              <w:t>(текст сохранён)</w:t>
            </w:r>
          </w:p>
          <w:p>
            <w:pPr>
              <w:spacing w:after="40"/>
            </w:pPr>
            <w:r>
              <w:rPr>
                <w:b w:val="0"/>
                <w:i w:val="0"/>
                <w:sz w:val="16"/>
              </w:rPr>
              <w:t>Пояснение: Подтверждено.</w:t>
            </w:r>
          </w:p>
        </w:tc>
      </w:tr>
      <w:tr>
        <w:tc>
          <w:tcPr>
            <w:tcW w:type="dxa" w:w="3515"/>
          </w:tcPr>
          <w:p>
            <w:pPr>
              <w:spacing w:after="40"/>
            </w:pPr>
            <w:r>
              <w:rPr>
                <w:b w:val="0"/>
                <w:i w:val="0"/>
                <w:sz w:val="17"/>
              </w:rPr>
              <w:t>Понятная и интуитивная идея.</w:t>
            </w:r>
          </w:p>
        </w:tc>
        <w:tc>
          <w:tcPr>
            <w:tcW w:type="dxa" w:w="1474"/>
            <w:shd w:val="clear" w:color="auto" w:fill="FCE4D6"/>
          </w:tcPr>
          <w:p>
            <w:pPr>
              <w:spacing w:after="40"/>
            </w:pPr>
            <w:r>
              <w:rPr>
                <w:b/>
                <w:i w:val="0"/>
                <w:sz w:val="17"/>
              </w:rPr>
              <w:t>Не совпадало — заменено</w:t>
            </w:r>
          </w:p>
        </w:tc>
        <w:tc>
          <w:tcPr>
            <w:tcW w:type="dxa" w:w="4932"/>
          </w:tcPr>
          <w:p>
            <w:pPr>
              <w:spacing w:after="40"/>
            </w:pPr>
            <w:r>
              <w:rPr>
                <w:b/>
                <w:i w:val="0"/>
                <w:sz w:val="17"/>
              </w:rPr>
              <w:t>Страницы в отчёте: [6] с. 2319</w:t>
            </w:r>
          </w:p>
          <w:p>
            <w:pPr>
              <w:spacing w:after="40"/>
            </w:pPr>
            <w:r>
              <w:rPr>
                <w:b w:val="0"/>
                <w:i/>
                <w:sz w:val="17"/>
              </w:rPr>
              <w:t>с. 2319: «an approach that combines the major algorithmic features of PCA and MDS—computational efficiency, global optimality, and asymptotic convergence guarantees—with the flexibility to learn a broad class of nonlinear manifolds.»</w:t>
            </w:r>
          </w:p>
        </w:tc>
        <w:tc>
          <w:tcPr>
            <w:tcW w:type="dxa" w:w="5102"/>
          </w:tcPr>
          <w:p>
            <w:pPr>
              <w:spacing w:after="40"/>
            </w:pPr>
            <w:r>
              <w:rPr>
                <w:b w:val="0"/>
                <w:i w:val="0"/>
                <w:sz w:val="17"/>
              </w:rPr>
              <w:t>Вычислительная эффективность, глобальная оптимальность и гарантия асимптотической сходимости к истинной структуре (для важного класса многообразий) — свойства PCA и MDS, сочетаемые с гибкостью нелинейных методов.</w:t>
            </w:r>
          </w:p>
          <w:p>
            <w:pPr>
              <w:spacing w:after="40"/>
            </w:pPr>
            <w:r>
              <w:rPr>
                <w:b w:val="0"/>
                <w:i w:val="0"/>
                <w:sz w:val="16"/>
              </w:rPr>
              <w:t>Пояснение: Фраза «понятная и интуитивная идея» в статье не встречается; заменена достоинствами, названными авторами.</w:t>
            </w:r>
          </w:p>
        </w:tc>
      </w:tr>
      <w:tr>
        <w:tc>
          <w:tcPr>
            <w:tcW w:type="dxa" w:w="3515"/>
          </w:tcPr>
          <w:p>
            <w:pPr>
              <w:spacing w:after="40"/>
            </w:pPr>
            <w:r>
              <w:rPr>
                <w:b w:val="0"/>
                <w:i w:val="0"/>
                <w:sz w:val="17"/>
              </w:rPr>
              <w:t>Недостатки:</w:t>
            </w:r>
          </w:p>
        </w:tc>
        <w:tc>
          <w:tcPr>
            <w:tcW w:type="dxa" w:w="1474"/>
            <w:shd w:val="clear" w:color="auto" w:fill="E2F0D9"/>
          </w:tcPr>
          <w:p>
            <w:pPr>
              <w:spacing w:after="40"/>
            </w:pPr>
            <w:r>
              <w:rPr>
                <w:b/>
                <w:i w:val="0"/>
                <w:sz w:val="17"/>
              </w:rPr>
              <w:t>Совпадает</w:t>
            </w:r>
          </w:p>
        </w:tc>
        <w:tc>
          <w:tcPr>
            <w:tcW w:type="dxa" w:w="4932"/>
          </w:tcPr>
          <w:p>
            <w:pPr>
              <w:spacing w:after="40"/>
            </w:pPr>
            <w:r>
              <w:rPr>
                <w:b/>
                <w:i w:val="0"/>
                <w:sz w:val="17"/>
              </w:rPr>
              <w:t>Страницы в отчёте: [6] с. 2322</w:t>
            </w:r>
          </w:p>
        </w:tc>
        <w:tc>
          <w:tcPr>
            <w:tcW w:type="dxa" w:w="5102"/>
          </w:tcPr>
          <w:p>
            <w:pPr>
              <w:spacing w:after="40"/>
            </w:pPr>
            <w:r>
              <w:rPr>
                <w:b w:val="0"/>
                <w:i w:val="0"/>
                <w:sz w:val="17"/>
              </w:rPr>
              <w:t>(текст сохранён)</w:t>
            </w:r>
          </w:p>
        </w:tc>
      </w:tr>
      <w:tr>
        <w:tc>
          <w:tcPr>
            <w:tcW w:type="dxa" w:w="3515"/>
          </w:tcPr>
          <w:p>
            <w:pPr>
              <w:spacing w:after="40"/>
            </w:pPr>
            <w:r>
              <w:rPr>
                <w:b w:val="0"/>
                <w:i w:val="0"/>
                <w:sz w:val="17"/>
              </w:rPr>
              <w:t>Вычислительная сложность: Шаг вычисления кратчайших путей для всех пар точек имеет сложность O(n³) для плотных графов.</w:t>
            </w:r>
          </w:p>
        </w:tc>
        <w:tc>
          <w:tcPr>
            <w:tcW w:type="dxa" w:w="1474"/>
            <w:shd w:val="clear" w:color="auto" w:fill="E2F0D9"/>
          </w:tcPr>
          <w:p>
            <w:pPr>
              <w:spacing w:after="40"/>
            </w:pPr>
            <w:r>
              <w:rPr>
                <w:b/>
                <w:i w:val="0"/>
                <w:sz w:val="17"/>
              </w:rPr>
              <w:t>Совпадает</w:t>
            </w:r>
          </w:p>
        </w:tc>
        <w:tc>
          <w:tcPr>
            <w:tcW w:type="dxa" w:w="4932"/>
          </w:tcPr>
          <w:p>
            <w:pPr>
              <w:spacing w:after="40"/>
            </w:pPr>
            <w:r>
              <w:rPr>
                <w:b/>
                <w:i w:val="0"/>
                <w:sz w:val="17"/>
              </w:rPr>
              <w:t>Страницы в отчёте: [6] прим. 16 на с. 2322</w:t>
            </w:r>
          </w:p>
          <w:p>
            <w:pPr>
              <w:spacing w:after="40"/>
            </w:pPr>
            <w:r>
              <w:rPr>
                <w:b w:val="0"/>
                <w:i/>
                <w:sz w:val="17"/>
              </w:rPr>
              <w:t>с. 2322: «Floyd’s algorithm, requires O(N³) operations.»</w:t>
            </w:r>
          </w:p>
        </w:tc>
        <w:tc>
          <w:tcPr>
            <w:tcW w:type="dxa" w:w="5102"/>
          </w:tcPr>
          <w:p>
            <w:pPr>
              <w:spacing w:after="40"/>
            </w:pPr>
            <w:r>
              <w:rPr>
                <w:b w:val="0"/>
                <w:i w:val="0"/>
                <w:sz w:val="17"/>
              </w:rPr>
              <w:t>(текст сохранён)</w:t>
            </w:r>
          </w:p>
          <w:p>
            <w:pPr>
              <w:spacing w:after="40"/>
            </w:pPr>
            <w:r>
              <w:rPr>
                <w:b w:val="0"/>
                <w:i w:val="0"/>
                <w:sz w:val="16"/>
              </w:rPr>
              <w:t>Пояснение: Подтверждено (для алгоритма Флойда).</w:t>
            </w:r>
          </w:p>
        </w:tc>
      </w:tr>
      <w:tr>
        <w:tc>
          <w:tcPr>
            <w:tcW w:type="dxa" w:w="3515"/>
          </w:tcPr>
          <w:p>
            <w:pPr>
              <w:spacing w:after="40"/>
            </w:pPr>
            <w:r>
              <w:rPr>
                <w:b w:val="0"/>
                <w:i w:val="0"/>
                <w:sz w:val="17"/>
              </w:rPr>
              <w:t>Чувствительность к выбору параметра соседства (k или ε): слишком малое k может разорвать многообразие, слишком большое — "проткнуть" его, сделав геодезические расстояния неадекватными.</w:t>
            </w:r>
          </w:p>
        </w:tc>
        <w:tc>
          <w:tcPr>
            <w:tcW w:type="dxa" w:w="1474"/>
            <w:shd w:val="clear" w:color="auto" w:fill="FCE4D6"/>
          </w:tcPr>
          <w:p>
            <w:pPr>
              <w:spacing w:after="40"/>
            </w:pPr>
            <w:r>
              <w:rPr>
                <w:b/>
                <w:i w:val="0"/>
                <w:sz w:val="17"/>
              </w:rPr>
              <w:t>Не совпадало — заменено</w:t>
            </w:r>
          </w:p>
        </w:tc>
        <w:tc>
          <w:tcPr>
            <w:tcW w:type="dxa" w:w="4932"/>
          </w:tcPr>
          <w:p>
            <w:pPr>
              <w:spacing w:after="40"/>
            </w:pPr>
            <w:r>
              <w:rPr>
                <w:b/>
                <w:i w:val="0"/>
                <w:sz w:val="17"/>
              </w:rPr>
              <w:t>Страницы в отчёте: [6] прим. 18, с. 2322</w:t>
            </w:r>
          </w:p>
          <w:p>
            <w:pPr>
              <w:spacing w:after="40"/>
            </w:pPr>
            <w:r>
              <w:rPr>
                <w:b w:val="0"/>
                <w:i/>
                <w:sz w:val="17"/>
              </w:rPr>
              <w:t>с. 2322: «we can always choose a neighborhood size (ε or K) large enough that the graph will (with high probability) have a path not much longer than the true geodesic, but small enough to prevent edges that “short circuit” the true geometry of the manifold.»</w:t>
            </w:r>
          </w:p>
        </w:tc>
        <w:tc>
          <w:tcPr>
            <w:tcW w:type="dxa" w:w="5102"/>
          </w:tcPr>
          <w:p>
            <w:pPr>
              <w:spacing w:after="40"/>
            </w:pPr>
            <w:r>
              <w:rPr>
                <w:b w:val="0"/>
                <w:i w:val="0"/>
                <w:sz w:val="17"/>
              </w:rPr>
              <w:t>Чувствительность к выбору параметра соседства (K или ε): размер окрестности должен быть достаточно большим, чтобы в графе нашёлся путь, не намного длиннее истинной геодезической, но достаточно малым, чтобы не возникали рёбра, «замыкающие накоротко» (short circuit) истинную геометрию многообразия.</w:t>
            </w:r>
          </w:p>
          <w:p>
            <w:pPr>
              <w:spacing w:after="40"/>
            </w:pPr>
            <w:r>
              <w:rPr>
                <w:b w:val="0"/>
                <w:i w:val="0"/>
                <w:sz w:val="16"/>
              </w:rPr>
              <w:t>Пояснение: Формулировка про «разрыв» и «прокалывание» многообразия в статье не встречается; приведено условие из примечания 18.</w:t>
            </w:r>
          </w:p>
        </w:tc>
      </w:tr>
      <w:tr>
        <w:tc>
          <w:tcPr>
            <w:tcW w:type="dxa" w:w="3515"/>
          </w:tcPr>
          <w:p>
            <w:pPr>
              <w:spacing w:after="40"/>
            </w:pPr>
            <w:r>
              <w:rPr>
                <w:b w:val="0"/>
                <w:i w:val="0"/>
                <w:sz w:val="17"/>
              </w:rPr>
              <w:t>Чувствительность к шуму и "коротким замыканиям" (short-circuit errors) в графе.</w:t>
            </w:r>
          </w:p>
        </w:tc>
        <w:tc>
          <w:tcPr>
            <w:tcW w:type="dxa" w:w="1474"/>
            <w:shd w:val="clear" w:color="auto" w:fill="FFF2CC"/>
          </w:tcPr>
          <w:p>
            <w:pPr>
              <w:spacing w:after="40"/>
            </w:pPr>
            <w:r>
              <w:rPr>
                <w:b/>
                <w:i w:val="0"/>
                <w:sz w:val="17"/>
              </w:rPr>
              <w:t>Исправлено частично</w:t>
            </w:r>
          </w:p>
        </w:tc>
        <w:tc>
          <w:tcPr>
            <w:tcW w:type="dxa" w:w="4932"/>
          </w:tcPr>
          <w:p>
            <w:pPr>
              <w:spacing w:after="40"/>
            </w:pPr>
            <w:r>
              <w:rPr>
                <w:b/>
                <w:i w:val="0"/>
                <w:sz w:val="17"/>
              </w:rPr>
              <w:t>Страницы в отчёте: [6] прим. 18, с. 2322</w:t>
            </w:r>
          </w:p>
          <w:p>
            <w:pPr>
              <w:spacing w:after="40"/>
            </w:pPr>
            <w:r>
              <w:rPr>
                <w:b w:val="0"/>
                <w:i/>
                <w:sz w:val="17"/>
              </w:rPr>
              <w:t>с. 2322: «… edges that “short circuit” the true geometry of the manifold.»</w:t>
            </w:r>
          </w:p>
        </w:tc>
        <w:tc>
          <w:tcPr>
            <w:tcW w:type="dxa" w:w="5102"/>
          </w:tcPr>
          <w:p>
            <w:pPr>
              <w:spacing w:after="40"/>
            </w:pPr>
            <w:r>
              <w:rPr>
                <w:b w:val="0"/>
                <w:i w:val="0"/>
                <w:sz w:val="17"/>
              </w:rPr>
              <w:t>Чувствительность к «коротким замыканиям» (short-circuit errors) в графе соседства.</w:t>
            </w:r>
          </w:p>
          <w:p>
            <w:pPr>
              <w:spacing w:after="40"/>
            </w:pPr>
            <w:r>
              <w:rPr>
                <w:b w:val="0"/>
                <w:i w:val="0"/>
                <w:sz w:val="16"/>
              </w:rPr>
              <w:t>Пояснение: Про чувствительность к шуму в статье не сказано — убрано.</w:t>
            </w:r>
          </w:p>
        </w:tc>
      </w:tr>
    </w:tbl>
    <w:p>
      <w:pPr>
        <w:pStyle w:val="Heading2"/>
      </w:pPr>
      <w:r>
        <w:t>3.3. t-SNE</w:t>
      </w:r>
    </w:p>
    <w:tbl>
      <w:tblPr>
        <w:tblStyle w:val="TableGrid"/>
        <w:tblW w:type="auto" w:w="0"/>
        <w:tblLook w:firstColumn="1" w:firstRow="1" w:lastColumn="0" w:lastRow="0" w:noHBand="0" w:noVBand="1" w:val="04A0"/>
      </w:tblPr>
      <w:tblGrid>
        <w:gridCol w:w="3535"/>
        <w:gridCol w:w="3535"/>
        <w:gridCol w:w="3535"/>
        <w:gridCol w:w="3535"/>
      </w:tblGrid>
      <w:tr>
        <w:tc>
          <w:tcPr>
            <w:tcW w:type="dxa" w:w="3515"/>
            <w:shd w:val="clear" w:color="auto" w:fill="BFBFBF"/>
          </w:tcPr>
          <w:p>
            <w:pPr>
              <w:spacing w:after="40"/>
            </w:pPr>
            <w:r>
              <w:rPr>
                <w:b/>
                <w:i w:val="0"/>
                <w:sz w:val="18"/>
              </w:rPr>
              <w:t>Было в отчёте</w:t>
            </w:r>
          </w:p>
        </w:tc>
        <w:tc>
          <w:tcPr>
            <w:tcW w:type="dxa" w:w="1474"/>
            <w:shd w:val="clear" w:color="auto" w:fill="BFBFBF"/>
          </w:tcPr>
          <w:p>
            <w:pPr>
              <w:spacing w:after="40"/>
            </w:pPr>
            <w:r>
              <w:rPr>
                <w:b/>
                <w:i w:val="0"/>
                <w:sz w:val="18"/>
              </w:rPr>
              <w:t>Статус</w:t>
            </w:r>
          </w:p>
        </w:tc>
        <w:tc>
          <w:tcPr>
            <w:tcW w:type="dxa" w:w="4932"/>
            <w:shd w:val="clear" w:color="auto" w:fill="BFBFBF"/>
          </w:tcPr>
          <w:p>
            <w:pPr>
              <w:spacing w:after="40"/>
            </w:pPr>
            <w:r>
              <w:rPr>
                <w:b/>
                <w:i w:val="0"/>
                <w:sz w:val="18"/>
              </w:rPr>
              <w:t>Источник: страница и цитата</w:t>
            </w:r>
          </w:p>
        </w:tc>
        <w:tc>
          <w:tcPr>
            <w:tcW w:type="dxa" w:w="5102"/>
            <w:shd w:val="clear" w:color="auto" w:fill="BFBFBF"/>
          </w:tcPr>
          <w:p>
            <w:pPr>
              <w:spacing w:after="40"/>
            </w:pPr>
            <w:r>
              <w:rPr>
                <w:b/>
                <w:i w:val="0"/>
                <w:sz w:val="18"/>
              </w:rPr>
              <w:t>Стало / что исправлено</w:t>
            </w:r>
          </w:p>
        </w:tc>
      </w:tr>
      <w:tr>
        <w:tc>
          <w:tcPr>
            <w:tcW w:type="dxa" w:w="3515"/>
          </w:tcPr>
          <w:p>
            <w:pPr>
              <w:spacing w:after="40"/>
            </w:pPr>
            <w:r>
              <w:rPr>
                <w:b w:val="0"/>
                <w:i w:val="0"/>
                <w:sz w:val="17"/>
              </w:rPr>
              <w:t>3.3. Стохастическое вложение соседей с t-распределением (t-SNE): теория и практика настройки</w:t>
            </w:r>
          </w:p>
        </w:tc>
        <w:tc>
          <w:tcPr>
            <w:tcW w:type="dxa" w:w="1474"/>
            <w:shd w:val="clear" w:color="auto" w:fill="E2F0D9"/>
          </w:tcPr>
          <w:p>
            <w:pPr>
              <w:spacing w:after="40"/>
            </w:pPr>
            <w:r>
              <w:rPr>
                <w:b/>
                <w:i w:val="0"/>
                <w:sz w:val="17"/>
              </w:rPr>
              <w:t>Совпадает</w:t>
            </w:r>
          </w:p>
        </w:tc>
        <w:tc>
          <w:tcPr>
            <w:tcW w:type="dxa" w:w="4932"/>
          </w:tcPr>
          <w:p>
            <w:pPr>
              <w:spacing w:after="40"/>
            </w:pPr>
            <w:r>
              <w:rPr>
                <w:b/>
                <w:i w:val="0"/>
                <w:sz w:val="17"/>
              </w:rPr>
              <w:t>Страницы в отчёте: [7] с. 2579–2605</w:t>
            </w:r>
          </w:p>
        </w:tc>
        <w:tc>
          <w:tcPr>
            <w:tcW w:type="dxa" w:w="5102"/>
          </w:tcPr>
          <w:p>
            <w:pPr>
              <w:spacing w:after="40"/>
            </w:pPr>
            <w:r>
              <w:rPr>
                <w:b w:val="0"/>
                <w:i w:val="0"/>
                <w:sz w:val="17"/>
              </w:rPr>
              <w:t>(текст сохранён)</w:t>
            </w:r>
          </w:p>
        </w:tc>
      </w:tr>
      <w:tr>
        <w:tc>
          <w:tcPr>
            <w:tcW w:type="dxa" w:w="3515"/>
          </w:tcPr>
          <w:p>
            <w:pPr>
              <w:spacing w:after="40"/>
            </w:pPr>
            <w:r>
              <w:rPr>
                <w:b w:val="0"/>
                <w:i w:val="0"/>
                <w:sz w:val="17"/>
              </w:rPr>
              <w:t>Идея: t-SNE (t-Distributed Stochastic Neighbor Embedding) фокусируется на сохранении локальной структуры. Он моделирует сходства между точками в высоко- и низкоразмерном пространствах с помощью распределений вероятностей и минимизирует расхождение Кульбака-Лейблера между этими распределениями.</w:t>
            </w:r>
          </w:p>
        </w:tc>
        <w:tc>
          <w:tcPr>
            <w:tcW w:type="dxa" w:w="1474"/>
            <w:shd w:val="clear" w:color="auto" w:fill="FFF2CC"/>
          </w:tcPr>
          <w:p>
            <w:pPr>
              <w:spacing w:after="40"/>
            </w:pPr>
            <w:r>
              <w:rPr>
                <w:b/>
                <w:i w:val="0"/>
                <w:sz w:val="17"/>
              </w:rPr>
              <w:t>Исправлено частично</w:t>
            </w:r>
          </w:p>
        </w:tc>
        <w:tc>
          <w:tcPr>
            <w:tcW w:type="dxa" w:w="4932"/>
          </w:tcPr>
          <w:p>
            <w:pPr>
              <w:spacing w:after="40"/>
            </w:pPr>
            <w:r>
              <w:rPr>
                <w:b/>
                <w:i w:val="0"/>
                <w:sz w:val="17"/>
              </w:rPr>
              <w:t>Страницы в отчёте: [7] с. 2580–2583</w:t>
            </w:r>
          </w:p>
          <w:p>
            <w:pPr>
              <w:spacing w:after="40"/>
            </w:pPr>
            <w:r>
              <w:rPr>
                <w:b w:val="0"/>
                <w:i/>
                <w:sz w:val="17"/>
              </w:rPr>
              <w:t>с. 2580: «t-SNE is capable of capturing much of the local structure of the high-dimensional data very well, while also revealing global structure such as the presence of clusters at several scales.»</w:t>
            </w:r>
          </w:p>
          <w:p>
            <w:pPr>
              <w:spacing w:after="40"/>
            </w:pPr>
            <w:r>
              <w:rPr>
                <w:b w:val="0"/>
                <w:i/>
                <w:sz w:val="17"/>
              </w:rPr>
              <w:t>с. 2581: «SNE minimizes the sum of Kullback-Leibler divergences over all datapoints using a gradient descent method.»</w:t>
            </w:r>
          </w:p>
        </w:tc>
        <w:tc>
          <w:tcPr>
            <w:tcW w:type="dxa" w:w="5102"/>
          </w:tcPr>
          <w:p>
            <w:pPr>
              <w:spacing w:after="40"/>
            </w:pPr>
            <w:r>
              <w:rPr>
                <w:b w:val="0"/>
                <w:i w:val="0"/>
                <w:sz w:val="17"/>
              </w:rPr>
              <w:t>Идея: t-SNE (t-Distributed Stochastic Neighbor Embedding) фокусируется на сохранении локальной структуры, при этом позволяет увидеть и глобальную структуру — например, кластеры на нескольких масштабах. Он моделирует сходства между точками в высоко- и низкоразмерном пространствах с помощью распределений вероятностей и минимизирует расхождение Кульбака-Лейблера между этими распределениями.</w:t>
            </w:r>
          </w:p>
          <w:p>
            <w:pPr>
              <w:spacing w:after="40"/>
            </w:pPr>
            <w:r>
              <w:rPr>
                <w:b w:val="0"/>
                <w:i w:val="0"/>
                <w:sz w:val="16"/>
              </w:rPr>
              <w:t>Пояснение: Добавлено уточнение авторов о глобальной структуре.</w:t>
            </w:r>
          </w:p>
        </w:tc>
      </w:tr>
      <w:tr>
        <w:tc>
          <w:tcPr>
            <w:tcW w:type="dxa" w:w="3515"/>
          </w:tcPr>
          <w:p>
            <w:pPr>
              <w:spacing w:after="40"/>
            </w:pPr>
            <w:r>
              <w:rPr>
                <w:b w:val="0"/>
                <w:i w:val="0"/>
                <w:sz w:val="17"/>
              </w:rPr>
              <w:t>Теория:</w:t>
            </w:r>
          </w:p>
        </w:tc>
        <w:tc>
          <w:tcPr>
            <w:tcW w:type="dxa" w:w="1474"/>
            <w:shd w:val="clear" w:color="auto" w:fill="E2F0D9"/>
          </w:tcPr>
          <w:p>
            <w:pPr>
              <w:spacing w:after="40"/>
            </w:pPr>
            <w:r>
              <w:rPr>
                <w:b/>
                <w:i w:val="0"/>
                <w:sz w:val="17"/>
              </w:rPr>
              <w:t>Совпадает</w:t>
            </w:r>
          </w:p>
        </w:tc>
        <w:tc>
          <w:tcPr>
            <w:tcW w:type="dxa" w:w="4932"/>
          </w:tcPr>
          <w:p>
            <w:pPr>
              <w:spacing w:after="40"/>
            </w:pPr>
            <w:r>
              <w:rPr>
                <w:b/>
                <w:i w:val="0"/>
                <w:sz w:val="17"/>
              </w:rPr>
              <w:t>Страницы в отчёте: [7] с. 2581–2585</w:t>
            </w:r>
          </w:p>
        </w:tc>
        <w:tc>
          <w:tcPr>
            <w:tcW w:type="dxa" w:w="5102"/>
          </w:tcPr>
          <w:p>
            <w:pPr>
              <w:spacing w:after="40"/>
            </w:pPr>
            <w:r>
              <w:rPr>
                <w:b w:val="0"/>
                <w:i w:val="0"/>
                <w:sz w:val="17"/>
              </w:rPr>
              <w:t>(текст сохранён)</w:t>
            </w:r>
          </w:p>
        </w:tc>
      </w:tr>
      <w:tr>
        <w:tc>
          <w:tcPr>
            <w:tcW w:type="dxa" w:w="3515"/>
          </w:tcPr>
          <w:p>
            <w:pPr>
              <w:spacing w:after="40"/>
            </w:pPr>
            <w:r>
              <w:rPr>
                <w:b w:val="0"/>
                <w:i w:val="0"/>
                <w:sz w:val="17"/>
              </w:rPr>
              <w:t>Высокоразмерное пространство: сходство между точками x_i и x_j задается условной вероятностью p_{j|i}, которая пропорциональна плотности гауссовского распределения, центрированного в x_i: p_{j|i} = exp(-||x_i - x_j||² / 2σ_i²) / Σ_{k≠i} exp(-||x_i - x_k||² / 2σ_i²) Дисперсия σ_i для каждой точки подбирается так, чтобы энтропия распределения P_i достигала заданного значения, определяемого параметром perplexity (Перпле…</w:t>
            </w:r>
          </w:p>
        </w:tc>
        <w:tc>
          <w:tcPr>
            <w:tcW w:type="dxa" w:w="1474"/>
            <w:shd w:val="clear" w:color="auto" w:fill="E2F0D9"/>
          </w:tcPr>
          <w:p>
            <w:pPr>
              <w:spacing w:after="40"/>
            </w:pPr>
            <w:r>
              <w:rPr>
                <w:b/>
                <w:i w:val="0"/>
                <w:sz w:val="17"/>
              </w:rPr>
              <w:t>Совпадает</w:t>
            </w:r>
          </w:p>
        </w:tc>
        <w:tc>
          <w:tcPr>
            <w:tcW w:type="dxa" w:w="4932"/>
          </w:tcPr>
          <w:p>
            <w:pPr>
              <w:spacing w:after="40"/>
            </w:pPr>
            <w:r>
              <w:rPr>
                <w:b/>
                <w:i w:val="0"/>
                <w:sz w:val="17"/>
              </w:rPr>
              <w:t>Страницы в отчёте: [7] с. 2581–2582, 2584</w:t>
            </w:r>
          </w:p>
          <w:p>
            <w:pPr>
              <w:spacing w:after="40"/>
            </w:pPr>
            <w:r>
              <w:rPr>
                <w:b w:val="0"/>
                <w:i/>
                <w:sz w:val="17"/>
              </w:rPr>
              <w:t>с. 2582: «The perplexity is defined as Perp(P_i) = 2^{H(P_i)} … can be interpreted as a smooth measure of the effective number of neighbors.»</w:t>
            </w:r>
          </w:p>
          <w:p>
            <w:pPr>
              <w:spacing w:after="40"/>
            </w:pPr>
            <w:r>
              <w:rPr>
                <w:b w:val="0"/>
                <w:i/>
                <w:sz w:val="17"/>
              </w:rPr>
              <w:t>с. 2584: «we set p_ij = (p_{j|i} + p_{i|j}) / 2n»</w:t>
            </w:r>
          </w:p>
        </w:tc>
        <w:tc>
          <w:tcPr>
            <w:tcW w:type="dxa" w:w="5102"/>
          </w:tcPr>
          <w:p>
            <w:pPr>
              <w:spacing w:after="40"/>
            </w:pPr>
            <w:r>
              <w:rPr>
                <w:b w:val="0"/>
                <w:i w:val="0"/>
                <w:sz w:val="17"/>
              </w:rPr>
              <w:t>(текст сохранён)</w:t>
            </w:r>
          </w:p>
          <w:p>
            <w:pPr>
              <w:spacing w:after="40"/>
            </w:pPr>
            <w:r>
              <w:rPr>
                <w:b w:val="0"/>
                <w:i w:val="0"/>
                <w:sz w:val="16"/>
              </w:rPr>
              <w:t>Пояснение: Подтверждено: формулы, перплексия, симметризация.</w:t>
            </w:r>
          </w:p>
        </w:tc>
      </w:tr>
      <w:tr>
        <w:tc>
          <w:tcPr>
            <w:tcW w:type="dxa" w:w="3515"/>
          </w:tcPr>
          <w:p>
            <w:pPr>
              <w:spacing w:after="40"/>
            </w:pPr>
            <w:r>
              <w:rPr>
                <w:b w:val="0"/>
                <w:i w:val="0"/>
                <w:sz w:val="17"/>
              </w:rPr>
              <w:t>Низкоразмерное пространство: сходство между точками y_i и y_j моделируется с помощью тяжелых хвостов t-распределения Стьюдента с одной степенью свободы (распределение Коши): q_{ij} = (1 + ||y_i - y_j||²)^{-1} / Σ_{k≠l} (1 + ||y_k - y_l||²)^{-1} Использование t-распределения (с более тяжелыми хвостами, чем у Гаусса) позволяет "раздвинуть" далекие точки в низкоразмерном пространстве, предотвращая схлопывание кластеров.</w:t>
            </w:r>
          </w:p>
        </w:tc>
        <w:tc>
          <w:tcPr>
            <w:tcW w:type="dxa" w:w="1474"/>
            <w:shd w:val="clear" w:color="auto" w:fill="E2F0D9"/>
          </w:tcPr>
          <w:p>
            <w:pPr>
              <w:spacing w:after="40"/>
            </w:pPr>
            <w:r>
              <w:rPr>
                <w:b/>
                <w:i w:val="0"/>
                <w:sz w:val="17"/>
              </w:rPr>
              <w:t>Совпадает</w:t>
            </w:r>
          </w:p>
        </w:tc>
        <w:tc>
          <w:tcPr>
            <w:tcW w:type="dxa" w:w="4932"/>
          </w:tcPr>
          <w:p>
            <w:pPr>
              <w:spacing w:after="40"/>
            </w:pPr>
            <w:r>
              <w:rPr>
                <w:b/>
                <w:i w:val="0"/>
                <w:sz w:val="17"/>
              </w:rPr>
              <w:t>Страницы в отчёте: [7] с. 2583–2585</w:t>
            </w:r>
          </w:p>
          <w:p>
            <w:pPr>
              <w:spacing w:after="40"/>
            </w:pPr>
            <w:r>
              <w:rPr>
                <w:b w:val="0"/>
                <w:i/>
                <w:sz w:val="17"/>
              </w:rPr>
              <w:t>с. 2585: «we employ a Student t-distribution with one degree of freedom (which is the same as a Cauchy distribution) as the heavy-tailed distribution in the low-dimensional map.»</w:t>
            </w:r>
          </w:p>
          <w:p>
            <w:pPr>
              <w:spacing w:after="40"/>
            </w:pPr>
            <w:r>
              <w:rPr>
                <w:b w:val="0"/>
                <w:i/>
                <w:sz w:val="17"/>
              </w:rPr>
              <w:t>с. 2583: «t-SNE employs a heavy-tailed distribution in the low-dimensional space to alleviate both the crowding problem and the optimization problems of SNE.»</w:t>
            </w:r>
          </w:p>
        </w:tc>
        <w:tc>
          <w:tcPr>
            <w:tcW w:type="dxa" w:w="5102"/>
          </w:tcPr>
          <w:p>
            <w:pPr>
              <w:spacing w:after="40"/>
            </w:pPr>
            <w:r>
              <w:rPr>
                <w:b w:val="0"/>
                <w:i w:val="0"/>
                <w:sz w:val="17"/>
              </w:rPr>
              <w:t>(текст сохранён)</w:t>
            </w:r>
          </w:p>
          <w:p>
            <w:pPr>
              <w:spacing w:after="40"/>
            </w:pPr>
            <w:r>
              <w:rPr>
                <w:b w:val="0"/>
                <w:i w:val="0"/>
                <w:sz w:val="16"/>
              </w:rPr>
              <w:t>Пояснение: Подтверждено.</w:t>
            </w:r>
          </w:p>
        </w:tc>
      </w:tr>
      <w:tr>
        <w:tc>
          <w:tcPr>
            <w:tcW w:type="dxa" w:w="3515"/>
          </w:tcPr>
          <w:p>
            <w:pPr>
              <w:spacing w:after="40"/>
            </w:pPr>
            <w:r>
              <w:rPr>
                <w:b w:val="0"/>
                <w:i w:val="0"/>
                <w:sz w:val="17"/>
              </w:rPr>
              <w:t>Оптимизация: минимизируется расхождение Кульбака-Лейблера KL(P||Q) = Σ_{i≠j} p_{ij} log(p_{ij} / q_{ij}) с помощью градиентного спуска.</w:t>
            </w:r>
          </w:p>
        </w:tc>
        <w:tc>
          <w:tcPr>
            <w:tcW w:type="dxa" w:w="1474"/>
            <w:shd w:val="clear" w:color="auto" w:fill="E2F0D9"/>
          </w:tcPr>
          <w:p>
            <w:pPr>
              <w:spacing w:after="40"/>
            </w:pPr>
            <w:r>
              <w:rPr>
                <w:b/>
                <w:i w:val="0"/>
                <w:sz w:val="17"/>
              </w:rPr>
              <w:t>Совпадает</w:t>
            </w:r>
          </w:p>
        </w:tc>
        <w:tc>
          <w:tcPr>
            <w:tcW w:type="dxa" w:w="4932"/>
          </w:tcPr>
          <w:p>
            <w:pPr>
              <w:spacing w:after="40"/>
            </w:pPr>
            <w:r>
              <w:rPr>
                <w:b/>
                <w:i w:val="0"/>
                <w:sz w:val="17"/>
              </w:rPr>
              <w:t>Страницы в отчёте: [7] с. 2581, 2583</w:t>
            </w:r>
          </w:p>
          <w:p>
            <w:pPr>
              <w:spacing w:after="40"/>
            </w:pPr>
            <w:r>
              <w:rPr>
                <w:b w:val="0"/>
                <w:i/>
                <w:sz w:val="17"/>
              </w:rPr>
              <w:t>с. 2581: «A natural measure of the faithfulness … is the Kullback-Leibler divergence … minimizes … using a gradient descent method.»</w:t>
            </w:r>
          </w:p>
        </w:tc>
        <w:tc>
          <w:tcPr>
            <w:tcW w:type="dxa" w:w="5102"/>
          </w:tcPr>
          <w:p>
            <w:pPr>
              <w:spacing w:after="40"/>
            </w:pPr>
            <w:r>
              <w:rPr>
                <w:b w:val="0"/>
                <w:i w:val="0"/>
                <w:sz w:val="17"/>
              </w:rPr>
              <w:t>(текст сохранён)</w:t>
            </w:r>
          </w:p>
          <w:p>
            <w:pPr>
              <w:spacing w:after="40"/>
            </w:pPr>
            <w:r>
              <w:rPr>
                <w:b w:val="0"/>
                <w:i w:val="0"/>
                <w:sz w:val="16"/>
              </w:rPr>
              <w:t>Пояснение: Подтверждено.</w:t>
            </w:r>
          </w:p>
        </w:tc>
      </w:tr>
      <w:tr>
        <w:tc>
          <w:tcPr>
            <w:tcW w:type="dxa" w:w="3515"/>
          </w:tcPr>
          <w:p>
            <w:pPr>
              <w:spacing w:after="40"/>
            </w:pPr>
            <w:r>
              <w:rPr>
                <w:b w:val="0"/>
                <w:i w:val="0"/>
                <w:sz w:val="17"/>
              </w:rPr>
              <w:t>Практика настройки:</w:t>
            </w:r>
          </w:p>
        </w:tc>
        <w:tc>
          <w:tcPr>
            <w:tcW w:type="dxa" w:w="1474"/>
            <w:shd w:val="clear" w:color="auto" w:fill="E2F0D9"/>
          </w:tcPr>
          <w:p>
            <w:pPr>
              <w:spacing w:after="40"/>
            </w:pPr>
            <w:r>
              <w:rPr>
                <w:b/>
                <w:i w:val="0"/>
                <w:sz w:val="17"/>
              </w:rPr>
              <w:t>Совпадает</w:t>
            </w:r>
          </w:p>
        </w:tc>
        <w:tc>
          <w:tcPr>
            <w:tcW w:type="dxa" w:w="4932"/>
          </w:tcPr>
          <w:p>
            <w:pPr>
              <w:spacing w:after="40"/>
            </w:pPr>
            <w:r>
              <w:rPr>
                <w:b/>
                <w:i w:val="0"/>
                <w:sz w:val="17"/>
              </w:rPr>
              <w:t>Страницы в отчёте: [7] с. 2582, 2587–2589</w:t>
            </w:r>
          </w:p>
        </w:tc>
        <w:tc>
          <w:tcPr>
            <w:tcW w:type="dxa" w:w="5102"/>
          </w:tcPr>
          <w:p>
            <w:pPr>
              <w:spacing w:after="40"/>
            </w:pPr>
            <w:r>
              <w:rPr>
                <w:b w:val="0"/>
                <w:i w:val="0"/>
                <w:sz w:val="17"/>
              </w:rPr>
              <w:t>(текст сохранён)</w:t>
            </w:r>
          </w:p>
        </w:tc>
      </w:tr>
      <w:tr>
        <w:tc>
          <w:tcPr>
            <w:tcW w:type="dxa" w:w="3515"/>
          </w:tcPr>
          <w:p>
            <w:pPr>
              <w:spacing w:after="40"/>
            </w:pPr>
            <w:r>
              <w:rPr>
                <w:b w:val="0"/>
                <w:i w:val="0"/>
                <w:sz w:val="17"/>
              </w:rPr>
              <w:t>Perplexity: наиболее важный параметр. Типичные значения: от 5 до 50. Низкое значение акцентирует очень локальную структуру, высокое — более глобальную. Для наборов данных типа MNIST часто используют 30-50.</w:t>
            </w:r>
          </w:p>
        </w:tc>
        <w:tc>
          <w:tcPr>
            <w:tcW w:type="dxa" w:w="1474"/>
            <w:shd w:val="clear" w:color="auto" w:fill="FCE4D6"/>
          </w:tcPr>
          <w:p>
            <w:pPr>
              <w:spacing w:after="40"/>
            </w:pPr>
            <w:r>
              <w:rPr>
                <w:b/>
                <w:i w:val="0"/>
                <w:sz w:val="17"/>
              </w:rPr>
              <w:t>Не совпадало — заменено</w:t>
            </w:r>
          </w:p>
        </w:tc>
        <w:tc>
          <w:tcPr>
            <w:tcW w:type="dxa" w:w="4932"/>
          </w:tcPr>
          <w:p>
            <w:pPr>
              <w:spacing w:after="40"/>
            </w:pPr>
            <w:r>
              <w:rPr>
                <w:b/>
                <w:i w:val="0"/>
                <w:sz w:val="17"/>
              </w:rPr>
              <w:t>Страницы в отчёте: [7] с. 2582, 2589</w:t>
            </w:r>
          </w:p>
          <w:p>
            <w:pPr>
              <w:spacing w:after="40"/>
            </w:pPr>
            <w:r>
              <w:rPr>
                <w:b w:val="0"/>
                <w:i/>
                <w:sz w:val="17"/>
              </w:rPr>
              <w:t>с. 2582: «The performance of SNE is fairly robust to changes in the perplexity, and typical values are between 5 and 50.»</w:t>
            </w:r>
          </w:p>
          <w:p>
            <w:pPr>
              <w:spacing w:after="40"/>
            </w:pPr>
            <w:r>
              <w:rPr>
                <w:b w:val="0"/>
                <w:i/>
                <w:sz w:val="17"/>
              </w:rPr>
              <w:t>с. 2589: «Table 1: Cost function parameter settings … t-SNE: Perp = 40»</w:t>
            </w:r>
          </w:p>
        </w:tc>
        <w:tc>
          <w:tcPr>
            <w:tcW w:type="dxa" w:w="5102"/>
          </w:tcPr>
          <w:p>
            <w:pPr>
              <w:spacing w:after="40"/>
            </w:pPr>
            <w:r>
              <w:rPr>
                <w:b w:val="0"/>
                <w:i w:val="0"/>
                <w:sz w:val="17"/>
              </w:rPr>
              <w:t>Perplexity: наиболее важный параметр; определяется как Perp(P_i) = 2^{H(P_i)} и интерпретируется как гладкая мера эффективного числа соседей. Работа метода довольно устойчива к её изменению; типичные значения — от 5 до 50. В экспериментах авторов во всех случаях использовано значение 40.</w:t>
            </w:r>
          </w:p>
          <w:p>
            <w:pPr>
              <w:spacing w:after="40"/>
            </w:pPr>
            <w:r>
              <w:rPr>
                <w:b w:val="0"/>
                <w:i w:val="0"/>
                <w:sz w:val="16"/>
              </w:rPr>
              <w:t>Пояснение: Утверждение «для MNIST часто используют 30–50» в источнике не найдено: авторы использовали Perp = 40 (табл. 1).</w:t>
            </w:r>
          </w:p>
        </w:tc>
      </w:tr>
      <w:tr>
        <w:tc>
          <w:tcPr>
            <w:tcW w:type="dxa" w:w="3515"/>
          </w:tcPr>
          <w:p>
            <w:pPr>
              <w:spacing w:after="40"/>
            </w:pPr>
            <w:r>
              <w:rPr>
                <w:b w:val="0"/>
                <w:i w:val="0"/>
                <w:sz w:val="17"/>
              </w:rPr>
              <w:t>Learning rate (скорость обучения): если слишком низкая, оптимизация медленная и может застрять в локальном минимуме. Если слишком высокая, визуализация может выглядеть "размазанной". Типичное значение 200.</w:t>
            </w:r>
          </w:p>
        </w:tc>
        <w:tc>
          <w:tcPr>
            <w:tcW w:type="dxa" w:w="1474"/>
            <w:shd w:val="clear" w:color="auto" w:fill="FCE4D6"/>
          </w:tcPr>
          <w:p>
            <w:pPr>
              <w:spacing w:after="40"/>
            </w:pPr>
            <w:r>
              <w:rPr>
                <w:b/>
                <w:i w:val="0"/>
                <w:sz w:val="17"/>
              </w:rPr>
              <w:t>Не совпадало — заменено</w:t>
            </w:r>
          </w:p>
        </w:tc>
        <w:tc>
          <w:tcPr>
            <w:tcW w:type="dxa" w:w="4932"/>
          </w:tcPr>
          <w:p>
            <w:pPr>
              <w:spacing w:after="40"/>
            </w:pPr>
            <w:r>
              <w:rPr>
                <w:b/>
                <w:i w:val="0"/>
                <w:sz w:val="17"/>
              </w:rPr>
              <w:t>Страницы в отчёте: [7] с. 2587–2588</w:t>
            </w:r>
          </w:p>
          <w:p>
            <w:pPr>
              <w:spacing w:after="40"/>
            </w:pPr>
            <w:r>
              <w:rPr>
                <w:b w:val="0"/>
                <w:i/>
                <w:sz w:val="17"/>
              </w:rPr>
              <w:t>с. 2588: «The learning rate η is initially set to 100 and it is updated after every iteration by means of the adaptive learning rate scheme described by Jacobs (1988). … momentum term was set to α(t) = 0.5 for t &lt; 250 and α(t) = 0.8 for t ≥ 250. … early exaggeration … of 4 for the first 50 iterations»</w:t>
            </w:r>
          </w:p>
        </w:tc>
        <w:tc>
          <w:tcPr>
            <w:tcW w:type="dxa" w:w="5102"/>
          </w:tcPr>
          <w:p>
            <w:pPr>
              <w:spacing w:after="40"/>
            </w:pPr>
            <w:r>
              <w:rPr>
                <w:b w:val="0"/>
                <w:i w:val="0"/>
                <w:sz w:val="17"/>
              </w:rPr>
              <w:t>Скорость обучения и моментум: в экспериментах авторов скорость обучения η в начале равна 100 и обновляется после каждой итерации адаптивной схемой (Jacobs, 1988); моментум α(t) = 0.5 при t &lt; 250 и 0.8 при t ≥ 250; первые 50 итераций применялась «ранняя экзаггерация» (early exaggeration) с коэффициентом 4.</w:t>
            </w:r>
          </w:p>
          <w:p>
            <w:pPr>
              <w:spacing w:after="40"/>
            </w:pPr>
            <w:r>
              <w:rPr>
                <w:b w:val="0"/>
                <w:i w:val="0"/>
                <w:sz w:val="16"/>
              </w:rPr>
              <w:t>Пояснение: Было «типичное значение 200» и описание поведения при высоком/низком значении — в источнике этого нет; η = 100.</w:t>
            </w:r>
          </w:p>
        </w:tc>
      </w:tr>
      <w:tr>
        <w:tc>
          <w:tcPr>
            <w:tcW w:type="dxa" w:w="3515"/>
          </w:tcPr>
          <w:p>
            <w:pPr>
              <w:spacing w:after="40"/>
            </w:pPr>
            <w:r>
              <w:rPr>
                <w:b w:val="0"/>
                <w:i w:val="0"/>
                <w:sz w:val="17"/>
              </w:rPr>
              <w:t>Количество итераций: обычно не менее 1000, для сложных данных — 2000-5000.</w:t>
            </w:r>
          </w:p>
        </w:tc>
        <w:tc>
          <w:tcPr>
            <w:tcW w:type="dxa" w:w="1474"/>
            <w:shd w:val="clear" w:color="auto" w:fill="FCE4D6"/>
          </w:tcPr>
          <w:p>
            <w:pPr>
              <w:spacing w:after="40"/>
            </w:pPr>
            <w:r>
              <w:rPr>
                <w:b/>
                <w:i w:val="0"/>
                <w:sz w:val="17"/>
              </w:rPr>
              <w:t>Не совпадало — заменено</w:t>
            </w:r>
          </w:p>
        </w:tc>
        <w:tc>
          <w:tcPr>
            <w:tcW w:type="dxa" w:w="4932"/>
          </w:tcPr>
          <w:p>
            <w:pPr>
              <w:spacing w:after="40"/>
            </w:pPr>
            <w:r>
              <w:rPr>
                <w:b/>
                <w:i w:val="0"/>
                <w:sz w:val="17"/>
              </w:rPr>
              <w:t>Страницы в отчёте: [7] с. 2588</w:t>
            </w:r>
          </w:p>
          <w:p>
            <w:pPr>
              <w:spacing w:after="40"/>
            </w:pPr>
            <w:r>
              <w:rPr>
                <w:b w:val="0"/>
                <w:i/>
                <w:sz w:val="17"/>
              </w:rPr>
              <w:t>с. 2588: «The number of gradient descent iterations T was set 1000»</w:t>
            </w:r>
          </w:p>
        </w:tc>
        <w:tc>
          <w:tcPr>
            <w:tcW w:type="dxa" w:w="5102"/>
          </w:tcPr>
          <w:p>
            <w:pPr>
              <w:spacing w:after="40"/>
            </w:pPr>
            <w:r>
              <w:rPr>
                <w:b w:val="0"/>
                <w:i w:val="0"/>
                <w:sz w:val="17"/>
              </w:rPr>
              <w:t>Количество итераций: в экспериментах авторов число итераций градиентного спуска T = 1000.</w:t>
            </w:r>
          </w:p>
          <w:p>
            <w:pPr>
              <w:spacing w:after="40"/>
            </w:pPr>
            <w:r>
              <w:rPr>
                <w:b w:val="0"/>
                <w:i w:val="0"/>
                <w:sz w:val="16"/>
              </w:rPr>
              <w:t>Пояснение: Было «обычно не менее 1000, для сложных данных — 2000–5000»: в источнике приведено только T = 1000.</w:t>
            </w:r>
          </w:p>
        </w:tc>
      </w:tr>
      <w:tr>
        <w:tc>
          <w:tcPr>
            <w:tcW w:type="dxa" w:w="3515"/>
          </w:tcPr>
          <w:p>
            <w:pPr>
              <w:spacing w:after="40"/>
            </w:pPr>
            <w:r>
              <w:rPr>
                <w:b w:val="0"/>
                <w:i w:val="0"/>
                <w:sz w:val="17"/>
              </w:rPr>
              <w:t>Инициализация: обычно используется PCA-инициализация (init='pca'), что дает более стабильные результаты, чем случайная.</w:t>
            </w:r>
          </w:p>
        </w:tc>
        <w:tc>
          <w:tcPr>
            <w:tcW w:type="dxa" w:w="1474"/>
            <w:shd w:val="clear" w:color="auto" w:fill="FCE4D6"/>
          </w:tcPr>
          <w:p>
            <w:pPr>
              <w:spacing w:after="40"/>
            </w:pPr>
            <w:r>
              <w:rPr>
                <w:b/>
                <w:i w:val="0"/>
                <w:sz w:val="17"/>
              </w:rPr>
              <w:t>Не совпадало — заменено</w:t>
            </w:r>
          </w:p>
        </w:tc>
        <w:tc>
          <w:tcPr>
            <w:tcW w:type="dxa" w:w="4932"/>
          </w:tcPr>
          <w:p>
            <w:pPr>
              <w:spacing w:after="40"/>
            </w:pPr>
            <w:r>
              <w:rPr>
                <w:b/>
                <w:i w:val="0"/>
                <w:sz w:val="17"/>
              </w:rPr>
              <w:t>Страницы в отчёте: [7] с. 2587, 2589</w:t>
            </w:r>
          </w:p>
          <w:p>
            <w:pPr>
              <w:spacing w:after="40"/>
            </w:pPr>
            <w:r>
              <w:rPr>
                <w:b w:val="0"/>
                <w:i/>
                <w:sz w:val="17"/>
              </w:rPr>
              <w:t>с. 2587: «sample initial solution Y(0) = {y1, y2, …, yn} from N(0, 10^-4 I)»</w:t>
            </w:r>
          </w:p>
          <w:p>
            <w:pPr>
              <w:spacing w:after="40"/>
            </w:pPr>
            <w:r>
              <w:rPr>
                <w:b w:val="0"/>
                <w:i/>
                <w:sz w:val="17"/>
              </w:rPr>
              <w:t>с. 2589: «In all of our experiments, we start by using PCA to reduce the dimensionality of the data to 30.»</w:t>
            </w:r>
          </w:p>
        </w:tc>
        <w:tc>
          <w:tcPr>
            <w:tcW w:type="dxa" w:w="5102"/>
          </w:tcPr>
          <w:p>
            <w:pPr>
              <w:spacing w:after="40"/>
            </w:pPr>
            <w:r>
              <w:rPr>
                <w:b w:val="0"/>
                <w:i w:val="0"/>
                <w:sz w:val="17"/>
              </w:rPr>
              <w:t>Инициализация: начальное решение Y(0) выбирается из нормального распределения N(0, 10^{-4}·I) (алгоритм 1). Перед применением t-SNE данные в экспериментах авторов сначала уменьшали с помощью PCA до 30 измерений — это ускоряет вычисление расстояний и подавляет часть шума.</w:t>
            </w:r>
          </w:p>
          <w:p>
            <w:pPr>
              <w:spacing w:after="40"/>
            </w:pPr>
            <w:r>
              <w:rPr>
                <w:b w:val="0"/>
                <w:i w:val="0"/>
                <w:sz w:val="16"/>
              </w:rPr>
              <w:t>Пояснение: Было «обычно используется PCA-инициализация (init='pca')»: в статье начальное решение случайное, а PCA применяется лишь как предварительное снижение до 30 измерений.</w:t>
            </w:r>
          </w:p>
        </w:tc>
      </w:tr>
      <w:tr>
        <w:tc>
          <w:tcPr>
            <w:tcW w:type="dxa" w:w="3515"/>
          </w:tcPr>
          <w:p>
            <w:pPr>
              <w:spacing w:after="40"/>
            </w:pPr>
            <w:r>
              <w:rPr>
                <w:b w:val="0"/>
                <w:i w:val="0"/>
                <w:sz w:val="17"/>
              </w:rPr>
              <w:t>Достоинства:</w:t>
            </w:r>
          </w:p>
        </w:tc>
        <w:tc>
          <w:tcPr>
            <w:tcW w:type="dxa" w:w="1474"/>
            <w:shd w:val="clear" w:color="auto" w:fill="E2F0D9"/>
          </w:tcPr>
          <w:p>
            <w:pPr>
              <w:spacing w:after="40"/>
            </w:pPr>
            <w:r>
              <w:rPr>
                <w:b/>
                <w:i w:val="0"/>
                <w:sz w:val="17"/>
              </w:rPr>
              <w:t>Совпадает</w:t>
            </w:r>
          </w:p>
        </w:tc>
        <w:tc>
          <w:tcPr>
            <w:tcW w:type="dxa" w:w="4932"/>
          </w:tcPr>
          <w:p>
            <w:pPr>
              <w:spacing w:after="40"/>
            </w:pPr>
            <w:r>
              <w:rPr>
                <w:b/>
                <w:i w:val="0"/>
                <w:sz w:val="17"/>
              </w:rPr>
              <w:t>Страницы в отчёте: [7] с. 2579–2580</w:t>
            </w:r>
          </w:p>
        </w:tc>
        <w:tc>
          <w:tcPr>
            <w:tcW w:type="dxa" w:w="5102"/>
          </w:tcPr>
          <w:p>
            <w:pPr>
              <w:spacing w:after="40"/>
            </w:pPr>
            <w:r>
              <w:rPr>
                <w:b w:val="0"/>
                <w:i w:val="0"/>
                <w:sz w:val="17"/>
              </w:rPr>
              <w:t>(текст сохранён)</w:t>
            </w:r>
          </w:p>
        </w:tc>
      </w:tr>
      <w:tr>
        <w:tc>
          <w:tcPr>
            <w:tcW w:type="dxa" w:w="3515"/>
          </w:tcPr>
          <w:p>
            <w:pPr>
              <w:spacing w:after="40"/>
            </w:pPr>
            <w:r>
              <w:rPr>
                <w:b w:val="0"/>
                <w:i w:val="0"/>
                <w:sz w:val="17"/>
              </w:rPr>
              <w:t>Превосходно визуализирует кластерную структуру, создавая четкие разделения.</w:t>
            </w:r>
          </w:p>
        </w:tc>
        <w:tc>
          <w:tcPr>
            <w:tcW w:type="dxa" w:w="1474"/>
            <w:shd w:val="clear" w:color="auto" w:fill="FFF2CC"/>
          </w:tcPr>
          <w:p>
            <w:pPr>
              <w:spacing w:after="40"/>
            </w:pPr>
            <w:r>
              <w:rPr>
                <w:b/>
                <w:i w:val="0"/>
                <w:sz w:val="17"/>
              </w:rPr>
              <w:t>Исправлено частично</w:t>
            </w:r>
          </w:p>
        </w:tc>
        <w:tc>
          <w:tcPr>
            <w:tcW w:type="dxa" w:w="4932"/>
          </w:tcPr>
          <w:p>
            <w:pPr>
              <w:spacing w:after="40"/>
            </w:pPr>
            <w:r>
              <w:rPr>
                <w:b/>
                <w:i w:val="0"/>
                <w:sz w:val="17"/>
              </w:rPr>
              <w:t>Страницы в отчёте: [7] с. 2579–2580</w:t>
            </w:r>
          </w:p>
          <w:p>
            <w:pPr>
              <w:spacing w:after="40"/>
            </w:pPr>
            <w:r>
              <w:rPr>
                <w:b w:val="0"/>
                <w:i/>
                <w:sz w:val="17"/>
              </w:rPr>
              <w:t>с. 2579: «The visualizations produced by t-SNE are significantly better than those produced by the other techniques on almost all of the data sets.»</w:t>
            </w:r>
          </w:p>
        </w:tc>
        <w:tc>
          <w:tcPr>
            <w:tcW w:type="dxa" w:w="5102"/>
          </w:tcPr>
          <w:p>
            <w:pPr>
              <w:spacing w:after="40"/>
            </w:pPr>
            <w:r>
              <w:rPr>
                <w:b w:val="0"/>
                <w:i w:val="0"/>
                <w:sz w:val="17"/>
              </w:rPr>
              <w:t>Визуализации t-SNE на подавляющем большинстве наборов данных заметно лучше, чем у других методов (Sammon mapping, Isomap, LLE), и показывают структуру в виде кластеров на нескольких масштабах.</w:t>
            </w:r>
          </w:p>
          <w:p>
            <w:pPr>
              <w:spacing w:after="40"/>
            </w:pPr>
            <w:r>
              <w:rPr>
                <w:b w:val="0"/>
                <w:i w:val="0"/>
                <w:sz w:val="16"/>
              </w:rPr>
              <w:t>Пояснение: Формулировка «превосходно, создавая четкие разделения» заменена формулировкой авторов.</w:t>
            </w:r>
          </w:p>
        </w:tc>
      </w:tr>
      <w:tr>
        <w:tc>
          <w:tcPr>
            <w:tcW w:type="dxa" w:w="3515"/>
          </w:tcPr>
          <w:p>
            <w:pPr>
              <w:spacing w:after="40"/>
            </w:pPr>
            <w:r>
              <w:rPr>
                <w:b w:val="0"/>
                <w:i w:val="0"/>
                <w:sz w:val="17"/>
              </w:rPr>
              <w:t>Эффективно работает на широком классе данных.</w:t>
            </w:r>
          </w:p>
        </w:tc>
        <w:tc>
          <w:tcPr>
            <w:tcW w:type="dxa" w:w="1474"/>
            <w:shd w:val="clear" w:color="auto" w:fill="E2F0D9"/>
          </w:tcPr>
          <w:p>
            <w:pPr>
              <w:spacing w:after="40"/>
            </w:pPr>
            <w:r>
              <w:rPr>
                <w:b/>
                <w:i w:val="0"/>
                <w:sz w:val="17"/>
              </w:rPr>
              <w:t>Совпадает</w:t>
            </w:r>
          </w:p>
        </w:tc>
        <w:tc>
          <w:tcPr>
            <w:tcW w:type="dxa" w:w="4932"/>
          </w:tcPr>
          <w:p>
            <w:pPr>
              <w:spacing w:after="40"/>
            </w:pPr>
            <w:r>
              <w:rPr>
                <w:b/>
                <w:i w:val="0"/>
                <w:sz w:val="17"/>
              </w:rPr>
              <w:t>Страницы в отчёте: [7] с. 2579</w:t>
            </w:r>
          </w:p>
          <w:p>
            <w:pPr>
              <w:spacing w:after="40"/>
            </w:pPr>
            <w:r>
              <w:rPr>
                <w:b w:val="0"/>
                <w:i/>
                <w:sz w:val="17"/>
              </w:rPr>
              <w:t>с. 2579: «We illustrate the performance of t-SNE on a wide variety of data sets»</w:t>
            </w:r>
          </w:p>
        </w:tc>
        <w:tc>
          <w:tcPr>
            <w:tcW w:type="dxa" w:w="5102"/>
          </w:tcPr>
          <w:p>
            <w:pPr>
              <w:spacing w:after="40"/>
            </w:pPr>
            <w:r>
              <w:rPr>
                <w:b w:val="0"/>
                <w:i w:val="0"/>
                <w:sz w:val="17"/>
              </w:rPr>
              <w:t>(текст сохранён)</w:t>
            </w:r>
          </w:p>
          <w:p>
            <w:pPr>
              <w:spacing w:after="40"/>
            </w:pPr>
            <w:r>
              <w:rPr>
                <w:b w:val="0"/>
                <w:i w:val="0"/>
                <w:sz w:val="16"/>
              </w:rPr>
              <w:t>Пояснение: Подтверждено.</w:t>
            </w:r>
          </w:p>
        </w:tc>
      </w:tr>
      <w:tr>
        <w:tc>
          <w:tcPr>
            <w:tcW w:type="dxa" w:w="3515"/>
          </w:tcPr>
          <w:p>
            <w:pPr>
              <w:spacing w:after="40"/>
            </w:pPr>
            <w:r>
              <w:rPr>
                <w:b w:val="0"/>
                <w:i w:val="0"/>
                <w:sz w:val="17"/>
              </w:rPr>
              <w:t>Недостатки:</w:t>
            </w:r>
          </w:p>
        </w:tc>
        <w:tc>
          <w:tcPr>
            <w:tcW w:type="dxa" w:w="1474"/>
            <w:shd w:val="clear" w:color="auto" w:fill="E2F0D9"/>
          </w:tcPr>
          <w:p>
            <w:pPr>
              <w:spacing w:after="40"/>
            </w:pPr>
            <w:r>
              <w:rPr>
                <w:b/>
                <w:i w:val="0"/>
                <w:sz w:val="17"/>
              </w:rPr>
              <w:t>Совпадает</w:t>
            </w:r>
          </w:p>
        </w:tc>
        <w:tc>
          <w:tcPr>
            <w:tcW w:type="dxa" w:w="4932"/>
          </w:tcPr>
          <w:p>
            <w:pPr>
              <w:spacing w:after="40"/>
            </w:pPr>
            <w:r>
              <w:rPr>
                <w:b/>
                <w:i w:val="0"/>
                <w:sz w:val="17"/>
              </w:rPr>
              <w:t>Страницы в отчёте: [7] с. 2593, 2598–2600</w:t>
            </w:r>
          </w:p>
        </w:tc>
        <w:tc>
          <w:tcPr>
            <w:tcW w:type="dxa" w:w="5102"/>
          </w:tcPr>
          <w:p>
            <w:pPr>
              <w:spacing w:after="40"/>
            </w:pPr>
            <w:r>
              <w:rPr>
                <w:b w:val="0"/>
                <w:i w:val="0"/>
                <w:sz w:val="17"/>
              </w:rPr>
              <w:t>(текст сохранён)</w:t>
            </w:r>
          </w:p>
        </w:tc>
      </w:tr>
      <w:tr>
        <w:tc>
          <w:tcPr>
            <w:tcW w:type="dxa" w:w="3515"/>
          </w:tcPr>
          <w:p>
            <w:pPr>
              <w:spacing w:after="40"/>
            </w:pPr>
            <w:r>
              <w:rPr>
                <w:b w:val="0"/>
                <w:i w:val="0"/>
                <w:sz w:val="17"/>
              </w:rPr>
              <w:t>Не сохраняет глобальную структуру: Расстояния между кластерами не информативны. Размеры кластеров также могут быть искажены.</w:t>
            </w:r>
          </w:p>
        </w:tc>
        <w:tc>
          <w:tcPr>
            <w:tcW w:type="dxa" w:w="1474"/>
            <w:shd w:val="clear" w:color="auto" w:fill="FCE4D6"/>
          </w:tcPr>
          <w:p>
            <w:pPr>
              <w:spacing w:after="40"/>
            </w:pPr>
            <w:r>
              <w:rPr>
                <w:b/>
                <w:i w:val="0"/>
                <w:sz w:val="17"/>
              </w:rPr>
              <w:t>Не совпадало — заменено</w:t>
            </w:r>
          </w:p>
        </w:tc>
        <w:tc>
          <w:tcPr>
            <w:tcW w:type="dxa" w:w="4932"/>
          </w:tcPr>
          <w:p>
            <w:pPr>
              <w:spacing w:after="40"/>
            </w:pPr>
            <w:r>
              <w:rPr>
                <w:b/>
                <w:i w:val="0"/>
                <w:sz w:val="17"/>
              </w:rPr>
              <w:t>Страницы в отчёте: [7] с. 2599</w:t>
            </w:r>
          </w:p>
          <w:p>
            <w:pPr>
              <w:spacing w:after="40"/>
            </w:pPr>
            <w:r>
              <w:rPr>
                <w:b w:val="0"/>
                <w:i/>
                <w:sz w:val="17"/>
              </w:rPr>
              <w:t>с. 2599: «t-SNE reduces the dimensionality of data mainly based on local properties of the data, which makes t-SNE sensitive to the curse of the intrinsic dimensionality of the data.»</w:t>
            </w:r>
          </w:p>
        </w:tc>
        <w:tc>
          <w:tcPr>
            <w:tcW w:type="dxa" w:w="5102"/>
          </w:tcPr>
          <w:p>
            <w:pPr>
              <w:spacing w:after="40"/>
            </w:pPr>
            <w:r>
              <w:rPr>
                <w:b w:val="0"/>
                <w:i w:val="0"/>
                <w:sz w:val="17"/>
              </w:rPr>
              <w:t>Чувствительность к внутренней размерности данных: t-SNE строит отображение главным образом по локальным свойствам данных, поэтому чувствителен к проклятию внутренней размерности: при очень высокой внутренней размерности и сильно меняющемся многообразии допущение локальной линейности может нарушаться, и метод становится менее успешным.</w:t>
            </w:r>
          </w:p>
          <w:p>
            <w:pPr>
              <w:spacing w:after="40"/>
            </w:pPr>
            <w:r>
              <w:rPr>
                <w:b w:val="0"/>
                <w:i w:val="0"/>
                <w:sz w:val="16"/>
              </w:rPr>
              <w:t>Пояснение: Утверждение «не сохраняет глобальную структуру; расстояния между кластерами не информативны» в источнике отсутствует (авторы пишут, что t-SNE показывает и глобальную структуру, с. 2580). Заменено слабой стороной, названной авторами.</w:t>
            </w:r>
          </w:p>
        </w:tc>
      </w:tr>
      <w:tr>
        <w:tc>
          <w:tcPr>
            <w:tcW w:type="dxa" w:w="3515"/>
          </w:tcPr>
          <w:p>
            <w:pPr>
              <w:spacing w:after="40"/>
            </w:pPr>
            <w:r>
              <w:rPr>
                <w:b w:val="0"/>
                <w:i w:val="0"/>
                <w:sz w:val="17"/>
              </w:rPr>
              <w:t>Вычислительная сложность: O(n²), что делает его неприменимым для выборок более 10-15 тысяч точек без специальных трюков (например, Barnes-Hut t-SNE).</w:t>
            </w:r>
          </w:p>
        </w:tc>
        <w:tc>
          <w:tcPr>
            <w:tcW w:type="dxa" w:w="1474"/>
            <w:shd w:val="clear" w:color="auto" w:fill="FFF2CC"/>
          </w:tcPr>
          <w:p>
            <w:pPr>
              <w:spacing w:after="40"/>
            </w:pPr>
            <w:r>
              <w:rPr>
                <w:b/>
                <w:i w:val="0"/>
                <w:sz w:val="17"/>
              </w:rPr>
              <w:t>Исправлено частично</w:t>
            </w:r>
          </w:p>
        </w:tc>
        <w:tc>
          <w:tcPr>
            <w:tcW w:type="dxa" w:w="4932"/>
          </w:tcPr>
          <w:p>
            <w:pPr>
              <w:spacing w:after="40"/>
            </w:pPr>
            <w:r>
              <w:rPr>
                <w:b/>
                <w:i w:val="0"/>
                <w:sz w:val="17"/>
              </w:rPr>
              <w:t>Страницы в отчёте: [7] с. 2593, 2600</w:t>
            </w:r>
          </w:p>
          <w:p>
            <w:pPr>
              <w:spacing w:after="40"/>
            </w:pPr>
            <w:r>
              <w:rPr>
                <w:b w:val="0"/>
                <w:i/>
                <w:sz w:val="17"/>
              </w:rPr>
              <w:t>с. 2593: «t-SNE has a computational and memory complexity that is quadratic in the number of datapoints. This makes it infeasible to apply the standard version of t-SNE to data sets that contain many more than, say, 10,000 points.»</w:t>
            </w:r>
          </w:p>
          <w:p>
            <w:pPr>
              <w:spacing w:after="40"/>
            </w:pPr>
            <w:r>
              <w:rPr>
                <w:b w:val="0"/>
                <w:i/>
                <w:sz w:val="17"/>
              </w:rPr>
              <w:t>с. 2600: «Both the computational and the memory complexity of t-SNE are O(n²), but we present a landmark approach …»</w:t>
            </w:r>
          </w:p>
        </w:tc>
        <w:tc>
          <w:tcPr>
            <w:tcW w:type="dxa" w:w="5102"/>
          </w:tcPr>
          <w:p>
            <w:pPr>
              <w:spacing w:after="40"/>
            </w:pPr>
            <w:r>
              <w:rPr>
                <w:b w:val="0"/>
                <w:i w:val="0"/>
                <w:sz w:val="17"/>
              </w:rPr>
              <w:t>Вычислительная сложность: вычислительная и ёмкостная сложность t-SNE квадратична по числу точек (O(n²)), поэтому стандартную версию нельзя применять к наборам данных, содержащим заметно больше, скажем, 10 000 точек; для больших наборов авторы предлагают подход на основе опорных точек (landmark) и случайных блужданий по графу соседства.</w:t>
            </w:r>
          </w:p>
          <w:p>
            <w:pPr>
              <w:spacing w:after="40"/>
            </w:pPr>
            <w:r>
              <w:rPr>
                <w:b w:val="0"/>
                <w:i w:val="0"/>
                <w:sz w:val="16"/>
              </w:rPr>
              <w:t>Пояснение: Barnes–Hut в статье 2008 г. не упоминается; приведён подход авторов. Порог «10–15 тысяч» заменён на «10 000» по источнику.</w:t>
            </w:r>
          </w:p>
        </w:tc>
      </w:tr>
      <w:tr>
        <w:tc>
          <w:tcPr>
            <w:tcW w:type="dxa" w:w="3515"/>
          </w:tcPr>
          <w:p>
            <w:pPr>
              <w:spacing w:after="40"/>
            </w:pPr>
            <w:r>
              <w:rPr>
                <w:b w:val="0"/>
                <w:i w:val="0"/>
                <w:sz w:val="17"/>
              </w:rPr>
              <w:t>Стохастичность: Разные запуски с разным random_state могут давать разные результаты.</w:t>
            </w:r>
          </w:p>
        </w:tc>
        <w:tc>
          <w:tcPr>
            <w:tcW w:type="dxa" w:w="1474"/>
            <w:shd w:val="clear" w:color="auto" w:fill="FCE4D6"/>
          </w:tcPr>
          <w:p>
            <w:pPr>
              <w:spacing w:after="40"/>
            </w:pPr>
            <w:r>
              <w:rPr>
                <w:b/>
                <w:i w:val="0"/>
                <w:sz w:val="17"/>
              </w:rPr>
              <w:t>Не совпадало — заменено</w:t>
            </w:r>
          </w:p>
        </w:tc>
        <w:tc>
          <w:tcPr>
            <w:tcW w:type="dxa" w:w="4932"/>
          </w:tcPr>
          <w:p>
            <w:pPr>
              <w:spacing w:after="40"/>
            </w:pPr>
            <w:r>
              <w:rPr>
                <w:b/>
                <w:i w:val="0"/>
                <w:sz w:val="17"/>
              </w:rPr>
              <w:t>Страницы в отчёте: [7] с. 2599</w:t>
            </w:r>
          </w:p>
          <w:p>
            <w:pPr>
              <w:spacing w:after="40"/>
            </w:pPr>
            <w:r>
              <w:rPr>
                <w:b w:val="0"/>
                <w:i/>
                <w:sz w:val="17"/>
              </w:rPr>
              <w:t>с. 2599: «A major weakness of t-SNE is that the cost function is not convex, as a result of which several optimization parameters need to be chosen. The constructed solutions depend on these choices of optimization parameters and may be different each time t-SNE is run from an initial random configuration of map points.»</w:t>
            </w:r>
          </w:p>
        </w:tc>
        <w:tc>
          <w:tcPr>
            <w:tcW w:type="dxa" w:w="5102"/>
          </w:tcPr>
          <w:p>
            <w:pPr>
              <w:spacing w:after="40"/>
            </w:pPr>
            <w:r>
              <w:rPr>
                <w:b w:val="0"/>
                <w:i w:val="0"/>
                <w:sz w:val="17"/>
              </w:rPr>
              <w:t>Невыпуклость функции стоимости: целевая функция t-SNE не выпукла, поэтому приходится подбирать параметры оптимизации; решение зависит от этого выбора и может быть разным при каждом запуске из случайной начальной конфигурации.</w:t>
            </w:r>
          </w:p>
          <w:p>
            <w:pPr>
              <w:spacing w:after="40"/>
            </w:pPr>
            <w:r>
              <w:rPr>
                <w:b w:val="0"/>
                <w:i w:val="0"/>
                <w:sz w:val="16"/>
              </w:rPr>
              <w:t>Пояснение: Про параметр random_state в статье нет; приведена причина стохастичности по статье.</w:t>
            </w:r>
          </w:p>
        </w:tc>
      </w:tr>
      <w:tr>
        <w:tc>
          <w:tcPr>
            <w:tcW w:type="dxa" w:w="3515"/>
          </w:tcPr>
          <w:p>
            <w:pPr>
              <w:spacing w:after="40"/>
            </w:pPr>
            <w:r>
              <w:rPr>
                <w:b w:val="0"/>
                <w:i w:val="0"/>
                <w:sz w:val="17"/>
              </w:rPr>
              <w:t>Отсутствие явной функции проекции (существуют параметрические версии Parametric t-SNE).</w:t>
            </w:r>
          </w:p>
        </w:tc>
        <w:tc>
          <w:tcPr>
            <w:tcW w:type="dxa" w:w="1474"/>
            <w:shd w:val="clear" w:color="auto" w:fill="FFF2CC"/>
          </w:tcPr>
          <w:p>
            <w:pPr>
              <w:spacing w:after="40"/>
            </w:pPr>
            <w:r>
              <w:rPr>
                <w:b/>
                <w:i w:val="0"/>
                <w:sz w:val="17"/>
              </w:rPr>
              <w:t>Исправлено частично</w:t>
            </w:r>
          </w:p>
        </w:tc>
        <w:tc>
          <w:tcPr>
            <w:tcW w:type="dxa" w:w="4932"/>
          </w:tcPr>
          <w:p>
            <w:pPr>
              <w:spacing w:after="40"/>
            </w:pPr>
            <w:r>
              <w:rPr>
                <w:b/>
                <w:i w:val="0"/>
                <w:sz w:val="17"/>
              </w:rPr>
              <w:t>Страницы в отчёте: [7] с. 2600</w:t>
            </w:r>
          </w:p>
          <w:p>
            <w:pPr>
              <w:spacing w:after="40"/>
            </w:pPr>
            <w:r>
              <w:rPr>
                <w:b w:val="0"/>
                <w:i/>
                <w:sz w:val="17"/>
              </w:rPr>
              <w:t>с. 2600: «we aim to develop a parametric version of t-SNE that allows for generalization to held-out test data by using the t-SNE objective function to train a multilayer neural network that provides an explicit mapping to the low-dimensional space.»</w:t>
            </w:r>
          </w:p>
        </w:tc>
        <w:tc>
          <w:tcPr>
            <w:tcW w:type="dxa" w:w="5102"/>
          </w:tcPr>
          <w:p>
            <w:pPr>
              <w:spacing w:after="40"/>
            </w:pPr>
            <w:r>
              <w:rPr>
                <w:b w:val="0"/>
                <w:i w:val="0"/>
                <w:sz w:val="17"/>
              </w:rPr>
              <w:t>Отсутствие явной функции проекции: авторы планируют разработать параметрическую версию t-SNE, которая даст явное отображение в низкоразмерное пространство и обобщение на новые данные.</w:t>
            </w:r>
          </w:p>
          <w:p>
            <w:pPr>
              <w:spacing w:after="40"/>
            </w:pPr>
            <w:r>
              <w:rPr>
                <w:b w:val="0"/>
                <w:i w:val="0"/>
                <w:sz w:val="16"/>
              </w:rPr>
              <w:t>Пояснение: Параметрическая версия в статье названа планом на будущее, а не существующим вариантом.</w:t>
            </w:r>
          </w:p>
        </w:tc>
      </w:tr>
    </w:tbl>
    <w:p>
      <w:pPr>
        <w:pStyle w:val="Heading2"/>
      </w:pPr>
      <w:r>
        <w:t>3.4. UMAP</w:t>
      </w:r>
    </w:p>
    <w:tbl>
      <w:tblPr>
        <w:tblStyle w:val="TableGrid"/>
        <w:tblW w:type="auto" w:w="0"/>
        <w:tblLook w:firstColumn="1" w:firstRow="1" w:lastColumn="0" w:lastRow="0" w:noHBand="0" w:noVBand="1" w:val="04A0"/>
      </w:tblPr>
      <w:tblGrid>
        <w:gridCol w:w="3535"/>
        <w:gridCol w:w="3535"/>
        <w:gridCol w:w="3535"/>
        <w:gridCol w:w="3535"/>
      </w:tblGrid>
      <w:tr>
        <w:tc>
          <w:tcPr>
            <w:tcW w:type="dxa" w:w="3515"/>
            <w:shd w:val="clear" w:color="auto" w:fill="BFBFBF"/>
          </w:tcPr>
          <w:p>
            <w:pPr>
              <w:spacing w:after="40"/>
            </w:pPr>
            <w:r>
              <w:rPr>
                <w:b/>
                <w:i w:val="0"/>
                <w:sz w:val="18"/>
              </w:rPr>
              <w:t>Было в отчёте</w:t>
            </w:r>
          </w:p>
        </w:tc>
        <w:tc>
          <w:tcPr>
            <w:tcW w:type="dxa" w:w="1474"/>
            <w:shd w:val="clear" w:color="auto" w:fill="BFBFBF"/>
          </w:tcPr>
          <w:p>
            <w:pPr>
              <w:spacing w:after="40"/>
            </w:pPr>
            <w:r>
              <w:rPr>
                <w:b/>
                <w:i w:val="0"/>
                <w:sz w:val="18"/>
              </w:rPr>
              <w:t>Статус</w:t>
            </w:r>
          </w:p>
        </w:tc>
        <w:tc>
          <w:tcPr>
            <w:tcW w:type="dxa" w:w="4932"/>
            <w:shd w:val="clear" w:color="auto" w:fill="BFBFBF"/>
          </w:tcPr>
          <w:p>
            <w:pPr>
              <w:spacing w:after="40"/>
            </w:pPr>
            <w:r>
              <w:rPr>
                <w:b/>
                <w:i w:val="0"/>
                <w:sz w:val="18"/>
              </w:rPr>
              <w:t>Источник: страница и цитата</w:t>
            </w:r>
          </w:p>
        </w:tc>
        <w:tc>
          <w:tcPr>
            <w:tcW w:type="dxa" w:w="5102"/>
            <w:shd w:val="clear" w:color="auto" w:fill="BFBFBF"/>
          </w:tcPr>
          <w:p>
            <w:pPr>
              <w:spacing w:after="40"/>
            </w:pPr>
            <w:r>
              <w:rPr>
                <w:b/>
                <w:i w:val="0"/>
                <w:sz w:val="18"/>
              </w:rPr>
              <w:t>Стало / что исправлено</w:t>
            </w:r>
          </w:p>
        </w:tc>
      </w:tr>
      <w:tr>
        <w:tc>
          <w:tcPr>
            <w:tcW w:type="dxa" w:w="3515"/>
          </w:tcPr>
          <w:p>
            <w:pPr>
              <w:spacing w:after="40"/>
            </w:pPr>
            <w:r>
              <w:rPr>
                <w:b w:val="0"/>
                <w:i w:val="0"/>
                <w:sz w:val="17"/>
              </w:rPr>
              <w:t>3.4. Равномерное приближение и проекция многообразий (UMAP): современный подход</w:t>
            </w:r>
          </w:p>
        </w:tc>
        <w:tc>
          <w:tcPr>
            <w:tcW w:type="dxa" w:w="1474"/>
            <w:shd w:val="clear" w:color="auto" w:fill="E2F0D9"/>
          </w:tcPr>
          <w:p>
            <w:pPr>
              <w:spacing w:after="40"/>
            </w:pPr>
            <w:r>
              <w:rPr>
                <w:b/>
                <w:i w:val="0"/>
                <w:sz w:val="17"/>
              </w:rPr>
              <w:t>Совпадает</w:t>
            </w:r>
          </w:p>
        </w:tc>
        <w:tc>
          <w:tcPr>
            <w:tcW w:type="dxa" w:w="4932"/>
          </w:tcPr>
          <w:p>
            <w:pPr>
              <w:spacing w:after="40"/>
            </w:pPr>
            <w:r>
              <w:rPr>
                <w:b/>
                <w:i w:val="0"/>
                <w:sz w:val="17"/>
              </w:rPr>
              <w:t>Страницы в отчёте: [8] с. 1–3</w:t>
            </w:r>
          </w:p>
        </w:tc>
        <w:tc>
          <w:tcPr>
            <w:tcW w:type="dxa" w:w="5102"/>
          </w:tcPr>
          <w:p>
            <w:pPr>
              <w:spacing w:after="40"/>
            </w:pPr>
            <w:r>
              <w:rPr>
                <w:b w:val="0"/>
                <w:i w:val="0"/>
                <w:sz w:val="17"/>
              </w:rPr>
              <w:t>(текст сохранён)</w:t>
            </w:r>
          </w:p>
          <w:p>
            <w:pPr>
              <w:spacing w:after="40"/>
            </w:pPr>
            <w:r>
              <w:rPr>
                <w:b w:val="0"/>
                <w:i w:val="0"/>
                <w:sz w:val="16"/>
              </w:rPr>
              <w:t>Пояснение: Страницы «3–4, 17–24» заменены на точные для каждого утверждения.</w:t>
            </w:r>
          </w:p>
        </w:tc>
      </w:tr>
      <w:tr>
        <w:tc>
          <w:tcPr>
            <w:tcW w:type="dxa" w:w="3515"/>
          </w:tcPr>
          <w:p>
            <w:pPr>
              <w:spacing w:after="40"/>
            </w:pPr>
            <w:r>
              <w:rPr>
                <w:b w:val="0"/>
                <w:i w:val="0"/>
                <w:sz w:val="17"/>
              </w:rPr>
              <w:t>Идея: UMAP (Uniform Manifold Approximation and Projection) основан на строгой математической теории (топологии, теории категорий). На практике он похож на t-SNE, но использует другую теоретическую базу и другую целевую функцию, что приводит к ряду практических преимуществ.</w:t>
            </w:r>
          </w:p>
        </w:tc>
        <w:tc>
          <w:tcPr>
            <w:tcW w:type="dxa" w:w="1474"/>
            <w:shd w:val="clear" w:color="auto" w:fill="FFF2CC"/>
          </w:tcPr>
          <w:p>
            <w:pPr>
              <w:spacing w:after="40"/>
            </w:pPr>
            <w:r>
              <w:rPr>
                <w:b/>
                <w:i w:val="0"/>
                <w:sz w:val="17"/>
              </w:rPr>
              <w:t>Исправлено частично</w:t>
            </w:r>
          </w:p>
        </w:tc>
        <w:tc>
          <w:tcPr>
            <w:tcW w:type="dxa" w:w="4932"/>
          </w:tcPr>
          <w:p>
            <w:pPr>
              <w:spacing w:after="40"/>
            </w:pPr>
            <w:r>
              <w:rPr>
                <w:b/>
                <w:i w:val="0"/>
                <w:sz w:val="17"/>
              </w:rPr>
              <w:t>Страницы в отчёте: [8] с. 1–2</w:t>
            </w:r>
          </w:p>
          <w:p>
            <w:pPr>
              <w:spacing w:after="40"/>
            </w:pPr>
            <w:r>
              <w:rPr>
                <w:b w:val="0"/>
                <w:i/>
                <w:sz w:val="17"/>
              </w:rPr>
              <w:t>с. 1: «UMAP is constructed from a theoretical framework based in Riemannian geometry and algebraic topology.»</w:t>
            </w:r>
          </w:p>
          <w:p>
            <w:pPr>
              <w:spacing w:after="40"/>
            </w:pPr>
            <w:r>
              <w:rPr>
                <w:b w:val="0"/>
                <w:i/>
                <w:sz w:val="17"/>
              </w:rPr>
              <w:t>с. 2: «UMAP … builds upon mathematical foundations related to the work of Belkin and Niyogi on Laplacian eigenmaps. … the work of David Spivak in category theoretic approaches to geometric realization of fuzzy simplicial sets.»</w:t>
            </w:r>
          </w:p>
        </w:tc>
        <w:tc>
          <w:tcPr>
            <w:tcW w:type="dxa" w:w="5102"/>
          </w:tcPr>
          <w:p>
            <w:pPr>
              <w:spacing w:after="40"/>
            </w:pPr>
            <w:r>
              <w:rPr>
                <w:b w:val="0"/>
                <w:i w:val="0"/>
                <w:sz w:val="17"/>
              </w:rPr>
              <w:t>Идея: UMAP (Uniform Manifold Approximation and Projection) построен на теоретической базе римановой геометрии и алгебраической топологии, опирается на идеи Белкина и Ниоги (лапласовские собственные отображения) и на теоретико-категорный подход Спивака к геометрической реализации нечётких симплициальных множеств. По качеству визуализации алгоритм сопоставим с t-SNE.</w:t>
            </w:r>
          </w:p>
          <w:p>
            <w:pPr>
              <w:spacing w:after="40"/>
            </w:pPr>
            <w:r>
              <w:rPr>
                <w:b w:val="0"/>
                <w:i w:val="0"/>
                <w:sz w:val="16"/>
              </w:rPr>
              <w:t>Пояснение: Формулировка «строгая теория (топология, теория категорий)» уточнена по тексту статьи; сходство с t-SNE подтверждено лишь по качеству визуализации.</w:t>
            </w:r>
          </w:p>
        </w:tc>
      </w:tr>
      <w:tr>
        <w:tc>
          <w:tcPr>
            <w:tcW w:type="dxa" w:w="3515"/>
          </w:tcPr>
          <w:p>
            <w:pPr>
              <w:spacing w:after="40"/>
            </w:pPr>
            <w:r>
              <w:rPr>
                <w:b w:val="0"/>
                <w:i w:val="0"/>
                <w:sz w:val="17"/>
              </w:rPr>
              <w:t>Ключевые отличия от t-SNE:</w:t>
            </w:r>
          </w:p>
        </w:tc>
        <w:tc>
          <w:tcPr>
            <w:tcW w:type="dxa" w:w="1474"/>
            <w:shd w:val="clear" w:color="auto" w:fill="E2F0D9"/>
          </w:tcPr>
          <w:p>
            <w:pPr>
              <w:spacing w:after="40"/>
            </w:pPr>
            <w:r>
              <w:rPr>
                <w:b/>
                <w:i w:val="0"/>
                <w:sz w:val="17"/>
              </w:rPr>
              <w:t>Совпадает</w:t>
            </w:r>
          </w:p>
        </w:tc>
        <w:tc>
          <w:tcPr>
            <w:tcW w:type="dxa" w:w="4932"/>
          </w:tcPr>
          <w:p>
            <w:pPr>
              <w:spacing w:after="40"/>
            </w:pPr>
            <w:r>
              <w:rPr>
                <w:b/>
                <w:i w:val="0"/>
                <w:sz w:val="17"/>
              </w:rPr>
              <w:t>Страницы в отчёте: [8] с. 14–22</w:t>
            </w:r>
          </w:p>
        </w:tc>
        <w:tc>
          <w:tcPr>
            <w:tcW w:type="dxa" w:w="5102"/>
          </w:tcPr>
          <w:p>
            <w:pPr>
              <w:spacing w:after="40"/>
            </w:pPr>
            <w:r>
              <w:rPr>
                <w:b w:val="0"/>
                <w:i w:val="0"/>
                <w:sz w:val="17"/>
              </w:rPr>
              <w:t>(текст сохранён)</w:t>
            </w:r>
          </w:p>
        </w:tc>
      </w:tr>
      <w:tr>
        <w:tc>
          <w:tcPr>
            <w:tcW w:type="dxa" w:w="3515"/>
          </w:tcPr>
          <w:p>
            <w:pPr>
              <w:spacing w:after="40"/>
            </w:pPr>
            <w:r>
              <w:rPr>
                <w:b w:val="0"/>
                <w:i w:val="0"/>
                <w:sz w:val="17"/>
              </w:rPr>
              <w:t>Определение сходства в высокомерии: вместо нормализованных гауссиан UMAP использует экспоненциально затухающую функцию по краям графа соседства. Формально, сходство v_{j|i} = exp[(-d(x_i, x_j) - ρ_i) / σ_i], где ρ_i — расстояние до ближайшего соседа (гарантирует локальность).</w:t>
            </w:r>
          </w:p>
        </w:tc>
        <w:tc>
          <w:tcPr>
            <w:tcW w:type="dxa" w:w="1474"/>
            <w:shd w:val="clear" w:color="auto" w:fill="FFF2CC"/>
          </w:tcPr>
          <w:p>
            <w:pPr>
              <w:spacing w:after="40"/>
            </w:pPr>
            <w:r>
              <w:rPr>
                <w:b/>
                <w:i w:val="0"/>
                <w:sz w:val="17"/>
              </w:rPr>
              <w:t>Исправлено частично</w:t>
            </w:r>
          </w:p>
        </w:tc>
        <w:tc>
          <w:tcPr>
            <w:tcW w:type="dxa" w:w="4932"/>
          </w:tcPr>
          <w:p>
            <w:pPr>
              <w:spacing w:after="40"/>
            </w:pPr>
            <w:r>
              <w:rPr>
                <w:b/>
                <w:i w:val="0"/>
                <w:sz w:val="17"/>
              </w:rPr>
              <w:t>Страницы в отчёте: [8] с. 14–16</w:t>
            </w:r>
          </w:p>
          <w:p>
            <w:pPr>
              <w:spacing w:after="40"/>
            </w:pPr>
            <w:r>
              <w:rPr>
                <w:b w:val="0"/>
                <w:i/>
                <w:sz w:val="17"/>
              </w:rPr>
              <w:t>с. 15: «w((x_i, x_ij)) = exp(−max(0, d(x_i, x_ij) − ρ_i) / σ_i)»</w:t>
            </w:r>
          </w:p>
          <w:p>
            <w:pPr>
              <w:spacing w:after="40"/>
            </w:pPr>
            <w:r>
              <w:rPr>
                <w:b w:val="0"/>
                <w:i/>
                <w:sz w:val="17"/>
              </w:rPr>
              <w:t>с. 14–15: «ρ_i = min{d(x_i, x_ij) | 1 ≤ j ≤ k, d(x_i, x_ij) &gt; 0} … σ_i … Σ_j exp(−max(0, d(x_i, x_ij) − ρ_i)/σ_i) = log₂(k) … it ensures that x_i connects to at least one other data point with an edge of weight 1»</w:t>
            </w:r>
          </w:p>
          <w:p>
            <w:pPr>
              <w:spacing w:after="40"/>
            </w:pPr>
            <w:r>
              <w:rPr>
                <w:b w:val="0"/>
                <w:i/>
                <w:sz w:val="17"/>
              </w:rPr>
              <w:t>с. 15–16: «B = A + Aᵀ − A ∘ Aᵀ»</w:t>
            </w:r>
          </w:p>
        </w:tc>
        <w:tc>
          <w:tcPr>
            <w:tcW w:type="dxa" w:w="5102"/>
          </w:tcPr>
          <w:p>
            <w:pPr>
              <w:spacing w:after="40"/>
            </w:pPr>
            <w:r>
              <w:rPr>
                <w:b w:val="0"/>
                <w:i w:val="0"/>
                <w:sz w:val="17"/>
              </w:rPr>
              <w:t>Сходство в высокоразмерном пространстве: вместо нормализованных гауссиан UMAP строит взвешенный граф k ближайших соседей с весами w(x_i, x_ij) = exp(−max(0, d(x_i, x_ij) − ρ_i) / σ_i), где ρ_i — расстояние до ближайшего соседа (гарантирует, что x_i соединена хотя бы с одной точкой ребром веса 1), а σ_i подбирается из условия Σ_j exp(−max(0, d(x_i, x_ij) − ρ_i) / σ_i) = log₂(k). Графы объединяются симметризацией B = A + Aᵀ − A∘Aᵀ.</w:t>
            </w:r>
          </w:p>
          <w:p>
            <w:pPr>
              <w:spacing w:after="40"/>
            </w:pPr>
            <w:r>
              <w:rPr>
                <w:b w:val="0"/>
                <w:i w:val="0"/>
                <w:sz w:val="16"/>
              </w:rPr>
              <w:t>Пояснение: Формула в тексте была записана неверно (exp[(−d − ρ_i)/σ_i]); в статье вес равен exp(−max(0, d − ρ_i)/σ_i).</w:t>
            </w:r>
          </w:p>
        </w:tc>
      </w:tr>
      <w:tr>
        <w:tc>
          <w:tcPr>
            <w:tcW w:type="dxa" w:w="3515"/>
          </w:tcPr>
          <w:p>
            <w:pPr>
              <w:spacing w:after="40"/>
            </w:pPr>
            <w:r>
              <w:rPr>
                <w:b w:val="0"/>
                <w:i w:val="0"/>
                <w:sz w:val="17"/>
              </w:rPr>
              <w:t>Сходство в низкомерии: Используется другая функция: w_{ij} = (1 + a * ||y_i - y_j||^{2b})^{-1}. Параметры a и b подбираются автоматически или задаются пользователем. Эта функция также имеет тяжелые хвосты.</w:t>
            </w:r>
          </w:p>
        </w:tc>
        <w:tc>
          <w:tcPr>
            <w:tcW w:type="dxa" w:w="1474"/>
            <w:shd w:val="clear" w:color="auto" w:fill="FFF2CC"/>
          </w:tcPr>
          <w:p>
            <w:pPr>
              <w:spacing w:after="40"/>
            </w:pPr>
            <w:r>
              <w:rPr>
                <w:b/>
                <w:i w:val="0"/>
                <w:sz w:val="17"/>
              </w:rPr>
              <w:t>Исправлено частично</w:t>
            </w:r>
          </w:p>
        </w:tc>
        <w:tc>
          <w:tcPr>
            <w:tcW w:type="dxa" w:w="4932"/>
          </w:tcPr>
          <w:p>
            <w:pPr>
              <w:spacing w:after="40"/>
            </w:pPr>
            <w:r>
              <w:rPr>
                <w:b/>
                <w:i w:val="0"/>
                <w:sz w:val="17"/>
              </w:rPr>
              <w:t>Страницы в отчёте: [8] с. 20–21</w:t>
            </w:r>
          </w:p>
          <w:p>
            <w:pPr>
              <w:spacing w:after="40"/>
            </w:pPr>
            <w:r>
              <w:rPr>
                <w:b w:val="0"/>
                <w:i/>
                <w:sz w:val="17"/>
              </w:rPr>
              <w:t>с. 20: «Φ(x, y) = (1 + a(||x − y||²₂)^b)^{-1}»</w:t>
            </w:r>
          </w:p>
          <w:p>
            <w:pPr>
              <w:spacing w:after="40"/>
            </w:pPr>
            <w:r>
              <w:rPr>
                <w:b w:val="0"/>
                <w:i/>
                <w:sz w:val="17"/>
              </w:rPr>
              <w:t>с. 21: «where a and b are chosen by non-linear least squares fitting against the curve Ψ … defined by min-dist»</w:t>
            </w:r>
          </w:p>
        </w:tc>
        <w:tc>
          <w:tcPr>
            <w:tcW w:type="dxa" w:w="5102"/>
          </w:tcPr>
          <w:p>
            <w:pPr>
              <w:spacing w:after="40"/>
            </w:pPr>
            <w:r>
              <w:rPr>
                <w:b w:val="0"/>
                <w:i w:val="0"/>
                <w:sz w:val="17"/>
              </w:rPr>
              <w:t>Сходство в низкоразмерном пространстве: используется функция Φ(x, y) = (1 + a * ||x - y||^{2b})^{-1} — гладкая аппроксимация степени принадлежности 1-симплекса; параметры a и b подбираются нелинейным методом наименьших квадратов по кривой, определяемой параметром min-dist.</w:t>
            </w:r>
          </w:p>
          <w:p>
            <w:pPr>
              <w:spacing w:after="40"/>
            </w:pPr>
            <w:r>
              <w:rPr>
                <w:b w:val="0"/>
                <w:i w:val="0"/>
                <w:sz w:val="16"/>
              </w:rPr>
              <w:t>Пояснение: Было «подбираются автоматически или задаются пользователем» и «функция также имеет тяжелые хвосты» — в статье: подбор нелинейным МНК по min-dist; про «тяжелые хвосты» не сказано.</w:t>
            </w:r>
          </w:p>
        </w:tc>
      </w:tr>
      <w:tr>
        <w:tc>
          <w:tcPr>
            <w:tcW w:type="dxa" w:w="3515"/>
          </w:tcPr>
          <w:p>
            <w:pPr>
              <w:spacing w:after="40"/>
            </w:pPr>
            <w:r>
              <w:rPr>
                <w:b w:val="0"/>
                <w:i w:val="0"/>
                <w:sz w:val="17"/>
              </w:rPr>
              <w:t>Целевая функция: Вместо KL-дивергенции UMAP минимизирует перекрестную энтропию между двумя взвешенными графами (высоко- и низкоразмерным): CE = Σ_{i≠j} [ v_{ij} log(v_{ij}/w_{ij}) + (1 - v_{ij}) log((1-v_{ij})/(1-w_{ij}))] Второе слагаемое является силой отталкивания для далеких точек, что делает оптимизацию более эффективной.</w:t>
            </w:r>
          </w:p>
        </w:tc>
        <w:tc>
          <w:tcPr>
            <w:tcW w:type="dxa" w:w="1474"/>
            <w:shd w:val="clear" w:color="auto" w:fill="FFF2CC"/>
          </w:tcPr>
          <w:p>
            <w:pPr>
              <w:spacing w:after="40"/>
            </w:pPr>
            <w:r>
              <w:rPr>
                <w:b/>
                <w:i w:val="0"/>
                <w:sz w:val="17"/>
              </w:rPr>
              <w:t>Исправлено частично</w:t>
            </w:r>
          </w:p>
        </w:tc>
        <w:tc>
          <w:tcPr>
            <w:tcW w:type="dxa" w:w="4932"/>
          </w:tcPr>
          <w:p>
            <w:pPr>
              <w:spacing w:after="40"/>
            </w:pPr>
            <w:r>
              <w:rPr>
                <w:b/>
                <w:i w:val="0"/>
                <w:sz w:val="17"/>
              </w:rPr>
              <w:t>Страницы в отчёте: [8] с. 12, 16, 20, 49</w:t>
            </w:r>
          </w:p>
          <w:p>
            <w:pPr>
              <w:spacing w:after="40"/>
            </w:pPr>
            <w:r>
              <w:rPr>
                <w:b w:val="0"/>
                <w:i/>
                <w:sz w:val="17"/>
              </w:rPr>
              <w:t>с. 12: «Definition 10. The cross entropy C of two fuzzy sets (A, µ) and (A, ν) is defined as C = Σ µ(a) log(µ(a)/ν(a)) + (1 − µ(a)) log((1 − µ(a))/(1 − ν(a)))»</w:t>
            </w:r>
          </w:p>
          <w:p>
            <w:pPr>
              <w:spacing w:after="40"/>
            </w:pPr>
            <w:r>
              <w:rPr>
                <w:b w:val="0"/>
                <w:i/>
                <w:sz w:val="17"/>
              </w:rPr>
              <w:t>с. 16: «A force directed graph layout utilizes a set of attractive forces applied along edges and a set of repulsive forces applied among vertices.»</w:t>
            </w:r>
          </w:p>
          <w:p>
            <w:pPr>
              <w:spacing w:after="40"/>
            </w:pPr>
            <w:r>
              <w:rPr>
                <w:b w:val="0"/>
                <w:i/>
                <w:sz w:val="17"/>
              </w:rPr>
              <w:t>с. 49: «the objective function derived for UMAP (cross-entropy) is significantly different from that of t-SNE (KL-divergence)»</w:t>
            </w:r>
          </w:p>
        </w:tc>
        <w:tc>
          <w:tcPr>
            <w:tcW w:type="dxa" w:w="5102"/>
          </w:tcPr>
          <w:p>
            <w:pPr>
              <w:spacing w:after="40"/>
            </w:pPr>
            <w:r>
              <w:rPr>
                <w:b w:val="0"/>
                <w:i w:val="0"/>
                <w:sz w:val="17"/>
              </w:rPr>
              <w:t>Целевая функция: вместо KL-дивергенции UMAP минимизирует перекрестную энтропию между двумя нечёткими графами (высоко- и низкоразмерным): CE = Σ_{i≠j} [ v_{ij} log(v_{ij}/w_{ij}) + (1 - v_{ij}) log((1-v_{ij})/(1-w_{ij}))] Второе слагаемое реализуется выборкой отрицательных примеров и действует как сила отталкивания: в целом используется силовая раскладка графа с притяжением вдоль рёбер и отталкиванием между вершинами.</w:t>
            </w:r>
          </w:p>
          <w:p>
            <w:pPr>
              <w:spacing w:after="40"/>
            </w:pPr>
            <w:r>
              <w:rPr>
                <w:b w:val="0"/>
                <w:i w:val="0"/>
                <w:sz w:val="16"/>
              </w:rPr>
              <w:t>Пояснение: Формула верна. Фраза «что делает оптимизацию более эффективной» в статье не сформулирована в таком виде — заменена описанием роли слагаемого.</w:t>
            </w:r>
          </w:p>
        </w:tc>
      </w:tr>
      <w:tr>
        <w:tc>
          <w:tcPr>
            <w:tcW w:type="dxa" w:w="3515"/>
          </w:tcPr>
          <w:p>
            <w:pPr>
              <w:spacing w:after="40"/>
            </w:pPr>
            <w:r>
              <w:rPr>
                <w:b w:val="0"/>
                <w:i w:val="0"/>
                <w:sz w:val="17"/>
              </w:rPr>
              <w:t>Практические преимущества UMAP:</w:t>
            </w:r>
          </w:p>
        </w:tc>
        <w:tc>
          <w:tcPr>
            <w:tcW w:type="dxa" w:w="1474"/>
            <w:shd w:val="clear" w:color="auto" w:fill="E2F0D9"/>
          </w:tcPr>
          <w:p>
            <w:pPr>
              <w:spacing w:after="40"/>
            </w:pPr>
            <w:r>
              <w:rPr>
                <w:b/>
                <w:i w:val="0"/>
                <w:sz w:val="17"/>
              </w:rPr>
              <w:t>Совпадает</w:t>
            </w:r>
          </w:p>
        </w:tc>
        <w:tc>
          <w:tcPr>
            <w:tcW w:type="dxa" w:w="4932"/>
          </w:tcPr>
          <w:p>
            <w:pPr>
              <w:spacing w:after="40"/>
            </w:pPr>
            <w:r>
              <w:rPr>
                <w:b/>
                <w:i w:val="0"/>
                <w:sz w:val="17"/>
              </w:rPr>
              <w:t>Страницы в отчёте: [8] с. 1–2, 22</w:t>
            </w:r>
          </w:p>
        </w:tc>
        <w:tc>
          <w:tcPr>
            <w:tcW w:type="dxa" w:w="5102"/>
          </w:tcPr>
          <w:p>
            <w:pPr>
              <w:spacing w:after="40"/>
            </w:pPr>
            <w:r>
              <w:rPr>
                <w:b w:val="0"/>
                <w:i w:val="0"/>
                <w:sz w:val="17"/>
              </w:rPr>
              <w:t>(текст сохранён)</w:t>
            </w:r>
          </w:p>
        </w:tc>
      </w:tr>
      <w:tr>
        <w:tc>
          <w:tcPr>
            <w:tcW w:type="dxa" w:w="3515"/>
          </w:tcPr>
          <w:p>
            <w:pPr>
              <w:spacing w:after="40"/>
            </w:pPr>
            <w:r>
              <w:rPr>
                <w:b w:val="0"/>
                <w:i w:val="0"/>
                <w:sz w:val="17"/>
              </w:rPr>
              <w:t>Скорость: Алгоритм оптимизирован и часто работает быстрее t-SNE, особенно для больших данных.</w:t>
            </w:r>
          </w:p>
        </w:tc>
        <w:tc>
          <w:tcPr>
            <w:tcW w:type="dxa" w:w="1474"/>
            <w:shd w:val="clear" w:color="auto" w:fill="FFF2CC"/>
          </w:tcPr>
          <w:p>
            <w:pPr>
              <w:spacing w:after="40"/>
            </w:pPr>
            <w:r>
              <w:rPr>
                <w:b/>
                <w:i w:val="0"/>
                <w:sz w:val="17"/>
              </w:rPr>
              <w:t>Исправлено частично</w:t>
            </w:r>
          </w:p>
        </w:tc>
        <w:tc>
          <w:tcPr>
            <w:tcW w:type="dxa" w:w="4932"/>
          </w:tcPr>
          <w:p>
            <w:pPr>
              <w:spacing w:after="40"/>
            </w:pPr>
            <w:r>
              <w:rPr>
                <w:b/>
                <w:i w:val="0"/>
                <w:sz w:val="17"/>
              </w:rPr>
              <w:t>Страницы в отчёте: [8] с. 1–2, 22</w:t>
            </w:r>
          </w:p>
          <w:p>
            <w:pPr>
              <w:spacing w:after="40"/>
            </w:pPr>
            <w:r>
              <w:rPr>
                <w:b w:val="0"/>
                <w:i/>
                <w:sz w:val="17"/>
              </w:rPr>
              <w:t>с. 2: «Our algorithm is competitive with t-SNE for visualization quality and arguably preserves more of the global structure with superior run time performance. Furthermore the algorithm is able to scale to significantly larger data set sizes than are feasible for t-SNE.»</w:t>
            </w:r>
          </w:p>
          <w:p>
            <w:pPr>
              <w:spacing w:after="40"/>
            </w:pPr>
            <w:r>
              <w:rPr>
                <w:b w:val="0"/>
                <w:i/>
                <w:sz w:val="17"/>
              </w:rPr>
              <w:t>с. 22: «resulting in a complexity of O(kN) … empirically approximately O(N^1.14)»</w:t>
            </w:r>
          </w:p>
        </w:tc>
        <w:tc>
          <w:tcPr>
            <w:tcW w:type="dxa" w:w="5102"/>
          </w:tcPr>
          <w:p>
            <w:pPr>
              <w:spacing w:after="40"/>
            </w:pPr>
            <w:r>
              <w:rPr>
                <w:b w:val="0"/>
                <w:i w:val="0"/>
                <w:sz w:val="17"/>
              </w:rPr>
              <w:t>Скорость: по утверждению авторов, UMAP превосходит t-SNE по времени работы и масштабируется на значительно более крупные наборы данных; сложность оптимизации — O(kN), а эмпирическая сложность построения графа соседей — около O(N^1.14).</w:t>
            </w:r>
          </w:p>
          <w:p>
            <w:pPr>
              <w:spacing w:after="40"/>
            </w:pPr>
            <w:r>
              <w:rPr>
                <w:b w:val="0"/>
                <w:i w:val="0"/>
                <w:sz w:val="16"/>
              </w:rPr>
              <w:t>Пояснение: Формулировка «часто работает быстрее» заменена формулировкой авторов с оценками сложности.</w:t>
            </w:r>
          </w:p>
        </w:tc>
      </w:tr>
      <w:tr>
        <w:tc>
          <w:tcPr>
            <w:tcW w:type="dxa" w:w="3515"/>
          </w:tcPr>
          <w:p>
            <w:pPr>
              <w:spacing w:after="40"/>
            </w:pPr>
            <w:r>
              <w:rPr>
                <w:b w:val="0"/>
                <w:i w:val="0"/>
                <w:sz w:val="17"/>
              </w:rPr>
              <w:t>Сохранение глобальной структуры: лучше, чем t-SNE, сохраняет относительные расстояния между кластерами.</w:t>
            </w:r>
          </w:p>
        </w:tc>
        <w:tc>
          <w:tcPr>
            <w:tcW w:type="dxa" w:w="1474"/>
            <w:shd w:val="clear" w:color="auto" w:fill="FFF2CC"/>
          </w:tcPr>
          <w:p>
            <w:pPr>
              <w:spacing w:after="40"/>
            </w:pPr>
            <w:r>
              <w:rPr>
                <w:b/>
                <w:i w:val="0"/>
                <w:sz w:val="17"/>
              </w:rPr>
              <w:t>Исправлено частично</w:t>
            </w:r>
          </w:p>
        </w:tc>
        <w:tc>
          <w:tcPr>
            <w:tcW w:type="dxa" w:w="4932"/>
          </w:tcPr>
          <w:p>
            <w:pPr>
              <w:spacing w:after="40"/>
            </w:pPr>
            <w:r>
              <w:rPr>
                <w:b/>
                <w:i w:val="0"/>
                <w:sz w:val="17"/>
              </w:rPr>
              <w:t>Страницы в отчёте: [8] с. 1–2, 45, 49</w:t>
            </w:r>
          </w:p>
          <w:p>
            <w:pPr>
              <w:spacing w:after="40"/>
            </w:pPr>
            <w:r>
              <w:rPr>
                <w:b w:val="0"/>
                <w:i/>
                <w:sz w:val="17"/>
              </w:rPr>
              <w:t>с. 1: «arguably preserves more of the global structure with superior run time performance»</w:t>
            </w:r>
          </w:p>
          <w:p>
            <w:pPr>
              <w:spacing w:after="40"/>
            </w:pPr>
            <w:r>
              <w:rPr>
                <w:b w:val="0"/>
                <w:i/>
                <w:sz w:val="17"/>
              </w:rPr>
              <w:t>с. 45: «UMAP therefore concerns itself primarily with accurately representing local structure.»</w:t>
            </w:r>
          </w:p>
          <w:p>
            <w:pPr>
              <w:spacing w:after="40"/>
            </w:pPr>
            <w:r>
              <w:rPr>
                <w:b w:val="0"/>
                <w:i/>
                <w:sz w:val="17"/>
              </w:rPr>
              <w:t>с. 49: «a significant contributor to UMAP’s relative global structure preservation is derived from the Laplacian Eigenmaps initialization»</w:t>
            </w:r>
          </w:p>
        </w:tc>
        <w:tc>
          <w:tcPr>
            <w:tcW w:type="dxa" w:w="5102"/>
          </w:tcPr>
          <w:p>
            <w:pPr>
              <w:spacing w:after="40"/>
            </w:pPr>
            <w:r>
              <w:rPr>
                <w:b w:val="0"/>
                <w:i w:val="0"/>
                <w:sz w:val="17"/>
              </w:rPr>
              <w:t>Сохранение глобальной структуры: по оценке авторов, UMAP, возможно (arguably), сохраняет больше глобальной структуры, чем t-SNE; однако алгоритм прежде всего воспроизводит локальную структуру, а значительный вклад в сохранение глобальной структуры вносят инициализация на основе лапласиана и сама целевая функция (кросс-энтропия).</w:t>
            </w:r>
          </w:p>
          <w:p>
            <w:pPr>
              <w:spacing w:after="40"/>
            </w:pPr>
            <w:r>
              <w:rPr>
                <w:b w:val="0"/>
                <w:i w:val="0"/>
                <w:sz w:val="16"/>
              </w:rPr>
              <w:t>Пояснение: Категоричное «лучше сохраняет относительные расстояния между кластерами» смягчено до формулировки авторов.</w:t>
            </w:r>
          </w:p>
        </w:tc>
      </w:tr>
      <w:tr>
        <w:tc>
          <w:tcPr>
            <w:tcW w:type="dxa" w:w="3515"/>
          </w:tcPr>
          <w:p>
            <w:pPr>
              <w:spacing w:after="40"/>
            </w:pPr>
            <w:r>
              <w:rPr>
                <w:b w:val="0"/>
                <w:i w:val="0"/>
                <w:sz w:val="17"/>
              </w:rPr>
              <w:t>Гибкость: меньше зависит от гиперпараметров. Ключевой параметр — n_neighbors (по умолчанию 15).</w:t>
            </w:r>
          </w:p>
        </w:tc>
        <w:tc>
          <w:tcPr>
            <w:tcW w:type="dxa" w:w="1474"/>
            <w:shd w:val="clear" w:color="auto" w:fill="FCE4D6"/>
          </w:tcPr>
          <w:p>
            <w:pPr>
              <w:spacing w:after="40"/>
            </w:pPr>
            <w:r>
              <w:rPr>
                <w:b/>
                <w:i w:val="0"/>
                <w:sz w:val="17"/>
              </w:rPr>
              <w:t>Не совпадало — заменено</w:t>
            </w:r>
          </w:p>
        </w:tc>
        <w:tc>
          <w:tcPr>
            <w:tcW w:type="dxa" w:w="4932"/>
          </w:tcPr>
          <w:p>
            <w:pPr>
              <w:spacing w:after="40"/>
            </w:pPr>
            <w:r>
              <w:rPr>
                <w:b/>
                <w:i w:val="0"/>
                <w:sz w:val="17"/>
              </w:rPr>
              <w:t>Страницы в отчёте: [8] с. 22–23</w:t>
            </w:r>
          </w:p>
          <w:p>
            <w:pPr>
              <w:spacing w:after="40"/>
            </w:pPr>
            <w:r>
              <w:rPr>
                <w:b w:val="0"/>
                <w:i/>
                <w:sz w:val="17"/>
              </w:rPr>
              <w:t>с. 22–23: «the UMAP algorithm takes four hyper-parameters: 1. n, the number of neighbors … 2. d, the target embedding dimension; 3. min-dist …; and 4. n-epochs»</w:t>
            </w:r>
          </w:p>
          <w:p>
            <w:pPr>
              <w:spacing w:after="40"/>
            </w:pPr>
            <w:r>
              <w:rPr>
                <w:b w:val="0"/>
                <w:i/>
                <w:sz w:val="17"/>
              </w:rPr>
              <w:t>с. 23: «smaller values will ensure detailed manifold structure is accurately captured (at a loss of the “big picture” view of the manifold), while larger values will capture large scale manifold structures»</w:t>
            </w:r>
          </w:p>
        </w:tc>
        <w:tc>
          <w:tcPr>
            <w:tcW w:type="dxa" w:w="5102"/>
          </w:tcPr>
          <w:p>
            <w:pPr>
              <w:spacing w:after="40"/>
            </w:pPr>
            <w:r>
              <w:rPr>
                <w:b w:val="0"/>
                <w:i w:val="0"/>
                <w:sz w:val="17"/>
              </w:rPr>
              <w:t>Гиперпараметры: у алгоритма четыре гиперпараметра — число соседей n, размерность вложения d, min-dist и число эпох n-epochs. Число соседей задаёт масштаб, на котором многообразие приближается как локально плоское: малые значения сохраняют мелкие детали, большие — крупномасштабную структуру.</w:t>
            </w:r>
          </w:p>
          <w:p>
            <w:pPr>
              <w:spacing w:after="40"/>
            </w:pPr>
            <w:r>
              <w:rPr>
                <w:b w:val="0"/>
                <w:i w:val="0"/>
                <w:sz w:val="16"/>
              </w:rPr>
              <w:t>Пояснение: Значение «по умолчанию 15» в статье отсутствует (это параметр программной реализации); утверждение «меньше зависит от гиперпараметров» в статье не приведено.</w:t>
            </w:r>
          </w:p>
        </w:tc>
      </w:tr>
      <w:tr>
        <w:tc>
          <w:tcPr>
            <w:tcW w:type="dxa" w:w="3515"/>
          </w:tcPr>
          <w:p>
            <w:pPr>
              <w:spacing w:after="40"/>
            </w:pPr>
            <w:r>
              <w:rPr>
                <w:b w:val="0"/>
                <w:i w:val="0"/>
                <w:sz w:val="17"/>
              </w:rPr>
              <w:t>Возможность работы с метриками отличными от евклидовой (например, косинусное расстояние для текстов).</w:t>
            </w:r>
          </w:p>
        </w:tc>
        <w:tc>
          <w:tcPr>
            <w:tcW w:type="dxa" w:w="1474"/>
            <w:shd w:val="clear" w:color="auto" w:fill="FFF2CC"/>
          </w:tcPr>
          <w:p>
            <w:pPr>
              <w:spacing w:after="40"/>
            </w:pPr>
            <w:r>
              <w:rPr>
                <w:b/>
                <w:i w:val="0"/>
                <w:sz w:val="17"/>
              </w:rPr>
              <w:t>Исправлено частично</w:t>
            </w:r>
          </w:p>
        </w:tc>
        <w:tc>
          <w:tcPr>
            <w:tcW w:type="dxa" w:w="4932"/>
          </w:tcPr>
          <w:p>
            <w:pPr>
              <w:spacing w:after="40"/>
            </w:pPr>
            <w:r>
              <w:rPr>
                <w:b/>
                <w:i w:val="0"/>
                <w:sz w:val="17"/>
              </w:rPr>
              <w:t>Страницы в отчёте: [8] с. 14, 22, 28</w:t>
            </w:r>
          </w:p>
          <w:p>
            <w:pPr>
              <w:spacing w:after="40"/>
            </w:pPr>
            <w:r>
              <w:rPr>
                <w:b w:val="0"/>
                <w:i/>
                <w:sz w:val="17"/>
              </w:rPr>
              <w:t>с. 22: «Nearest-Neighbor-Descent … works with any valid dissimilarity measure»</w:t>
            </w:r>
          </w:p>
          <w:p>
            <w:pPr>
              <w:spacing w:after="40"/>
            </w:pPr>
            <w:r>
              <w:rPr>
                <w:b w:val="0"/>
                <w:i/>
                <w:sz w:val="17"/>
              </w:rPr>
              <w:t>с. 28: «For GoogleNews, as per [41], we use cosine distance»</w:t>
            </w:r>
          </w:p>
        </w:tc>
        <w:tc>
          <w:tcPr>
            <w:tcW w:type="dxa" w:w="5102"/>
          </w:tcPr>
          <w:p>
            <w:pPr>
              <w:spacing w:after="40"/>
            </w:pPr>
            <w:r>
              <w:rPr>
                <w:b w:val="0"/>
                <w:i w:val="0"/>
                <w:sz w:val="17"/>
              </w:rPr>
              <w:t>Произвольные меры несходства: алгоритм работает с любой допустимой мерой несходства d; в экспериментах для набора GoogleNews использовано косинусное расстояние.</w:t>
            </w:r>
          </w:p>
          <w:p>
            <w:pPr>
              <w:spacing w:after="40"/>
            </w:pPr>
            <w:r>
              <w:rPr>
                <w:b w:val="0"/>
                <w:i w:val="0"/>
                <w:sz w:val="16"/>
              </w:rPr>
              <w:t>Пояснение: Пример «косинусное расстояние для текстов» уточнён: в статье это набор GoogleNews.</w:t>
            </w:r>
          </w:p>
        </w:tc>
      </w:tr>
      <w:tr>
        <w:tc>
          <w:tcPr>
            <w:tcW w:type="dxa" w:w="3515"/>
          </w:tcPr>
          <w:p>
            <w:pPr>
              <w:spacing w:after="40"/>
            </w:pPr>
            <w:r>
              <w:rPr>
                <w:b w:val="0"/>
                <w:i w:val="0"/>
                <w:sz w:val="17"/>
              </w:rPr>
              <w:t>Существование функции трансформации: Можно обучить UMAP на части данных, а затем преобразовать новые данные с помощью transform() (хотя это требует обучения совместимой модели).</w:t>
            </w:r>
          </w:p>
        </w:tc>
        <w:tc>
          <w:tcPr>
            <w:tcW w:type="dxa" w:w="1474"/>
            <w:shd w:val="clear" w:color="auto" w:fill="FCE4D6"/>
          </w:tcPr>
          <w:p>
            <w:pPr>
              <w:spacing w:after="40"/>
            </w:pPr>
            <w:r>
              <w:rPr>
                <w:b/>
                <w:i w:val="0"/>
                <w:sz w:val="17"/>
              </w:rPr>
              <w:t>Не совпадало — заменено</w:t>
            </w:r>
          </w:p>
        </w:tc>
        <w:tc>
          <w:tcPr>
            <w:tcW w:type="dxa" w:w="4932"/>
          </w:tcPr>
          <w:p>
            <w:pPr>
              <w:spacing w:after="40"/>
            </w:pPr>
            <w:r>
              <w:rPr>
                <w:b/>
                <w:i w:val="0"/>
                <w:sz w:val="17"/>
              </w:rPr>
              <w:t>Страницы в отчёте: [8] с. 50–51</w:t>
            </w:r>
          </w:p>
          <w:p>
            <w:pPr>
              <w:spacing w:after="40"/>
            </w:pPr>
            <w:r>
              <w:rPr>
                <w:b w:val="0"/>
                <w:i/>
                <w:sz w:val="17"/>
              </w:rPr>
              <w:t>с. 50–51: «The computational framework established for UMAP allows for the potential development of techniques to add new unseen data points into an existing embedding»</w:t>
            </w:r>
          </w:p>
        </w:tc>
        <w:tc>
          <w:tcPr>
            <w:tcW w:type="dxa" w:w="5102"/>
          </w:tcPr>
          <w:p>
            <w:pPr>
              <w:spacing w:after="40"/>
            </w:pPr>
            <w:r>
              <w:rPr>
                <w:b w:val="0"/>
                <w:i w:val="0"/>
                <w:sz w:val="17"/>
              </w:rPr>
              <w:t>Добавление новых данных: в статье это названо направлением развития — вычислительная конструкция UMAP позволяет в будущем разработать методы добавления новых, ранее не виденных точек в существующее вложение.</w:t>
            </w:r>
          </w:p>
          <w:p>
            <w:pPr>
              <w:spacing w:after="40"/>
            </w:pPr>
            <w:r>
              <w:rPr>
                <w:b w:val="0"/>
                <w:i w:val="0"/>
                <w:sz w:val="16"/>
              </w:rPr>
              <w:t>Пояснение: Было «можно обучить UMAP на части данных и преобразовать новые данные с помощью transform()» — в статье это не описано (метод transform есть только в реализации umap-learn).</w:t>
            </w:r>
          </w:p>
        </w:tc>
      </w:tr>
      <w:tr>
        <w:tc>
          <w:tcPr>
            <w:tcW w:type="dxa" w:w="3515"/>
          </w:tcPr>
          <w:p>
            <w:pPr>
              <w:spacing w:after="40"/>
            </w:pPr>
            <w:r>
              <w:rPr>
                <w:b w:val="0"/>
                <w:i w:val="0"/>
                <w:sz w:val="17"/>
              </w:rPr>
              <w:t>Недостатки UMAP:</w:t>
            </w:r>
          </w:p>
        </w:tc>
        <w:tc>
          <w:tcPr>
            <w:tcW w:type="dxa" w:w="1474"/>
            <w:shd w:val="clear" w:color="auto" w:fill="E2F0D9"/>
          </w:tcPr>
          <w:p>
            <w:pPr>
              <w:spacing w:after="40"/>
            </w:pPr>
            <w:r>
              <w:rPr>
                <w:b/>
                <w:i w:val="0"/>
                <w:sz w:val="17"/>
              </w:rPr>
              <w:t>Совпадает</w:t>
            </w:r>
          </w:p>
        </w:tc>
        <w:tc>
          <w:tcPr>
            <w:tcW w:type="dxa" w:w="4932"/>
          </w:tcPr>
          <w:p>
            <w:pPr>
              <w:spacing w:after="40"/>
            </w:pPr>
            <w:r>
              <w:rPr>
                <w:b/>
                <w:i w:val="0"/>
                <w:sz w:val="17"/>
              </w:rPr>
              <w:t>Страницы в отчёте: [8] с. 45–50</w:t>
            </w:r>
          </w:p>
          <w:p>
            <w:pPr>
              <w:spacing w:after="40"/>
            </w:pPr>
            <w:r>
              <w:rPr>
                <w:b w:val="0"/>
                <w:i/>
                <w:sz w:val="17"/>
              </w:rPr>
              <w:t>с. 45: «6 Weaknesses»</w:t>
            </w:r>
          </w:p>
        </w:tc>
        <w:tc>
          <w:tcPr>
            <w:tcW w:type="dxa" w:w="5102"/>
          </w:tcPr>
          <w:p>
            <w:pPr>
              <w:spacing w:after="40"/>
            </w:pPr>
            <w:r>
              <w:rPr>
                <w:b w:val="0"/>
                <w:i w:val="0"/>
                <w:sz w:val="17"/>
              </w:rPr>
              <w:t>(текст сохранён)</w:t>
            </w:r>
          </w:p>
        </w:tc>
      </w:tr>
      <w:tr>
        <w:tc>
          <w:tcPr>
            <w:tcW w:type="dxa" w:w="3515"/>
          </w:tcPr>
          <w:p>
            <w:pPr>
              <w:spacing w:after="40"/>
            </w:pPr>
            <w:r>
              <w:rPr>
                <w:b w:val="0"/>
                <w:i w:val="0"/>
                <w:sz w:val="17"/>
              </w:rPr>
              <w:t>Менее изучен и имеет более сложную теоретическую основу, чем t-SNE.</w:t>
            </w:r>
          </w:p>
        </w:tc>
        <w:tc>
          <w:tcPr>
            <w:tcW w:type="dxa" w:w="1474"/>
            <w:shd w:val="clear" w:color="auto" w:fill="FCE4D6"/>
          </w:tcPr>
          <w:p>
            <w:pPr>
              <w:spacing w:after="40"/>
            </w:pPr>
            <w:r>
              <w:rPr>
                <w:b/>
                <w:i w:val="0"/>
                <w:sz w:val="17"/>
              </w:rPr>
              <w:t>Не совпадало — заменено</w:t>
            </w:r>
          </w:p>
        </w:tc>
        <w:tc>
          <w:tcPr>
            <w:tcW w:type="dxa" w:w="4932"/>
          </w:tcPr>
          <w:p>
            <w:pPr>
              <w:spacing w:after="40"/>
            </w:pPr>
            <w:r>
              <w:rPr>
                <w:b/>
                <w:i w:val="0"/>
                <w:sz w:val="17"/>
              </w:rPr>
              <w:t>Страницы в отчёте: [8] с. 45</w:t>
            </w:r>
          </w:p>
          <w:p>
            <w:pPr>
              <w:spacing w:after="40"/>
            </w:pPr>
            <w:r>
              <w:rPr>
                <w:b w:val="0"/>
                <w:i/>
                <w:sz w:val="17"/>
              </w:rPr>
              <w:t>с. 45: «UMAP lacks the strong interpretability of Principal Component Analysis (PCA) … the dimensions of the UMAP embedding space have no specific meaning»</w:t>
            </w:r>
          </w:p>
        </w:tc>
        <w:tc>
          <w:tcPr>
            <w:tcW w:type="dxa" w:w="5102"/>
          </w:tcPr>
          <w:p>
            <w:pPr>
              <w:spacing w:after="40"/>
            </w:pPr>
            <w:r>
              <w:rPr>
                <w:b w:val="0"/>
                <w:i w:val="0"/>
                <w:sz w:val="17"/>
              </w:rPr>
              <w:t>Низкая интерпретируемость: как и у большинства нелинейных методов, оси пространства вложения UMAP не имеют специального смысла, и нет аналога факторных нагрузок PCA; если важна интерпретируемость, авторы рекомендуют линейные методы.</w:t>
            </w:r>
          </w:p>
          <w:p>
            <w:pPr>
              <w:spacing w:after="40"/>
            </w:pPr>
            <w:r>
              <w:rPr>
                <w:b w:val="0"/>
                <w:i w:val="0"/>
                <w:sz w:val="16"/>
              </w:rPr>
              <w:t>Пояснение: Утверждение «менее изучен и сложнее теоретически, чем t-SNE» в статье не приведено; заменено слабой стороной из раздела 6.</w:t>
            </w:r>
          </w:p>
        </w:tc>
      </w:tr>
      <w:tr>
        <w:tc>
          <w:tcPr>
            <w:tcW w:type="dxa" w:w="3515"/>
          </w:tcPr>
          <w:p>
            <w:pPr>
              <w:spacing w:after="40"/>
            </w:pPr>
            <w:r>
              <w:rPr>
                <w:b w:val="0"/>
                <w:i w:val="0"/>
                <w:sz w:val="17"/>
              </w:rPr>
              <w:t>Может быть менее стабилен на очень малых наборах данных.</w:t>
            </w:r>
          </w:p>
        </w:tc>
        <w:tc>
          <w:tcPr>
            <w:tcW w:type="dxa" w:w="1474"/>
            <w:shd w:val="clear" w:color="auto" w:fill="FFF2CC"/>
          </w:tcPr>
          <w:p>
            <w:pPr>
              <w:spacing w:after="40"/>
            </w:pPr>
            <w:r>
              <w:rPr>
                <w:b/>
                <w:i w:val="0"/>
                <w:sz w:val="17"/>
              </w:rPr>
              <w:t>Исправлено частично</w:t>
            </w:r>
          </w:p>
        </w:tc>
        <w:tc>
          <w:tcPr>
            <w:tcW w:type="dxa" w:w="4932"/>
          </w:tcPr>
          <w:p>
            <w:pPr>
              <w:spacing w:after="40"/>
            </w:pPr>
            <w:r>
              <w:rPr>
                <w:b/>
                <w:i w:val="0"/>
                <w:sz w:val="17"/>
              </w:rPr>
              <w:t>Страницы в отчёте: [8] с. 45, 49–50</w:t>
            </w:r>
          </w:p>
          <w:p>
            <w:pPr>
              <w:spacing w:after="40"/>
            </w:pPr>
            <w:r>
              <w:rPr>
                <w:b w:val="0"/>
                <w:i/>
                <w:sz w:val="17"/>
              </w:rPr>
              <w:t>с. 49: «This can have an impact on the results of UMAP for small (less than 500 samples) dataset sizes.»</w:t>
            </w:r>
          </w:p>
          <w:p>
            <w:pPr>
              <w:spacing w:after="40"/>
            </w:pPr>
            <w:r>
              <w:rPr>
                <w:b w:val="0"/>
                <w:i/>
                <w:sz w:val="17"/>
              </w:rPr>
              <w:t>с. 45: «care must be taken with small sample sizes of noisy data»</w:t>
            </w:r>
          </w:p>
        </w:tc>
        <w:tc>
          <w:tcPr>
            <w:tcW w:type="dxa" w:w="5102"/>
          </w:tcPr>
          <w:p>
            <w:pPr>
              <w:spacing w:after="40"/>
            </w:pPr>
            <w:r>
              <w:rPr>
                <w:b w:val="0"/>
                <w:i w:val="0"/>
                <w:sz w:val="17"/>
              </w:rPr>
              <w:t>Малые выборки: из-за приближений (приближённый поиск ближайших соседей, негативное сэмплирование) вложение для наборов менее 500 объектов может быть неоптимальным; кроме того, UMAP может находить многообразную структуру в шуме, поэтому с малыми зашумлёнными выборками нужна осторожность.</w:t>
            </w:r>
          </w:p>
          <w:p>
            <w:pPr>
              <w:spacing w:after="40"/>
            </w:pPr>
            <w:r>
              <w:rPr>
                <w:b w:val="0"/>
                <w:i w:val="0"/>
                <w:sz w:val="16"/>
              </w:rPr>
              <w:t>Пояснение: Смысл верный; уточнён порог «менее 500».</w:t>
            </w:r>
          </w:p>
        </w:tc>
      </w:tr>
      <w:tr>
        <w:tc>
          <w:tcPr>
            <w:tcW w:type="dxa" w:w="3515"/>
          </w:tcPr>
          <w:p>
            <w:pPr>
              <w:spacing w:after="40"/>
            </w:pPr>
            <w:r>
              <w:rPr>
                <w:b w:val="0"/>
                <w:i w:val="0"/>
                <w:sz w:val="17"/>
              </w:rPr>
              <w:t>Как и t-SNE, не гарантирует воспроизводимость без фиксации random_state.</w:t>
            </w:r>
          </w:p>
        </w:tc>
        <w:tc>
          <w:tcPr>
            <w:tcW w:type="dxa" w:w="1474"/>
            <w:shd w:val="clear" w:color="auto" w:fill="FCE4D6"/>
          </w:tcPr>
          <w:p>
            <w:pPr>
              <w:spacing w:after="40"/>
            </w:pPr>
            <w:r>
              <w:rPr>
                <w:b/>
                <w:i w:val="0"/>
                <w:sz w:val="17"/>
              </w:rPr>
              <w:t>Не совпадало — заменено</w:t>
            </w:r>
          </w:p>
        </w:tc>
        <w:tc>
          <w:tcPr>
            <w:tcW w:type="dxa" w:w="4932"/>
          </w:tcPr>
          <w:p>
            <w:pPr>
              <w:spacing w:after="40"/>
            </w:pPr>
            <w:r>
              <w:rPr>
                <w:b/>
                <w:i w:val="0"/>
                <w:sz w:val="17"/>
              </w:rPr>
              <w:t>Страницы в отчёте: [8] с. 21, 45, 49</w:t>
            </w:r>
          </w:p>
          <w:p>
            <w:pPr>
              <w:spacing w:after="40"/>
            </w:pPr>
            <w:r>
              <w:rPr>
                <w:b w:val="0"/>
                <w:i/>
                <w:sz w:val="17"/>
              </w:rPr>
              <w:t>с. 21: «The optimization process is now executed by stochastic gradient descent as given by Algorithm 5 … if Random() ≤ p then # Sample simplex with probability p»</w:t>
            </w:r>
          </w:p>
          <w:p>
            <w:pPr>
              <w:spacing w:after="40"/>
            </w:pPr>
            <w:r>
              <w:rPr>
                <w:b w:val="0"/>
                <w:i/>
                <w:sz w:val="17"/>
              </w:rPr>
              <w:t>с. 49: «Multi-dimensional scaling specifically seeks to preserve the full distance matrix of the data, and as such is a good candidate when all scales of structure are of equal importance.»</w:t>
            </w:r>
          </w:p>
        </w:tc>
        <w:tc>
          <w:tcPr>
            <w:tcW w:type="dxa" w:w="5102"/>
          </w:tcPr>
          <w:p>
            <w:pPr>
              <w:spacing w:after="40"/>
            </w:pPr>
            <w:r>
              <w:rPr>
                <w:b w:val="0"/>
                <w:i w:val="0"/>
                <w:sz w:val="17"/>
              </w:rPr>
              <w:t>Стохастическая оптимизация и приоритет локальной структуры: вложение оптимизируется стохастическим градиентным спуском с вероятностной выборкой рёбер и отрицательных примеров; UMAP в первую очередь отражает локальную структуру, и если главное — глобальная, авторы советуют рассмотреть другие методы (например, MDS).</w:t>
            </w:r>
          </w:p>
          <w:p>
            <w:pPr>
              <w:spacing w:after="40"/>
            </w:pPr>
            <w:r>
              <w:rPr>
                <w:b w:val="0"/>
                <w:i w:val="0"/>
                <w:sz w:val="16"/>
              </w:rPr>
              <w:t>Пояснение: Про random_state в статье нет; приведено описание стохастичности из алгоритма 5 и замечание авторов о слабых сторонах.</w:t>
            </w:r>
          </w:p>
        </w:tc>
      </w:tr>
    </w:tbl>
    <w:p>
      <w:pPr>
        <w:pStyle w:val="Heading2"/>
      </w:pPr>
      <w:r>
        <w:t>3.5. Автоэнкодеры и вариационные автоэнкодеры</w:t>
      </w:r>
    </w:p>
    <w:tbl>
      <w:tblPr>
        <w:tblStyle w:val="TableGrid"/>
        <w:tblW w:type="auto" w:w="0"/>
        <w:tblLook w:firstColumn="1" w:firstRow="1" w:lastColumn="0" w:lastRow="0" w:noHBand="0" w:noVBand="1" w:val="04A0"/>
      </w:tblPr>
      <w:tblGrid>
        <w:gridCol w:w="3535"/>
        <w:gridCol w:w="3535"/>
        <w:gridCol w:w="3535"/>
        <w:gridCol w:w="3535"/>
      </w:tblGrid>
      <w:tr>
        <w:tc>
          <w:tcPr>
            <w:tcW w:type="dxa" w:w="3515"/>
            <w:shd w:val="clear" w:color="auto" w:fill="BFBFBF"/>
          </w:tcPr>
          <w:p>
            <w:pPr>
              <w:spacing w:after="40"/>
            </w:pPr>
            <w:r>
              <w:rPr>
                <w:b/>
                <w:i w:val="0"/>
                <w:sz w:val="18"/>
              </w:rPr>
              <w:t>Было в отчёте</w:t>
            </w:r>
          </w:p>
        </w:tc>
        <w:tc>
          <w:tcPr>
            <w:tcW w:type="dxa" w:w="1474"/>
            <w:shd w:val="clear" w:color="auto" w:fill="BFBFBF"/>
          </w:tcPr>
          <w:p>
            <w:pPr>
              <w:spacing w:after="40"/>
            </w:pPr>
            <w:r>
              <w:rPr>
                <w:b/>
                <w:i w:val="0"/>
                <w:sz w:val="18"/>
              </w:rPr>
              <w:t>Статус</w:t>
            </w:r>
          </w:p>
        </w:tc>
        <w:tc>
          <w:tcPr>
            <w:tcW w:type="dxa" w:w="4932"/>
            <w:shd w:val="clear" w:color="auto" w:fill="BFBFBF"/>
          </w:tcPr>
          <w:p>
            <w:pPr>
              <w:spacing w:after="40"/>
            </w:pPr>
            <w:r>
              <w:rPr>
                <w:b/>
                <w:i w:val="0"/>
                <w:sz w:val="18"/>
              </w:rPr>
              <w:t>Источник: страница и цитата</w:t>
            </w:r>
          </w:p>
        </w:tc>
        <w:tc>
          <w:tcPr>
            <w:tcW w:type="dxa" w:w="5102"/>
            <w:shd w:val="clear" w:color="auto" w:fill="BFBFBF"/>
          </w:tcPr>
          <w:p>
            <w:pPr>
              <w:spacing w:after="40"/>
            </w:pPr>
            <w:r>
              <w:rPr>
                <w:b/>
                <w:i w:val="0"/>
                <w:sz w:val="18"/>
              </w:rPr>
              <w:t>Стало / что исправлено</w:t>
            </w:r>
          </w:p>
        </w:tc>
      </w:tr>
      <w:tr>
        <w:tc>
          <w:tcPr>
            <w:tcW w:type="dxa" w:w="3515"/>
          </w:tcPr>
          <w:p>
            <w:pPr>
              <w:spacing w:after="40"/>
            </w:pPr>
            <w:r>
              <w:rPr>
                <w:b w:val="0"/>
                <w:i w:val="0"/>
                <w:sz w:val="17"/>
              </w:rPr>
              <w:t>3.5. Автоэнкодеры (AEs) и вариационные автоэнкодеры (VAEs) на основе нейронных сетей</w:t>
            </w:r>
          </w:p>
        </w:tc>
        <w:tc>
          <w:tcPr>
            <w:tcW w:type="dxa" w:w="1474"/>
            <w:shd w:val="clear" w:color="auto" w:fill="E2F0D9"/>
          </w:tcPr>
          <w:p>
            <w:pPr>
              <w:spacing w:after="40"/>
            </w:pPr>
            <w:r>
              <w:rPr>
                <w:b/>
                <w:i w:val="0"/>
                <w:sz w:val="17"/>
              </w:rPr>
              <w:t>Совпадает</w:t>
            </w:r>
          </w:p>
        </w:tc>
        <w:tc>
          <w:tcPr>
            <w:tcW w:type="dxa" w:w="4932"/>
          </w:tcPr>
          <w:p>
            <w:pPr>
              <w:spacing w:after="40"/>
            </w:pPr>
            <w:r>
              <w:rPr>
                <w:b/>
                <w:i w:val="0"/>
                <w:sz w:val="17"/>
              </w:rPr>
              <w:t>Страницы в отчёте: [9] с. 504–507; [10] с. 1–5, 8, 11</w:t>
            </w:r>
          </w:p>
        </w:tc>
        <w:tc>
          <w:tcPr>
            <w:tcW w:type="dxa" w:w="5102"/>
          </w:tcPr>
          <w:p>
            <w:pPr>
              <w:spacing w:after="40"/>
            </w:pPr>
            <w:r>
              <w:rPr>
                <w:b w:val="0"/>
                <w:i w:val="0"/>
                <w:sz w:val="17"/>
              </w:rPr>
              <w:t>(текст сохранён)</w:t>
            </w:r>
          </w:p>
        </w:tc>
      </w:tr>
      <w:tr>
        <w:tc>
          <w:tcPr>
            <w:tcW w:type="dxa" w:w="3515"/>
          </w:tcPr>
          <w:p>
            <w:pPr>
              <w:spacing w:after="40"/>
            </w:pPr>
            <w:r>
              <w:rPr>
                <w:b w:val="0"/>
                <w:i w:val="0"/>
                <w:sz w:val="17"/>
              </w:rPr>
              <w:t>Идея: Автоэнкодер (Autoencoder, AE) — это нейронная сеть, которая обучается копировать свои входы на выходы. Архитектура заставляет сеть обучаться эффективному сжатию данных в узком "бутылочном горлышке" (bottleneck layer) — скрытом представлении (latent representation) малой размерности.</w:t>
            </w:r>
          </w:p>
        </w:tc>
        <w:tc>
          <w:tcPr>
            <w:tcW w:type="dxa" w:w="1474"/>
            <w:shd w:val="clear" w:color="auto" w:fill="FFF2CC"/>
          </w:tcPr>
          <w:p>
            <w:pPr>
              <w:spacing w:after="40"/>
            </w:pPr>
            <w:r>
              <w:rPr>
                <w:b/>
                <w:i w:val="0"/>
                <w:sz w:val="17"/>
              </w:rPr>
              <w:t>Исправлено частично</w:t>
            </w:r>
          </w:p>
        </w:tc>
        <w:tc>
          <w:tcPr>
            <w:tcW w:type="dxa" w:w="4932"/>
          </w:tcPr>
          <w:p>
            <w:pPr>
              <w:spacing w:after="40"/>
            </w:pPr>
            <w:r>
              <w:rPr>
                <w:b/>
                <w:i w:val="0"/>
                <w:sz w:val="17"/>
              </w:rPr>
              <w:t>Страницы в отчёте: [9] с. 504</w:t>
            </w:r>
          </w:p>
          <w:p>
            <w:pPr>
              <w:spacing w:after="40"/>
            </w:pPr>
            <w:r>
              <w:rPr>
                <w:b w:val="0"/>
                <w:i/>
                <w:sz w:val="17"/>
              </w:rPr>
              <w:t>с. 504: «High-dimensional data can be converted to low-dimensional codes by training a multilayer neural network with a small central layer to reconstruct high-dimensional input vectors. … We describe a nonlinear generalization of PCA that uses an adaptive, multilayer “encoder” network to transform the high-dimensional data into a low-dimensional code and a similar “decoder” network to recover the data from the code.»</w:t>
            </w:r>
          </w:p>
        </w:tc>
        <w:tc>
          <w:tcPr>
            <w:tcW w:type="dxa" w:w="5102"/>
          </w:tcPr>
          <w:p>
            <w:pPr>
              <w:spacing w:after="40"/>
            </w:pPr>
            <w:r>
              <w:rPr>
                <w:b w:val="0"/>
                <w:i w:val="0"/>
                <w:sz w:val="17"/>
              </w:rPr>
              <w:t>Идея: Автоэнкодер (Autoencoder, AE) — это нейронная сеть с малым центральным слоем (слоем кода), обучаемая восстанавливать многомерные входные векторы; так многомерные данные преобразуются в низкоразмерные коды. Авторы описывают AE как нелинейное обобщение PCA.</w:t>
            </w:r>
          </w:p>
          <w:p>
            <w:pPr>
              <w:spacing w:after="40"/>
            </w:pPr>
            <w:r>
              <w:rPr>
                <w:b w:val="0"/>
                <w:i w:val="0"/>
                <w:sz w:val="16"/>
              </w:rPr>
              <w:t>Пояснение: Формулировка «копировать входы на выходы» заменена формулировкой статьи; статья Kingma для AE не нужна, ссылка убрана.</w:t>
            </w:r>
          </w:p>
        </w:tc>
      </w:tr>
      <w:tr>
        <w:tc>
          <w:tcPr>
            <w:tcW w:type="dxa" w:w="3515"/>
          </w:tcPr>
          <w:p>
            <w:pPr>
              <w:spacing w:after="40"/>
            </w:pPr>
            <w:r>
              <w:rPr>
                <w:b w:val="0"/>
                <w:i w:val="0"/>
                <w:sz w:val="17"/>
              </w:rPr>
              <w:t>Архитектура и обучение:</w:t>
            </w:r>
          </w:p>
        </w:tc>
        <w:tc>
          <w:tcPr>
            <w:tcW w:type="dxa" w:w="1474"/>
            <w:shd w:val="clear" w:color="auto" w:fill="E2F0D9"/>
          </w:tcPr>
          <w:p>
            <w:pPr>
              <w:spacing w:after="40"/>
            </w:pPr>
            <w:r>
              <w:rPr>
                <w:b/>
                <w:i w:val="0"/>
                <w:sz w:val="17"/>
              </w:rPr>
              <w:t>Совпадает</w:t>
            </w:r>
          </w:p>
        </w:tc>
        <w:tc>
          <w:tcPr>
            <w:tcW w:type="dxa" w:w="4932"/>
          </w:tcPr>
          <w:p>
            <w:pPr>
              <w:spacing w:after="40"/>
            </w:pPr>
            <w:r>
              <w:rPr>
                <w:b/>
                <w:i w:val="0"/>
                <w:sz w:val="17"/>
              </w:rPr>
              <w:t>Страницы в отчёте: [9] с. 504–505</w:t>
            </w:r>
          </w:p>
        </w:tc>
        <w:tc>
          <w:tcPr>
            <w:tcW w:type="dxa" w:w="5102"/>
          </w:tcPr>
          <w:p>
            <w:pPr>
              <w:spacing w:after="40"/>
            </w:pPr>
            <w:r>
              <w:rPr>
                <w:b w:val="0"/>
                <w:i w:val="0"/>
                <w:sz w:val="17"/>
              </w:rPr>
              <w:t>(текст сохранён)</w:t>
            </w:r>
          </w:p>
        </w:tc>
      </w:tr>
      <w:tr>
        <w:tc>
          <w:tcPr>
            <w:tcW w:type="dxa" w:w="3515"/>
          </w:tcPr>
          <w:p>
            <w:pPr>
              <w:spacing w:after="40"/>
            </w:pPr>
            <w:r>
              <w:rPr>
                <w:b w:val="0"/>
                <w:i w:val="0"/>
                <w:sz w:val="17"/>
              </w:rPr>
              <w:t>Кодер (Encoder): сеть f, отображающая вход x в скрытое представление z = f(x).</w:t>
            </w:r>
          </w:p>
        </w:tc>
        <w:tc>
          <w:tcPr>
            <w:tcW w:type="dxa" w:w="1474"/>
            <w:shd w:val="clear" w:color="auto" w:fill="E2F0D9"/>
          </w:tcPr>
          <w:p>
            <w:pPr>
              <w:spacing w:after="40"/>
            </w:pPr>
            <w:r>
              <w:rPr>
                <w:b/>
                <w:i w:val="0"/>
                <w:sz w:val="17"/>
              </w:rPr>
              <w:t>Совпадает</w:t>
            </w:r>
          </w:p>
        </w:tc>
        <w:tc>
          <w:tcPr>
            <w:tcW w:type="dxa" w:w="4932"/>
          </w:tcPr>
          <w:p>
            <w:pPr>
              <w:spacing w:after="40"/>
            </w:pPr>
            <w:r>
              <w:rPr>
                <w:b/>
                <w:i w:val="0"/>
                <w:sz w:val="17"/>
              </w:rPr>
              <w:t>Страницы в отчёте: [9] с. 504–505</w:t>
            </w:r>
          </w:p>
          <w:p>
            <w:pPr>
              <w:spacing w:after="40"/>
            </w:pPr>
            <w:r>
              <w:rPr>
                <w:b w:val="0"/>
                <w:i/>
                <w:sz w:val="17"/>
              </w:rPr>
              <w:t>с. 504–505: «an adaptive, multilayer “encoder” network to transform the high-dimensional data into a low-dimensional code»</w:t>
            </w:r>
          </w:p>
        </w:tc>
        <w:tc>
          <w:tcPr>
            <w:tcW w:type="dxa" w:w="5102"/>
          </w:tcPr>
          <w:p>
            <w:pPr>
              <w:spacing w:after="40"/>
            </w:pPr>
            <w:r>
              <w:rPr>
                <w:b w:val="0"/>
                <w:i w:val="0"/>
                <w:sz w:val="17"/>
              </w:rPr>
              <w:t>(текст сохранён)</w:t>
            </w:r>
          </w:p>
        </w:tc>
      </w:tr>
      <w:tr>
        <w:tc>
          <w:tcPr>
            <w:tcW w:type="dxa" w:w="3515"/>
          </w:tcPr>
          <w:p>
            <w:pPr>
              <w:spacing w:after="40"/>
            </w:pPr>
            <w:r>
              <w:rPr>
                <w:b w:val="0"/>
                <w:i w:val="0"/>
                <w:sz w:val="17"/>
              </w:rPr>
              <w:t>Декодер (Decoder): сеть g, восстанавливающая вход из скрытого представления: x' = g(z) = g(f(x)).</w:t>
            </w:r>
          </w:p>
        </w:tc>
        <w:tc>
          <w:tcPr>
            <w:tcW w:type="dxa" w:w="1474"/>
            <w:shd w:val="clear" w:color="auto" w:fill="E2F0D9"/>
          </w:tcPr>
          <w:p>
            <w:pPr>
              <w:spacing w:after="40"/>
            </w:pPr>
            <w:r>
              <w:rPr>
                <w:b/>
                <w:i w:val="0"/>
                <w:sz w:val="17"/>
              </w:rPr>
              <w:t>Совпадает</w:t>
            </w:r>
          </w:p>
        </w:tc>
        <w:tc>
          <w:tcPr>
            <w:tcW w:type="dxa" w:w="4932"/>
          </w:tcPr>
          <w:p>
            <w:pPr>
              <w:spacing w:after="40"/>
            </w:pPr>
            <w:r>
              <w:rPr>
                <w:b/>
                <w:i w:val="0"/>
                <w:sz w:val="17"/>
              </w:rPr>
              <w:t>Страницы в отчёте: [9] с. 504–505</w:t>
            </w:r>
          </w:p>
          <w:p>
            <w:pPr>
              <w:spacing w:after="40"/>
            </w:pPr>
            <w:r>
              <w:rPr>
                <w:b w:val="0"/>
                <w:i/>
                <w:sz w:val="17"/>
              </w:rPr>
              <w:t>с. 505: «a similar “decoder” network to recover the data from the code»</w:t>
            </w:r>
          </w:p>
        </w:tc>
        <w:tc>
          <w:tcPr>
            <w:tcW w:type="dxa" w:w="5102"/>
          </w:tcPr>
          <w:p>
            <w:pPr>
              <w:spacing w:after="40"/>
            </w:pPr>
            <w:r>
              <w:rPr>
                <w:b w:val="0"/>
                <w:i w:val="0"/>
                <w:sz w:val="17"/>
              </w:rPr>
              <w:t>(текст сохранён)</w:t>
            </w:r>
          </w:p>
        </w:tc>
      </w:tr>
      <w:tr>
        <w:tc>
          <w:tcPr>
            <w:tcW w:type="dxa" w:w="3515"/>
          </w:tcPr>
          <w:p>
            <w:pPr>
              <w:spacing w:after="40"/>
            </w:pPr>
            <w:r>
              <w:rPr>
                <w:b w:val="0"/>
                <w:i w:val="0"/>
                <w:sz w:val="17"/>
              </w:rPr>
              <w:t>Функция потерь: минимизируется ошибка реконструкции, например, среднеквадратичная ошибка (MSE) или binary cross-entropy: L(x, x') = ||x -g(f(x))||². Обучение проводится методом обратного распространения ошибки.</w:t>
            </w:r>
          </w:p>
        </w:tc>
        <w:tc>
          <w:tcPr>
            <w:tcW w:type="dxa" w:w="1474"/>
            <w:shd w:val="clear" w:color="auto" w:fill="FFF2CC"/>
          </w:tcPr>
          <w:p>
            <w:pPr>
              <w:spacing w:after="40"/>
            </w:pPr>
            <w:r>
              <w:rPr>
                <w:b/>
                <w:i w:val="0"/>
                <w:sz w:val="17"/>
              </w:rPr>
              <w:t>Исправлено частично</w:t>
            </w:r>
          </w:p>
        </w:tc>
        <w:tc>
          <w:tcPr>
            <w:tcW w:type="dxa" w:w="4932"/>
          </w:tcPr>
          <w:p>
            <w:pPr>
              <w:spacing w:after="40"/>
            </w:pPr>
            <w:r>
              <w:rPr>
                <w:b/>
                <w:i w:val="0"/>
                <w:sz w:val="17"/>
              </w:rPr>
              <w:t>Страницы в отчёте: [9] с. 505, 507</w:t>
            </w:r>
          </w:p>
          <w:p>
            <w:pPr>
              <w:spacing w:after="40"/>
            </w:pPr>
            <w:r>
              <w:rPr>
                <w:b w:val="0"/>
                <w:i/>
                <w:sz w:val="17"/>
              </w:rPr>
              <w:t>с. 505: «trained together by minimizing the discrepancy between the original data and its reconstruction. The required gradients are easily obtained by using the chain rule to backpropagate error derivatives first through the decoder network and then through the encoder network»</w:t>
            </w:r>
          </w:p>
          <w:p>
            <w:pPr>
              <w:spacing w:after="40"/>
            </w:pPr>
            <w:r>
              <w:rPr>
                <w:b w:val="0"/>
                <w:i/>
                <w:sz w:val="17"/>
              </w:rPr>
              <w:t>с. 507: «the fine-tuning stage of the learning minimized the cross-entropy error»</w:t>
            </w:r>
          </w:p>
        </w:tc>
        <w:tc>
          <w:tcPr>
            <w:tcW w:type="dxa" w:w="5102"/>
          </w:tcPr>
          <w:p>
            <w:pPr>
              <w:spacing w:after="40"/>
            </w:pPr>
            <w:r>
              <w:rPr>
                <w:b w:val="0"/>
                <w:i w:val="0"/>
                <w:sz w:val="17"/>
              </w:rPr>
              <w:t>Функция потерь: минимизируется расхождение между исходными данными и их реконструкцией (в статье качество реконструкции оценивается средней квадратичной ошибкой; при тонкой настройке для данных в диапазоне [0, 1] используется кросс-энтропия): L(x, x') = ||x -g(f(x))||². Обучение проводится методом обратного распространения ошибки: градиенты находят по правилу цепочки сначала через декодер, затем через кодер.</w:t>
            </w:r>
          </w:p>
          <w:p>
            <w:pPr>
              <w:spacing w:after="40"/>
            </w:pPr>
            <w:r>
              <w:rPr>
                <w:b w:val="0"/>
                <w:i w:val="0"/>
                <w:sz w:val="16"/>
              </w:rPr>
              <w:t>Пояснение: Смысл верный; уточнено по тексту статьи (кросс-энтропия — с. 507).</w:t>
            </w:r>
          </w:p>
        </w:tc>
      </w:tr>
      <w:tr>
        <w:tc>
          <w:tcPr>
            <w:tcW w:type="dxa" w:w="3515"/>
          </w:tcPr>
          <w:p>
            <w:pPr>
              <w:spacing w:after="40"/>
            </w:pPr>
            <w:r>
              <w:rPr>
                <w:b w:val="0"/>
                <w:i w:val="0"/>
                <w:sz w:val="17"/>
              </w:rPr>
              <w:t>Достоинства AEs:</w:t>
            </w:r>
          </w:p>
        </w:tc>
        <w:tc>
          <w:tcPr>
            <w:tcW w:type="dxa" w:w="1474"/>
            <w:shd w:val="clear" w:color="auto" w:fill="E2F0D9"/>
          </w:tcPr>
          <w:p>
            <w:pPr>
              <w:spacing w:after="40"/>
            </w:pPr>
            <w:r>
              <w:rPr>
                <w:b/>
                <w:i w:val="0"/>
                <w:sz w:val="17"/>
              </w:rPr>
              <w:t>Совпадает</w:t>
            </w:r>
          </w:p>
        </w:tc>
        <w:tc>
          <w:tcPr>
            <w:tcW w:type="dxa" w:w="4932"/>
          </w:tcPr>
          <w:p>
            <w:pPr>
              <w:spacing w:after="40"/>
            </w:pPr>
            <w:r>
              <w:rPr>
                <w:b/>
                <w:i w:val="0"/>
                <w:sz w:val="17"/>
              </w:rPr>
              <w:t>Страницы в отчёте: [9] с. 504–507</w:t>
            </w:r>
          </w:p>
        </w:tc>
        <w:tc>
          <w:tcPr>
            <w:tcW w:type="dxa" w:w="5102"/>
          </w:tcPr>
          <w:p>
            <w:pPr>
              <w:spacing w:after="40"/>
            </w:pPr>
            <w:r>
              <w:rPr>
                <w:b w:val="0"/>
                <w:i w:val="0"/>
                <w:sz w:val="17"/>
              </w:rPr>
              <w:t>(текст сохранён)</w:t>
            </w:r>
          </w:p>
        </w:tc>
      </w:tr>
      <w:tr>
        <w:tc>
          <w:tcPr>
            <w:tcW w:type="dxa" w:w="3515"/>
          </w:tcPr>
          <w:p>
            <w:pPr>
              <w:spacing w:after="40"/>
            </w:pPr>
            <w:r>
              <w:rPr>
                <w:b w:val="0"/>
                <w:i w:val="0"/>
                <w:sz w:val="17"/>
              </w:rPr>
              <w:t>Нелинейность: за счет использования нелинейных функций активации (ReLU, sigmoid) может моделировать сложные нелинейные многообразия.</w:t>
            </w:r>
          </w:p>
        </w:tc>
        <w:tc>
          <w:tcPr>
            <w:tcW w:type="dxa" w:w="1474"/>
            <w:shd w:val="clear" w:color="auto" w:fill="FFF2CC"/>
          </w:tcPr>
          <w:p>
            <w:pPr>
              <w:spacing w:after="40"/>
            </w:pPr>
            <w:r>
              <w:rPr>
                <w:b/>
                <w:i w:val="0"/>
                <w:sz w:val="17"/>
              </w:rPr>
              <w:t>Исправлено частично</w:t>
            </w:r>
          </w:p>
        </w:tc>
        <w:tc>
          <w:tcPr>
            <w:tcW w:type="dxa" w:w="4932"/>
          </w:tcPr>
          <w:p>
            <w:pPr>
              <w:spacing w:after="40"/>
            </w:pPr>
            <w:r>
              <w:rPr>
                <w:b/>
                <w:i w:val="0"/>
                <w:sz w:val="17"/>
              </w:rPr>
              <w:t>Страницы в отчёте: [9] с. 504, 507</w:t>
            </w:r>
          </w:p>
          <w:p>
            <w:pPr>
              <w:spacing w:after="40"/>
            </w:pPr>
            <w:r>
              <w:rPr>
                <w:b w:val="0"/>
                <w:i/>
                <w:sz w:val="17"/>
              </w:rPr>
              <w:t>с. 507: «The six units in the code layer were linear and all the other units were logistic. … PCA gave much worse reconstructions.»</w:t>
            </w:r>
          </w:p>
          <w:p>
            <w:pPr>
              <w:spacing w:after="40"/>
            </w:pPr>
            <w:r>
              <w:rPr>
                <w:b w:val="0"/>
                <w:i/>
                <w:sz w:val="17"/>
              </w:rPr>
              <w:t>с. 506–507: «this is an efficient way to progressively reveal low-dimensional, nonlinear structure»</w:t>
            </w:r>
          </w:p>
        </w:tc>
        <w:tc>
          <w:tcPr>
            <w:tcW w:type="dxa" w:w="5102"/>
          </w:tcPr>
          <w:p>
            <w:pPr>
              <w:spacing w:after="40"/>
            </w:pPr>
            <w:r>
              <w:rPr>
                <w:b w:val="0"/>
                <w:i w:val="0"/>
                <w:sz w:val="17"/>
              </w:rPr>
              <w:t>Нелинейность: AE — нелинейное обобщение PCA; в экспериментах авторов скрытые слои были логистическими, а слой кода — линейным. Такой автоэнкодер находит низкоразмерные нелинейные структуры данных и даёт заметно лучшие реконструкции, чем PCA.</w:t>
            </w:r>
          </w:p>
          <w:p>
            <w:pPr>
              <w:spacing w:after="40"/>
            </w:pPr>
            <w:r>
              <w:rPr>
                <w:b w:val="0"/>
                <w:i w:val="0"/>
                <w:sz w:val="16"/>
              </w:rPr>
              <w:t>Пояснение: Функции активации ReLU в статье не упоминаются (2006 г.), использованы логистические.</w:t>
            </w:r>
          </w:p>
        </w:tc>
      </w:tr>
      <w:tr>
        <w:tc>
          <w:tcPr>
            <w:tcW w:type="dxa" w:w="3515"/>
          </w:tcPr>
          <w:p>
            <w:pPr>
              <w:spacing w:after="40"/>
            </w:pPr>
            <w:r>
              <w:rPr>
                <w:b w:val="0"/>
                <w:i w:val="0"/>
                <w:sz w:val="17"/>
              </w:rPr>
              <w:t>Гибкость архитектуры: можно использовать сверточные слои для изображений, рекуррентные для последовательностей.</w:t>
            </w:r>
          </w:p>
        </w:tc>
        <w:tc>
          <w:tcPr>
            <w:tcW w:type="dxa" w:w="1474"/>
            <w:shd w:val="clear" w:color="auto" w:fill="FCE4D6"/>
          </w:tcPr>
          <w:p>
            <w:pPr>
              <w:spacing w:after="40"/>
            </w:pPr>
            <w:r>
              <w:rPr>
                <w:b/>
                <w:i w:val="0"/>
                <w:sz w:val="17"/>
              </w:rPr>
              <w:t>Не совпадало — заменено</w:t>
            </w:r>
          </w:p>
        </w:tc>
        <w:tc>
          <w:tcPr>
            <w:tcW w:type="dxa" w:w="4932"/>
          </w:tcPr>
          <w:p>
            <w:pPr>
              <w:spacing w:after="40"/>
            </w:pPr>
            <w:r>
              <w:rPr>
                <w:b/>
                <w:i w:val="0"/>
                <w:sz w:val="17"/>
              </w:rPr>
              <w:t>Страницы в отчёте: [9] с. 507</w:t>
            </w:r>
          </w:p>
          <w:p>
            <w:pPr>
              <w:spacing w:after="40"/>
            </w:pPr>
            <w:r>
              <w:rPr>
                <w:b w:val="0"/>
                <w:i/>
                <w:sz w:val="17"/>
              </w:rPr>
              <w:t>с. 507: «When trained on documents, autoencoders produce codes that allow fast retrieval. … the autoencoder clearly outperformed latent semantic analysis (LSA)»</w:t>
            </w:r>
          </w:p>
        </w:tc>
        <w:tc>
          <w:tcPr>
            <w:tcW w:type="dxa" w:w="5102"/>
          </w:tcPr>
          <w:p>
            <w:pPr>
              <w:spacing w:after="40"/>
            </w:pPr>
            <w:r>
              <w:rPr>
                <w:b w:val="0"/>
                <w:i w:val="0"/>
                <w:sz w:val="17"/>
              </w:rPr>
              <w:t>Применимость к разным данным: авторы применяли AE к изображениям (рукописные цифры MNIST, лица Olivetti), синтетическим кривым и текстовым документам; для документов коды AE позволяют быстрый поиск и превосходят латентно-семантический анализ (LSA).</w:t>
            </w:r>
          </w:p>
          <w:p>
            <w:pPr>
              <w:spacing w:after="40"/>
            </w:pPr>
            <w:r>
              <w:rPr>
                <w:b w:val="0"/>
                <w:i w:val="0"/>
                <w:sz w:val="16"/>
              </w:rPr>
              <w:t>Пояснение: Про свёрточные и рекуррентные слои в статье нет; приведены данные, на которых работа проверялась.</w:t>
            </w:r>
          </w:p>
        </w:tc>
      </w:tr>
      <w:tr>
        <w:tc>
          <w:tcPr>
            <w:tcW w:type="dxa" w:w="3515"/>
          </w:tcPr>
          <w:p>
            <w:pPr>
              <w:spacing w:after="40"/>
            </w:pPr>
            <w:r>
              <w:rPr>
                <w:b w:val="0"/>
                <w:i w:val="0"/>
                <w:sz w:val="17"/>
              </w:rPr>
              <w:t>Наличие явной функции кодирования и декодирования: легко обрабатывать новые данные.</w:t>
            </w:r>
          </w:p>
        </w:tc>
        <w:tc>
          <w:tcPr>
            <w:tcW w:type="dxa" w:w="1474"/>
            <w:shd w:val="clear" w:color="auto" w:fill="FFF2CC"/>
          </w:tcPr>
          <w:p>
            <w:pPr>
              <w:spacing w:after="40"/>
            </w:pPr>
            <w:r>
              <w:rPr>
                <w:b/>
                <w:i w:val="0"/>
                <w:sz w:val="17"/>
              </w:rPr>
              <w:t>Исправлено частично</w:t>
            </w:r>
          </w:p>
        </w:tc>
        <w:tc>
          <w:tcPr>
            <w:tcW w:type="dxa" w:w="4932"/>
          </w:tcPr>
          <w:p>
            <w:pPr>
              <w:spacing w:after="40"/>
            </w:pPr>
            <w:r>
              <w:rPr>
                <w:b/>
                <w:i w:val="0"/>
                <w:sz w:val="17"/>
              </w:rPr>
              <w:t>Страницы в отчёте: [9] с. 507</w:t>
            </w:r>
          </w:p>
          <w:p>
            <w:pPr>
              <w:spacing w:after="40"/>
            </w:pPr>
            <w:r>
              <w:rPr>
                <w:b w:val="0"/>
                <w:i/>
                <w:sz w:val="17"/>
              </w:rPr>
              <w:t>с. 507: «Unlike nonparametric methods, autoencoders give mappings in both directions between the data and code spaces, and they can be applied to very large data sets because both the pretraining and the fine-tuning scale linearly in time and space with the number of training cases.»</w:t>
            </w:r>
          </w:p>
        </w:tc>
        <w:tc>
          <w:tcPr>
            <w:tcW w:type="dxa" w:w="5102"/>
          </w:tcPr>
          <w:p>
            <w:pPr>
              <w:spacing w:after="40"/>
            </w:pPr>
            <w:r>
              <w:rPr>
                <w:b w:val="0"/>
                <w:i w:val="0"/>
                <w:sz w:val="17"/>
              </w:rPr>
              <w:t>Явные отображения в обе стороны и масштабируемость: в отличие от непараметрических методов, AE дают отображения в обоих направлениях между пространством данных и пространством кода и применимы к очень большим наборам данных, так как предобучение и тонкая настройка масштабируются линейно по времени и памяти с числом обучающих примеров.</w:t>
            </w:r>
          </w:p>
          <w:p>
            <w:pPr>
              <w:spacing w:after="40"/>
            </w:pPr>
            <w:r>
              <w:rPr>
                <w:b w:val="0"/>
                <w:i w:val="0"/>
                <w:sz w:val="16"/>
              </w:rPr>
              <w:t>Пояснение: Дополнено формулировкой авторов.</w:t>
            </w:r>
          </w:p>
        </w:tc>
      </w:tr>
      <w:tr>
        <w:tc>
          <w:tcPr>
            <w:tcW w:type="dxa" w:w="3515"/>
          </w:tcPr>
          <w:p>
            <w:pPr>
              <w:spacing w:after="40"/>
            </w:pPr>
            <w:r>
              <w:rPr>
                <w:b w:val="0"/>
                <w:i w:val="0"/>
                <w:sz w:val="17"/>
              </w:rPr>
              <w:t>Недостатки базового AE:</w:t>
            </w:r>
          </w:p>
        </w:tc>
        <w:tc>
          <w:tcPr>
            <w:tcW w:type="dxa" w:w="1474"/>
            <w:shd w:val="clear" w:color="auto" w:fill="E2F0D9"/>
          </w:tcPr>
          <w:p>
            <w:pPr>
              <w:spacing w:after="40"/>
            </w:pPr>
            <w:r>
              <w:rPr>
                <w:b/>
                <w:i w:val="0"/>
                <w:sz w:val="17"/>
              </w:rPr>
              <w:t>Совпадает</w:t>
            </w:r>
          </w:p>
        </w:tc>
        <w:tc>
          <w:tcPr>
            <w:tcW w:type="dxa" w:w="4932"/>
          </w:tcPr>
          <w:p>
            <w:pPr>
              <w:spacing w:after="40"/>
            </w:pPr>
            <w:r>
              <w:rPr>
                <w:b/>
                <w:i w:val="0"/>
                <w:sz w:val="17"/>
              </w:rPr>
              <w:t>Страницы в отчёте: [9] с. 505, 507</w:t>
            </w:r>
          </w:p>
        </w:tc>
        <w:tc>
          <w:tcPr>
            <w:tcW w:type="dxa" w:w="5102"/>
          </w:tcPr>
          <w:p>
            <w:pPr>
              <w:spacing w:after="40"/>
            </w:pPr>
            <w:r>
              <w:rPr>
                <w:b w:val="0"/>
                <w:i w:val="0"/>
                <w:sz w:val="17"/>
              </w:rPr>
              <w:t>(текст сохранён)</w:t>
            </w:r>
          </w:p>
        </w:tc>
      </w:tr>
      <w:tr>
        <w:tc>
          <w:tcPr>
            <w:tcW w:type="dxa" w:w="3515"/>
          </w:tcPr>
          <w:p>
            <w:pPr>
              <w:spacing w:after="40"/>
            </w:pPr>
            <w:r>
              <w:rPr>
                <w:b w:val="0"/>
                <w:i w:val="0"/>
                <w:sz w:val="17"/>
              </w:rPr>
              <w:t>Неупорядоченное латентное пространство: нет гарантии, что близкие точки в латентном пространстве соответствуют семантически близким данным.</w:t>
            </w:r>
          </w:p>
        </w:tc>
        <w:tc>
          <w:tcPr>
            <w:tcW w:type="dxa" w:w="1474"/>
            <w:shd w:val="clear" w:color="auto" w:fill="FCE4D6"/>
          </w:tcPr>
          <w:p>
            <w:pPr>
              <w:spacing w:after="40"/>
            </w:pPr>
            <w:r>
              <w:rPr>
                <w:b/>
                <w:i w:val="0"/>
                <w:sz w:val="17"/>
              </w:rPr>
              <w:t>Не совпадало — заменено</w:t>
            </w:r>
          </w:p>
        </w:tc>
        <w:tc>
          <w:tcPr>
            <w:tcW w:type="dxa" w:w="4932"/>
          </w:tcPr>
          <w:p>
            <w:pPr>
              <w:spacing w:after="40"/>
            </w:pPr>
            <w:r>
              <w:rPr>
                <w:b/>
                <w:i w:val="0"/>
                <w:sz w:val="17"/>
              </w:rPr>
              <w:t>Страницы в отчёте: [9] с. 505</w:t>
            </w:r>
          </w:p>
          <w:p>
            <w:pPr>
              <w:spacing w:after="40"/>
            </w:pPr>
            <w:r>
              <w:rPr>
                <w:b w:val="0"/>
                <w:i/>
                <w:sz w:val="17"/>
              </w:rPr>
              <w:t>с. 505: «It is difficult to optimize the weights in nonlinear autoencoders that have multiple hidden layers. With large initial weights, autoencoders typically find poor local minima; with small initial weights, the gradients in the early layers are tiny, making it infeasible to train autoencoders with many hidden layers.»</w:t>
            </w:r>
          </w:p>
        </w:tc>
        <w:tc>
          <w:tcPr>
            <w:tcW w:type="dxa" w:w="5102"/>
          </w:tcPr>
          <w:p>
            <w:pPr>
              <w:spacing w:after="40"/>
            </w:pPr>
            <w:r>
              <w:rPr>
                <w:b w:val="0"/>
                <w:i w:val="0"/>
                <w:sz w:val="17"/>
              </w:rPr>
              <w:t>Трудность оптимизации: трудно оптимизировать веса нелинейных автоэнкодеров с несколькими скрытыми слоями: при больших начальных весах находятся плохие локальные минимумы, а при малых градиенты в первых слоях ничтожно малы.</w:t>
            </w:r>
          </w:p>
          <w:p>
            <w:pPr>
              <w:spacing w:after="40"/>
            </w:pPr>
            <w:r>
              <w:rPr>
                <w:b w:val="0"/>
                <w:i w:val="0"/>
                <w:sz w:val="16"/>
              </w:rPr>
              <w:t>Пояснение: Про «неупорядоченное латентное пространство» в статье нет; заменено недостатком, названным авторами.</w:t>
            </w:r>
          </w:p>
        </w:tc>
      </w:tr>
      <w:tr>
        <w:tc>
          <w:tcPr>
            <w:tcW w:type="dxa" w:w="3515"/>
          </w:tcPr>
          <w:p>
            <w:pPr>
              <w:spacing w:after="40"/>
            </w:pPr>
            <w:r>
              <w:rPr>
                <w:b w:val="0"/>
                <w:i w:val="0"/>
                <w:sz w:val="17"/>
              </w:rPr>
              <w:t>"Дыры" в пространстве: точки в латентном пространстве, на которые не отображаются реальные данные, при декодировании могут давать бессмысленный вывод.</w:t>
            </w:r>
          </w:p>
        </w:tc>
        <w:tc>
          <w:tcPr>
            <w:tcW w:type="dxa" w:w="1474"/>
            <w:shd w:val="clear" w:color="auto" w:fill="FCE4D6"/>
          </w:tcPr>
          <w:p>
            <w:pPr>
              <w:spacing w:after="40"/>
            </w:pPr>
            <w:r>
              <w:rPr>
                <w:b/>
                <w:i w:val="0"/>
                <w:sz w:val="17"/>
              </w:rPr>
              <w:t>Не совпадало — заменено</w:t>
            </w:r>
          </w:p>
        </w:tc>
        <w:tc>
          <w:tcPr>
            <w:tcW w:type="dxa" w:w="4932"/>
          </w:tcPr>
          <w:p>
            <w:pPr>
              <w:spacing w:after="40"/>
            </w:pPr>
            <w:r>
              <w:rPr>
                <w:b/>
                <w:i w:val="0"/>
                <w:sz w:val="17"/>
              </w:rPr>
              <w:t>Страницы в отчёте: [9] с. 504–505, 507</w:t>
            </w:r>
          </w:p>
          <w:p>
            <w:pPr>
              <w:spacing w:after="40"/>
            </w:pPr>
            <w:r>
              <w:rPr>
                <w:b w:val="0"/>
                <w:i/>
                <w:sz w:val="17"/>
              </w:rPr>
              <w:t>с. 505: «If the initial weights are close to a good solution, gradient descent works well, but finding such initial weights requires a very different type of algorithm that learns one layer of features at a time.»</w:t>
            </w:r>
          </w:p>
          <w:p>
            <w:pPr>
              <w:spacing w:after="40"/>
            </w:pPr>
            <w:r>
              <w:rPr>
                <w:b w:val="0"/>
                <w:i/>
                <w:sz w:val="17"/>
              </w:rPr>
              <w:t>с. 507: «Without pretraining, the very deep autoencoder always reconstructs the average of the training data, even after prolonged fine-tuning»</w:t>
            </w:r>
          </w:p>
        </w:tc>
        <w:tc>
          <w:tcPr>
            <w:tcW w:type="dxa" w:w="5102"/>
          </w:tcPr>
          <w:p>
            <w:pPr>
              <w:spacing w:after="40"/>
            </w:pPr>
            <w:r>
              <w:rPr>
                <w:b w:val="0"/>
                <w:i w:val="0"/>
                <w:sz w:val="17"/>
              </w:rPr>
              <w:t>Зависимость от начальных весов: градиентный спуск работает хорошо лишь при начальных весах, близких к хорошему решению; для этого авторы предлагают предобучение (pretraining) стека ограниченных машин Больцмана (RBM). Без предобучения очень глубокий автоэнкодер всегда восстанавливает лишь среднее по обучающей выборке.</w:t>
            </w:r>
          </w:p>
          <w:p>
            <w:pPr>
              <w:spacing w:after="40"/>
            </w:pPr>
            <w:r>
              <w:rPr>
                <w:b w:val="0"/>
                <w:i w:val="0"/>
                <w:sz w:val="16"/>
              </w:rPr>
              <w:t>Пояснение: Про «дыры» в латентном пространстве в статье нет.</w:t>
            </w:r>
          </w:p>
        </w:tc>
      </w:tr>
      <w:tr>
        <w:tc>
          <w:tcPr>
            <w:tcW w:type="dxa" w:w="3515"/>
          </w:tcPr>
          <w:p>
            <w:pPr>
              <w:spacing w:after="40"/>
            </w:pPr>
            <w:r>
              <w:rPr>
                <w:b w:val="0"/>
                <w:i w:val="0"/>
                <w:sz w:val="17"/>
              </w:rPr>
              <w:t>Вариационные автоэнкодеры (VAEs): VAE решает проблему нерегуляризованности латентного пространства AE. Он трактует процесс генерации данных вероятностно.</w:t>
            </w:r>
          </w:p>
        </w:tc>
        <w:tc>
          <w:tcPr>
            <w:tcW w:type="dxa" w:w="1474"/>
            <w:shd w:val="clear" w:color="auto" w:fill="FCE4D6"/>
          </w:tcPr>
          <w:p>
            <w:pPr>
              <w:spacing w:after="40"/>
            </w:pPr>
            <w:r>
              <w:rPr>
                <w:b/>
                <w:i w:val="0"/>
                <w:sz w:val="17"/>
              </w:rPr>
              <w:t>Не совпадало — заменено</w:t>
            </w:r>
          </w:p>
        </w:tc>
        <w:tc>
          <w:tcPr>
            <w:tcW w:type="dxa" w:w="4932"/>
          </w:tcPr>
          <w:p>
            <w:pPr>
              <w:spacing w:after="40"/>
            </w:pPr>
            <w:r>
              <w:rPr>
                <w:b/>
                <w:i w:val="0"/>
                <w:sz w:val="17"/>
              </w:rPr>
              <w:t>Страницы в отчёте: [10] с. 1–2</w:t>
            </w:r>
          </w:p>
          <w:p>
            <w:pPr>
              <w:spacing w:after="40"/>
            </w:pPr>
            <w:r>
              <w:rPr>
                <w:b w:val="0"/>
                <w:i/>
                <w:sz w:val="17"/>
              </w:rPr>
              <w:t>с. 1: «When a neural network is used for the recognition model, we arrive at the variational auto-encoder.»</w:t>
            </w:r>
          </w:p>
          <w:p>
            <w:pPr>
              <w:spacing w:after="40"/>
            </w:pPr>
            <w:r>
              <w:rPr>
                <w:b w:val="0"/>
                <w:i/>
                <w:sz w:val="17"/>
              </w:rPr>
              <w:t>с. 2: «The process consists of two steps: (1) a value z(i) is generated from some prior distribution pθ*(z); (2) a value x(i) is generated from some conditional distribution pθ*(x|z).»</w:t>
            </w:r>
          </w:p>
        </w:tc>
        <w:tc>
          <w:tcPr>
            <w:tcW w:type="dxa" w:w="5102"/>
          </w:tcPr>
          <w:p>
            <w:pPr>
              <w:spacing w:after="40"/>
            </w:pPr>
            <w:r>
              <w:rPr>
                <w:b w:val="0"/>
                <w:i w:val="0"/>
                <w:sz w:val="17"/>
              </w:rPr>
              <w:t>Вариационные автоэнкодеры (VAEs): когда в качестве модели распознавания (recognition model) используется нейронная сеть, получается вариационный автоэнкодер. Данные считаются порождёнными случайным процессом с ненаблюдаемой непрерывной скрытой переменной z: значение z генерируется из априорного распределения p(z), затем x — из условного распределения p(x|z).</w:t>
            </w:r>
          </w:p>
          <w:p>
            <w:pPr>
              <w:spacing w:after="40"/>
            </w:pPr>
            <w:r>
              <w:rPr>
                <w:b w:val="0"/>
                <w:i w:val="0"/>
                <w:sz w:val="16"/>
              </w:rPr>
              <w:t>Пояснение: Тезис «VAE решает проблему нерегуляризованности латентного пространства AE» в статье Kingma не сформулирован; ссылка на [9] убрана (она не относится к VAE).</w:t>
            </w:r>
          </w:p>
        </w:tc>
      </w:tr>
      <w:tr>
        <w:tc>
          <w:tcPr>
            <w:tcW w:type="dxa" w:w="3515"/>
          </w:tcPr>
          <w:p>
            <w:pPr>
              <w:spacing w:after="40"/>
            </w:pPr>
            <w:r>
              <w:rPr>
                <w:b w:val="0"/>
                <w:i w:val="0"/>
                <w:sz w:val="17"/>
              </w:rPr>
              <w:t>Архитектура и обучение VAE:</w:t>
            </w:r>
          </w:p>
        </w:tc>
        <w:tc>
          <w:tcPr>
            <w:tcW w:type="dxa" w:w="1474"/>
            <w:shd w:val="clear" w:color="auto" w:fill="E2F0D9"/>
          </w:tcPr>
          <w:p>
            <w:pPr>
              <w:spacing w:after="40"/>
            </w:pPr>
            <w:r>
              <w:rPr>
                <w:b/>
                <w:i w:val="0"/>
                <w:sz w:val="17"/>
              </w:rPr>
              <w:t>Совпадает</w:t>
            </w:r>
          </w:p>
        </w:tc>
        <w:tc>
          <w:tcPr>
            <w:tcW w:type="dxa" w:w="4932"/>
          </w:tcPr>
          <w:p>
            <w:pPr>
              <w:spacing w:after="40"/>
            </w:pPr>
            <w:r>
              <w:rPr>
                <w:b/>
                <w:i w:val="0"/>
                <w:sz w:val="17"/>
              </w:rPr>
              <w:t>Страницы в отчёте: [10] с. 3–5</w:t>
            </w:r>
          </w:p>
        </w:tc>
        <w:tc>
          <w:tcPr>
            <w:tcW w:type="dxa" w:w="5102"/>
          </w:tcPr>
          <w:p>
            <w:pPr>
              <w:spacing w:after="40"/>
            </w:pPr>
            <w:r>
              <w:rPr>
                <w:b w:val="0"/>
                <w:i w:val="0"/>
                <w:sz w:val="17"/>
              </w:rPr>
              <w:t>(текст сохранён)</w:t>
            </w:r>
          </w:p>
        </w:tc>
      </w:tr>
      <w:tr>
        <w:tc>
          <w:tcPr>
            <w:tcW w:type="dxa" w:w="3515"/>
          </w:tcPr>
          <w:p>
            <w:pPr>
              <w:spacing w:after="40"/>
            </w:pPr>
            <w:r>
              <w:rPr>
                <w:b w:val="0"/>
                <w:i w:val="0"/>
                <w:sz w:val="17"/>
              </w:rPr>
              <w:t>Кодер: вместо того чтобы выдавать одно значение z, кодер выдает параметры распределения — обычно среднее μ и логарифм дисперсии log(σ²) для многомерного нормального распределения q(z|x) = N(z; μ, σ²I).</w:t>
            </w:r>
          </w:p>
        </w:tc>
        <w:tc>
          <w:tcPr>
            <w:tcW w:type="dxa" w:w="1474"/>
            <w:shd w:val="clear" w:color="auto" w:fill="E2F0D9"/>
          </w:tcPr>
          <w:p>
            <w:pPr>
              <w:spacing w:after="40"/>
            </w:pPr>
            <w:r>
              <w:rPr>
                <w:b/>
                <w:i w:val="0"/>
                <w:sz w:val="17"/>
              </w:rPr>
              <w:t>Совпадает</w:t>
            </w:r>
          </w:p>
        </w:tc>
        <w:tc>
          <w:tcPr>
            <w:tcW w:type="dxa" w:w="4932"/>
          </w:tcPr>
          <w:p>
            <w:pPr>
              <w:spacing w:after="40"/>
            </w:pPr>
            <w:r>
              <w:rPr>
                <w:b/>
                <w:i w:val="0"/>
                <w:sz w:val="17"/>
              </w:rPr>
              <w:t>Страницы в отчёте: [10] с. 3, 5, 11</w:t>
            </w:r>
          </w:p>
          <w:p>
            <w:pPr>
              <w:spacing w:after="40"/>
            </w:pPr>
            <w:r>
              <w:rPr>
                <w:b w:val="0"/>
                <w:i/>
                <w:sz w:val="17"/>
              </w:rPr>
              <w:t>с. 5: «we can let the variational approximate posterior be a multivariate Gaussian with a diagonal covariance structure: log qφ(z|x(i)) = log N(z; µ(i), σ2(i) I) where the mean and s.d. … are outputs of the encoding MLP»</w:t>
            </w:r>
          </w:p>
          <w:p>
            <w:pPr>
              <w:spacing w:after="40"/>
            </w:pPr>
            <w:r>
              <w:rPr>
                <w:b w:val="0"/>
                <w:i/>
                <w:sz w:val="17"/>
              </w:rPr>
              <w:t>с. 11: «C.2 Gaussian MLP as encoder or decoder … μ = W4h + b4, log σ² = W5h + b5»</w:t>
            </w:r>
          </w:p>
        </w:tc>
        <w:tc>
          <w:tcPr>
            <w:tcW w:type="dxa" w:w="5102"/>
          </w:tcPr>
          <w:p>
            <w:pPr>
              <w:spacing w:after="40"/>
            </w:pPr>
            <w:r>
              <w:rPr>
                <w:b w:val="0"/>
                <w:i w:val="0"/>
                <w:sz w:val="17"/>
              </w:rPr>
              <w:t>(текст сохранён)</w:t>
            </w:r>
          </w:p>
          <w:p>
            <w:pPr>
              <w:spacing w:after="40"/>
            </w:pPr>
            <w:r>
              <w:rPr>
                <w:b w:val="0"/>
                <w:i w:val="0"/>
                <w:sz w:val="16"/>
              </w:rPr>
              <w:t>Пояснение: Подтверждено (приложение C.2: log σ² = W5h + b5).</w:t>
            </w:r>
          </w:p>
        </w:tc>
      </w:tr>
      <w:tr>
        <w:tc>
          <w:tcPr>
            <w:tcW w:type="dxa" w:w="3515"/>
          </w:tcPr>
          <w:p>
            <w:pPr>
              <w:spacing w:after="40"/>
            </w:pPr>
            <w:r>
              <w:rPr>
                <w:b w:val="0"/>
                <w:i w:val="0"/>
                <w:sz w:val="17"/>
              </w:rPr>
              <w:t>Сэмплирование: из этого распределения сэмплируется точка z с использованием трюка перепараметризации (reparameterization trick): z = μ + σ * ε, где ε ~ N(0, I).</w:t>
            </w:r>
          </w:p>
        </w:tc>
        <w:tc>
          <w:tcPr>
            <w:tcW w:type="dxa" w:w="1474"/>
            <w:shd w:val="clear" w:color="auto" w:fill="E2F0D9"/>
          </w:tcPr>
          <w:p>
            <w:pPr>
              <w:spacing w:after="40"/>
            </w:pPr>
            <w:r>
              <w:rPr>
                <w:b/>
                <w:i w:val="0"/>
                <w:sz w:val="17"/>
              </w:rPr>
              <w:t>Совпадает</w:t>
            </w:r>
          </w:p>
        </w:tc>
        <w:tc>
          <w:tcPr>
            <w:tcW w:type="dxa" w:w="4932"/>
          </w:tcPr>
          <w:p>
            <w:pPr>
              <w:spacing w:after="40"/>
            </w:pPr>
            <w:r>
              <w:rPr>
                <w:b/>
                <w:i w:val="0"/>
                <w:sz w:val="17"/>
              </w:rPr>
              <w:t>Страницы в отчёте: [10] с. 4–5</w:t>
            </w:r>
          </w:p>
          <w:p>
            <w:pPr>
              <w:spacing w:after="40"/>
            </w:pPr>
            <w:r>
              <w:rPr>
                <w:b w:val="0"/>
                <w:i/>
                <w:sz w:val="17"/>
              </w:rPr>
              <w:t>с. 5: «z(i,l) = gφ(x(i), ε(l)) = µ(i) + σ(i) ⊙ ε(l) where ε(l) ∼ N(0, I)»</w:t>
            </w:r>
          </w:p>
          <w:p>
            <w:pPr>
              <w:spacing w:after="40"/>
            </w:pPr>
            <w:r>
              <w:rPr>
                <w:b w:val="0"/>
                <w:i/>
                <w:sz w:val="17"/>
              </w:rPr>
              <w:t>с. 4: «2.4 The reparameterization trick»</w:t>
            </w:r>
          </w:p>
        </w:tc>
        <w:tc>
          <w:tcPr>
            <w:tcW w:type="dxa" w:w="5102"/>
          </w:tcPr>
          <w:p>
            <w:pPr>
              <w:spacing w:after="40"/>
            </w:pPr>
            <w:r>
              <w:rPr>
                <w:b w:val="0"/>
                <w:i w:val="0"/>
                <w:sz w:val="17"/>
              </w:rPr>
              <w:t>(текст сохранён)</w:t>
            </w:r>
          </w:p>
          <w:p>
            <w:pPr>
              <w:spacing w:after="40"/>
            </w:pPr>
            <w:r>
              <w:rPr>
                <w:b w:val="0"/>
                <w:i w:val="0"/>
                <w:sz w:val="16"/>
              </w:rPr>
              <w:t>Пояснение: Подтверждено.</w:t>
            </w:r>
          </w:p>
        </w:tc>
      </w:tr>
      <w:tr>
        <w:tc>
          <w:tcPr>
            <w:tcW w:type="dxa" w:w="3515"/>
          </w:tcPr>
          <w:p>
            <w:pPr>
              <w:spacing w:after="40"/>
            </w:pPr>
            <w:r>
              <w:rPr>
                <w:b w:val="0"/>
                <w:i w:val="0"/>
                <w:sz w:val="17"/>
              </w:rPr>
              <w:t>Декодер: декодер пытается восстановить данные из z, моделируя распределение p(x|z).</w:t>
            </w:r>
          </w:p>
        </w:tc>
        <w:tc>
          <w:tcPr>
            <w:tcW w:type="dxa" w:w="1474"/>
            <w:shd w:val="clear" w:color="auto" w:fill="E2F0D9"/>
          </w:tcPr>
          <w:p>
            <w:pPr>
              <w:spacing w:after="40"/>
            </w:pPr>
            <w:r>
              <w:rPr>
                <w:b/>
                <w:i w:val="0"/>
                <w:sz w:val="17"/>
              </w:rPr>
              <w:t>Совпадает</w:t>
            </w:r>
          </w:p>
        </w:tc>
        <w:tc>
          <w:tcPr>
            <w:tcW w:type="dxa" w:w="4932"/>
          </w:tcPr>
          <w:p>
            <w:pPr>
              <w:spacing w:after="40"/>
            </w:pPr>
            <w:r>
              <w:rPr>
                <w:b/>
                <w:i w:val="0"/>
                <w:sz w:val="17"/>
              </w:rPr>
              <w:t>Страницы в отчёте: [10] с. 3, 5</w:t>
            </w:r>
          </w:p>
          <w:p>
            <w:pPr>
              <w:spacing w:after="40"/>
            </w:pPr>
            <w:r>
              <w:rPr>
                <w:b w:val="0"/>
                <w:i/>
                <w:sz w:val="17"/>
              </w:rPr>
              <w:t>с. 3: «we will refer to pθ(x|z) as a probabilistic decoder, since given a code z it produces a distribution over the possible corresponding values of x.»</w:t>
            </w:r>
          </w:p>
        </w:tc>
        <w:tc>
          <w:tcPr>
            <w:tcW w:type="dxa" w:w="5102"/>
          </w:tcPr>
          <w:p>
            <w:pPr>
              <w:spacing w:after="40"/>
            </w:pPr>
            <w:r>
              <w:rPr>
                <w:b w:val="0"/>
                <w:i w:val="0"/>
                <w:sz w:val="17"/>
              </w:rPr>
              <w:t>(текст сохранён)</w:t>
            </w:r>
          </w:p>
          <w:p>
            <w:pPr>
              <w:spacing w:after="40"/>
            </w:pPr>
            <w:r>
              <w:rPr>
                <w:b w:val="0"/>
                <w:i w:val="0"/>
                <w:sz w:val="16"/>
              </w:rPr>
              <w:t>Пояснение: Подтверждено.</w:t>
            </w:r>
          </w:p>
        </w:tc>
      </w:tr>
      <w:tr>
        <w:tc>
          <w:tcPr>
            <w:tcW w:type="dxa" w:w="3515"/>
          </w:tcPr>
          <w:p>
            <w:pPr>
              <w:spacing w:after="40"/>
            </w:pPr>
            <w:r>
              <w:rPr>
                <w:b w:val="0"/>
                <w:i w:val="0"/>
                <w:sz w:val="17"/>
              </w:rPr>
              <w:t>Функция потерь: состоит из двух частей:</w:t>
            </w:r>
          </w:p>
        </w:tc>
        <w:tc>
          <w:tcPr>
            <w:tcW w:type="dxa" w:w="1474"/>
            <w:shd w:val="clear" w:color="auto" w:fill="E2F0D9"/>
          </w:tcPr>
          <w:p>
            <w:pPr>
              <w:spacing w:after="40"/>
            </w:pPr>
            <w:r>
              <w:rPr>
                <w:b/>
                <w:i w:val="0"/>
                <w:sz w:val="17"/>
              </w:rPr>
              <w:t>Совпадает</w:t>
            </w:r>
          </w:p>
        </w:tc>
        <w:tc>
          <w:tcPr>
            <w:tcW w:type="dxa" w:w="4932"/>
          </w:tcPr>
          <w:p>
            <w:pPr>
              <w:spacing w:after="40"/>
            </w:pPr>
            <w:r>
              <w:rPr>
                <w:b/>
                <w:i w:val="0"/>
                <w:sz w:val="17"/>
              </w:rPr>
              <w:t>Страницы в отчёте: [10] с. 3–4</w:t>
            </w:r>
          </w:p>
          <w:p>
            <w:pPr>
              <w:spacing w:after="40"/>
            </w:pPr>
            <w:r>
              <w:rPr>
                <w:b w:val="0"/>
                <w:i/>
                <w:sz w:val="17"/>
              </w:rPr>
              <w:t>с. 3: «L(θ, φ; x(i)) = −D_KL(qφ(z|x(i)) || pθ(z)) + E_qφ(z|x(i))[log pθ(x(i)|z)]   (3)»</w:t>
            </w:r>
          </w:p>
        </w:tc>
        <w:tc>
          <w:tcPr>
            <w:tcW w:type="dxa" w:w="5102"/>
          </w:tcPr>
          <w:p>
            <w:pPr>
              <w:spacing w:after="40"/>
            </w:pPr>
            <w:r>
              <w:rPr>
                <w:b w:val="0"/>
                <w:i w:val="0"/>
                <w:sz w:val="17"/>
              </w:rPr>
              <w:t>(текст сохранён)</w:t>
            </w:r>
          </w:p>
        </w:tc>
      </w:tr>
      <w:tr>
        <w:tc>
          <w:tcPr>
            <w:tcW w:type="dxa" w:w="3515"/>
          </w:tcPr>
          <w:p>
            <w:pPr>
              <w:spacing w:after="40"/>
            </w:pPr>
            <w:r>
              <w:rPr>
                <w:b w:val="0"/>
                <w:i w:val="0"/>
                <w:sz w:val="17"/>
              </w:rPr>
              <w:t>Ошибка реконструкции (как в AE).</w:t>
            </w:r>
          </w:p>
        </w:tc>
        <w:tc>
          <w:tcPr>
            <w:tcW w:type="dxa" w:w="1474"/>
            <w:shd w:val="clear" w:color="auto" w:fill="E2F0D9"/>
          </w:tcPr>
          <w:p>
            <w:pPr>
              <w:spacing w:after="40"/>
            </w:pPr>
            <w:r>
              <w:rPr>
                <w:b/>
                <w:i w:val="0"/>
                <w:sz w:val="17"/>
              </w:rPr>
              <w:t>Совпадает</w:t>
            </w:r>
          </w:p>
        </w:tc>
        <w:tc>
          <w:tcPr>
            <w:tcW w:type="dxa" w:w="4932"/>
          </w:tcPr>
          <w:p>
            <w:pPr>
              <w:spacing w:after="40"/>
            </w:pPr>
            <w:r>
              <w:rPr>
                <w:b/>
                <w:i w:val="0"/>
                <w:sz w:val="17"/>
              </w:rPr>
              <w:t>Страницы в отчёте: [10] с. 4</w:t>
            </w:r>
          </w:p>
          <w:p>
            <w:pPr>
              <w:spacing w:after="40"/>
            </w:pPr>
            <w:r>
              <w:rPr>
                <w:b w:val="0"/>
                <w:i/>
                <w:sz w:val="17"/>
              </w:rPr>
              <w:t>с. 4: «the second term is … an expected negative reconstruction error … This term is a negative reconstruction error in auto-encoder parlance.»</w:t>
            </w:r>
          </w:p>
        </w:tc>
        <w:tc>
          <w:tcPr>
            <w:tcW w:type="dxa" w:w="5102"/>
          </w:tcPr>
          <w:p>
            <w:pPr>
              <w:spacing w:after="40"/>
            </w:pPr>
            <w:r>
              <w:rPr>
                <w:b w:val="0"/>
                <w:i w:val="0"/>
                <w:sz w:val="17"/>
              </w:rPr>
              <w:t>(текст сохранён)</w:t>
            </w:r>
          </w:p>
          <w:p>
            <w:pPr>
              <w:spacing w:after="40"/>
            </w:pPr>
            <w:r>
              <w:rPr>
                <w:b w:val="0"/>
                <w:i w:val="0"/>
                <w:sz w:val="16"/>
              </w:rPr>
              <w:t>Пояснение: Подтверждено.</w:t>
            </w:r>
          </w:p>
        </w:tc>
      </w:tr>
      <w:tr>
        <w:tc>
          <w:tcPr>
            <w:tcW w:type="dxa" w:w="3515"/>
          </w:tcPr>
          <w:p>
            <w:pPr>
              <w:spacing w:after="40"/>
            </w:pPr>
            <w:r>
              <w:rPr>
                <w:b w:val="0"/>
                <w:i w:val="0"/>
                <w:sz w:val="17"/>
              </w:rPr>
              <w:t>KL-дивергенция между апостериорным распределением q(z|x) и априорным p(z) (обычно N(0, I)). Этот член выступает в качестве регуляризатора, заставляя латентное пространство быть гладким, непрерывным и похожим на нормальное распределение.</w:t>
            </w:r>
          </w:p>
        </w:tc>
        <w:tc>
          <w:tcPr>
            <w:tcW w:type="dxa" w:w="1474"/>
            <w:shd w:val="clear" w:color="auto" w:fill="FFF2CC"/>
          </w:tcPr>
          <w:p>
            <w:pPr>
              <w:spacing w:after="40"/>
            </w:pPr>
            <w:r>
              <w:rPr>
                <w:b/>
                <w:i w:val="0"/>
                <w:sz w:val="17"/>
              </w:rPr>
              <w:t>Исправлено частично</w:t>
            </w:r>
          </w:p>
        </w:tc>
        <w:tc>
          <w:tcPr>
            <w:tcW w:type="dxa" w:w="4932"/>
          </w:tcPr>
          <w:p>
            <w:pPr>
              <w:spacing w:after="40"/>
            </w:pPr>
            <w:r>
              <w:rPr>
                <w:b/>
                <w:i w:val="0"/>
                <w:sz w:val="17"/>
              </w:rPr>
              <w:t>Страницы в отчёте: [10] с. 4–5</w:t>
            </w:r>
          </w:p>
          <w:p>
            <w:pPr>
              <w:spacing w:after="40"/>
            </w:pPr>
            <w:r>
              <w:rPr>
                <w:b w:val="0"/>
                <w:i/>
                <w:sz w:val="17"/>
              </w:rPr>
              <w:t>с. 4: «The KL-divergence term can then be interpreted as regularizing φ, encouraging the approximate posterior to be close to the prior pθ(z).»</w:t>
            </w:r>
          </w:p>
          <w:p>
            <w:pPr>
              <w:spacing w:after="40"/>
            </w:pPr>
            <w:r>
              <w:rPr>
                <w:b w:val="0"/>
                <w:i/>
                <w:sz w:val="17"/>
              </w:rPr>
              <w:t>с. 5: «Let the prior over the latent variables be the centered isotropic multivariate Gaussian pθ(z) = N(z; 0, I).»</w:t>
            </w:r>
          </w:p>
        </w:tc>
        <w:tc>
          <w:tcPr>
            <w:tcW w:type="dxa" w:w="5102"/>
          </w:tcPr>
          <w:p>
            <w:pPr>
              <w:spacing w:after="40"/>
            </w:pPr>
            <w:r>
              <w:rPr>
                <w:b w:val="0"/>
                <w:i w:val="0"/>
                <w:sz w:val="17"/>
              </w:rPr>
              <w:t>KL-дивергенция между апостериорным распределением q(z|x) и априорным p(z) (в примере статьи p(z) = N(0, I)). Этот член выступает регуляризатором, побуждая приближённое апостериорное распределение быть близким к априорному.</w:t>
            </w:r>
          </w:p>
          <w:p>
            <w:pPr>
              <w:spacing w:after="40"/>
            </w:pPr>
            <w:r>
              <w:rPr>
                <w:b w:val="0"/>
                <w:i w:val="0"/>
                <w:sz w:val="16"/>
              </w:rPr>
              <w:t>Пояснение: Слова «гладким, непрерывным» в статье отсутствуют — убраны.</w:t>
            </w:r>
          </w:p>
        </w:tc>
      </w:tr>
      <w:tr>
        <w:tc>
          <w:tcPr>
            <w:tcW w:type="dxa" w:w="3515"/>
          </w:tcPr>
          <w:p>
            <w:pPr>
              <w:spacing w:after="40"/>
            </w:pPr>
            <w:r>
              <w:rPr>
                <w:b w:val="0"/>
                <w:i w:val="0"/>
                <w:sz w:val="17"/>
              </w:rPr>
              <w:t>Преимущества VAE для снижения размерности:</w:t>
            </w:r>
          </w:p>
        </w:tc>
        <w:tc>
          <w:tcPr>
            <w:tcW w:type="dxa" w:w="1474"/>
            <w:shd w:val="clear" w:color="auto" w:fill="E2F0D9"/>
          </w:tcPr>
          <w:p>
            <w:pPr>
              <w:spacing w:after="40"/>
            </w:pPr>
            <w:r>
              <w:rPr>
                <w:b/>
                <w:i w:val="0"/>
                <w:sz w:val="17"/>
              </w:rPr>
              <w:t>Совпадает</w:t>
            </w:r>
          </w:p>
        </w:tc>
        <w:tc>
          <w:tcPr>
            <w:tcW w:type="dxa" w:w="4932"/>
          </w:tcPr>
          <w:p>
            <w:pPr>
              <w:spacing w:after="40"/>
            </w:pPr>
            <w:r>
              <w:rPr>
                <w:b/>
                <w:i w:val="0"/>
                <w:sz w:val="17"/>
              </w:rPr>
              <w:t>Страницы в отчёте: [10] с. 1–2, 8</w:t>
            </w:r>
          </w:p>
        </w:tc>
        <w:tc>
          <w:tcPr>
            <w:tcW w:type="dxa" w:w="5102"/>
          </w:tcPr>
          <w:p>
            <w:pPr>
              <w:spacing w:after="40"/>
            </w:pPr>
            <w:r>
              <w:rPr>
                <w:b w:val="0"/>
                <w:i w:val="0"/>
                <w:sz w:val="17"/>
              </w:rPr>
              <w:t>(текст сохранён)</w:t>
            </w:r>
          </w:p>
        </w:tc>
      </w:tr>
      <w:tr>
        <w:tc>
          <w:tcPr>
            <w:tcW w:type="dxa" w:w="3515"/>
          </w:tcPr>
          <w:p>
            <w:pPr>
              <w:spacing w:after="40"/>
            </w:pPr>
            <w:r>
              <w:rPr>
                <w:b w:val="0"/>
                <w:i w:val="0"/>
                <w:sz w:val="17"/>
              </w:rPr>
              <w:t>Регуляризованное, непрерывное латентное пространство: позволяет интерполировать между точками и генерировать новые осмысленные данные.</w:t>
            </w:r>
          </w:p>
        </w:tc>
        <w:tc>
          <w:tcPr>
            <w:tcW w:type="dxa" w:w="1474"/>
            <w:shd w:val="clear" w:color="auto" w:fill="FCE4D6"/>
          </w:tcPr>
          <w:p>
            <w:pPr>
              <w:spacing w:after="40"/>
            </w:pPr>
            <w:r>
              <w:rPr>
                <w:b/>
                <w:i w:val="0"/>
                <w:sz w:val="17"/>
              </w:rPr>
              <w:t>Не совпадало — заменено</w:t>
            </w:r>
          </w:p>
        </w:tc>
        <w:tc>
          <w:tcPr>
            <w:tcW w:type="dxa" w:w="4932"/>
          </w:tcPr>
          <w:p>
            <w:pPr>
              <w:spacing w:after="40"/>
            </w:pPr>
            <w:r>
              <w:rPr>
                <w:b/>
                <w:i w:val="0"/>
                <w:sz w:val="17"/>
              </w:rPr>
              <w:t>Страницы в отчёте: [10] с. 2</w:t>
            </w:r>
          </w:p>
          <w:p>
            <w:pPr>
              <w:spacing w:after="40"/>
            </w:pPr>
            <w:r>
              <w:rPr>
                <w:b w:val="0"/>
                <w:i/>
                <w:sz w:val="17"/>
              </w:rPr>
              <w:t>с. 2: «They also allow us to mimic the hidden random process and generate artificial data that resembles the real data.»</w:t>
            </w:r>
          </w:p>
        </w:tc>
        <w:tc>
          <w:tcPr>
            <w:tcW w:type="dxa" w:w="5102"/>
          </w:tcPr>
          <w:p>
            <w:pPr>
              <w:spacing w:after="40"/>
            </w:pPr>
            <w:r>
              <w:rPr>
                <w:b w:val="0"/>
                <w:i w:val="0"/>
                <w:sz w:val="17"/>
              </w:rPr>
              <w:t>Генерация данных: обученная модель позволяет имитировать скрытый случайный процесс и порождать искусственные данные, похожие на реальные.</w:t>
            </w:r>
          </w:p>
          <w:p>
            <w:pPr>
              <w:spacing w:after="40"/>
            </w:pPr>
            <w:r>
              <w:rPr>
                <w:b w:val="0"/>
                <w:i w:val="0"/>
                <w:sz w:val="16"/>
              </w:rPr>
              <w:t>Пояснение: Слова «регуляризованное, непрерывное латентное пространство, интерполяция» в статье не приведены.</w:t>
            </w:r>
          </w:p>
        </w:tc>
      </w:tr>
      <w:tr>
        <w:tc>
          <w:tcPr>
            <w:tcW w:type="dxa" w:w="3515"/>
          </w:tcPr>
          <w:p>
            <w:pPr>
              <w:spacing w:after="40"/>
            </w:pPr>
            <w:r>
              <w:rPr>
                <w:b w:val="0"/>
                <w:i w:val="0"/>
                <w:sz w:val="17"/>
              </w:rPr>
              <w:t>Более осмысленная организация: семантически схожие данные группируются в латентном пространстве.</w:t>
            </w:r>
          </w:p>
        </w:tc>
        <w:tc>
          <w:tcPr>
            <w:tcW w:type="dxa" w:w="1474"/>
            <w:shd w:val="clear" w:color="auto" w:fill="FCE4D6"/>
          </w:tcPr>
          <w:p>
            <w:pPr>
              <w:spacing w:after="40"/>
            </w:pPr>
            <w:r>
              <w:rPr>
                <w:b/>
                <w:i w:val="0"/>
                <w:sz w:val="17"/>
              </w:rPr>
              <w:t>Не совпадало — заменено</w:t>
            </w:r>
          </w:p>
        </w:tc>
        <w:tc>
          <w:tcPr>
            <w:tcW w:type="dxa" w:w="4932"/>
          </w:tcPr>
          <w:p>
            <w:pPr>
              <w:spacing w:after="40"/>
            </w:pPr>
            <w:r>
              <w:rPr>
                <w:b/>
                <w:i w:val="0"/>
                <w:sz w:val="17"/>
              </w:rPr>
              <w:t>Страницы в отчёте: [10] с. 2, 8</w:t>
            </w:r>
          </w:p>
          <w:p>
            <w:pPr>
              <w:spacing w:after="40"/>
            </w:pPr>
            <w:r>
              <w:rPr>
                <w:b w:val="0"/>
                <w:i/>
                <w:sz w:val="17"/>
              </w:rPr>
              <w:t>с. 8: «If we choose a low-dimensional latent space (e.g. 2D), we can use the learned encoders (recognition model) to project high-dimensional data to a low-dimensional manifold.»</w:t>
            </w:r>
          </w:p>
          <w:p>
            <w:pPr>
              <w:spacing w:after="40"/>
            </w:pPr>
            <w:r>
              <w:rPr>
                <w:b w:val="0"/>
                <w:i/>
                <w:sz w:val="17"/>
              </w:rPr>
              <w:t>с. 2: «Efficient approximate posterior inference of the latent variable z … This is useful for coding or data representation tasks.»</w:t>
            </w:r>
          </w:p>
        </w:tc>
        <w:tc>
          <w:tcPr>
            <w:tcW w:type="dxa" w:w="5102"/>
          </w:tcPr>
          <w:p>
            <w:pPr>
              <w:spacing w:after="40"/>
            </w:pPr>
            <w:r>
              <w:rPr>
                <w:b w:val="0"/>
                <w:i w:val="0"/>
                <w:sz w:val="17"/>
              </w:rPr>
              <w:t>Снижение размерности и визуализация: при низкоразмерном латентном пространстве (например, 2D) обученные кодировщики позволяют проецировать многомерные данные на низкоразмерное многообразие; апостериорный вывод z пригоден для задач кодирования и представления данных.</w:t>
            </w:r>
          </w:p>
          <w:p>
            <w:pPr>
              <w:spacing w:after="40"/>
            </w:pPr>
            <w:r>
              <w:rPr>
                <w:b w:val="0"/>
                <w:i w:val="0"/>
                <w:sz w:val="16"/>
              </w:rPr>
              <w:t>Пояснение: Утверждение «семантически схожие данные группируются в латентном пространстве» в статье не приведено.</w:t>
            </w:r>
          </w:p>
        </w:tc>
      </w:tr>
      <w:tr>
        <w:tc>
          <w:tcPr>
            <w:tcW w:type="dxa" w:w="3515"/>
          </w:tcPr>
          <w:p>
            <w:pPr>
              <w:spacing w:after="40"/>
            </w:pPr>
            <w:r>
              <w:rPr>
                <w:b w:val="0"/>
                <w:i w:val="0"/>
                <w:sz w:val="17"/>
              </w:rPr>
              <w:t>Явная вероятностная модель.</w:t>
            </w:r>
          </w:p>
        </w:tc>
        <w:tc>
          <w:tcPr>
            <w:tcW w:type="dxa" w:w="1474"/>
            <w:shd w:val="clear" w:color="auto" w:fill="E2F0D9"/>
          </w:tcPr>
          <w:p>
            <w:pPr>
              <w:spacing w:after="40"/>
            </w:pPr>
            <w:r>
              <w:rPr>
                <w:b/>
                <w:i w:val="0"/>
                <w:sz w:val="17"/>
              </w:rPr>
              <w:t>Совпадает</w:t>
            </w:r>
          </w:p>
        </w:tc>
        <w:tc>
          <w:tcPr>
            <w:tcW w:type="dxa" w:w="4932"/>
          </w:tcPr>
          <w:p>
            <w:pPr>
              <w:spacing w:after="40"/>
            </w:pPr>
            <w:r>
              <w:rPr>
                <w:b/>
                <w:i w:val="0"/>
                <w:sz w:val="17"/>
              </w:rPr>
              <w:t>Страницы в отчёте: [10] с. 1–2</w:t>
            </w:r>
          </w:p>
          <w:p>
            <w:pPr>
              <w:spacing w:after="40"/>
            </w:pPr>
            <w:r>
              <w:rPr>
                <w:b w:val="0"/>
                <w:i/>
                <w:sz w:val="17"/>
              </w:rPr>
              <w:t>с. 1: «inference and learning in directed probabilistic models, in the presence of continuous latent variables»</w:t>
            </w:r>
          </w:p>
        </w:tc>
        <w:tc>
          <w:tcPr>
            <w:tcW w:type="dxa" w:w="5102"/>
          </w:tcPr>
          <w:p>
            <w:pPr>
              <w:spacing w:after="40"/>
            </w:pPr>
            <w:r>
              <w:rPr>
                <w:b w:val="0"/>
                <w:i w:val="0"/>
                <w:sz w:val="17"/>
              </w:rPr>
              <w:t>(текст сохранён)</w:t>
            </w:r>
          </w:p>
        </w:tc>
      </w:tr>
      <w:tr>
        <w:tc>
          <w:tcPr>
            <w:tcW w:type="dxa" w:w="3515"/>
          </w:tcPr>
          <w:p>
            <w:pPr>
              <w:spacing w:after="40"/>
            </w:pPr>
            <w:r>
              <w:rPr>
                <w:b w:val="0"/>
                <w:i w:val="0"/>
                <w:sz w:val="17"/>
              </w:rPr>
              <w:t>Ограничения VAE:</w:t>
            </w:r>
          </w:p>
        </w:tc>
        <w:tc>
          <w:tcPr>
            <w:tcW w:type="dxa" w:w="1474"/>
            <w:shd w:val="clear" w:color="auto" w:fill="E2F0D9"/>
          </w:tcPr>
          <w:p>
            <w:pPr>
              <w:spacing w:after="40"/>
            </w:pPr>
            <w:r>
              <w:rPr>
                <w:b/>
                <w:i w:val="0"/>
                <w:sz w:val="17"/>
              </w:rPr>
              <w:t>Совпадает</w:t>
            </w:r>
          </w:p>
        </w:tc>
        <w:tc>
          <w:tcPr>
            <w:tcW w:type="dxa" w:w="4932"/>
          </w:tcPr>
          <w:p>
            <w:pPr>
              <w:spacing w:after="40"/>
            </w:pPr>
            <w:r>
              <w:rPr>
                <w:b/>
                <w:i w:val="0"/>
                <w:sz w:val="17"/>
              </w:rPr>
              <w:t>Страницы в отчёте: [10] с. 2, 4–5</w:t>
            </w:r>
          </w:p>
        </w:tc>
        <w:tc>
          <w:tcPr>
            <w:tcW w:type="dxa" w:w="5102"/>
          </w:tcPr>
          <w:p>
            <w:pPr>
              <w:spacing w:after="40"/>
            </w:pPr>
            <w:r>
              <w:rPr>
                <w:b w:val="0"/>
                <w:i w:val="0"/>
                <w:sz w:val="17"/>
              </w:rPr>
              <w:t>(текст сохранён)</w:t>
            </w:r>
          </w:p>
        </w:tc>
      </w:tr>
      <w:tr>
        <w:tc>
          <w:tcPr>
            <w:tcW w:type="dxa" w:w="3515"/>
          </w:tcPr>
          <w:p>
            <w:pPr>
              <w:spacing w:after="40"/>
            </w:pPr>
            <w:r>
              <w:rPr>
                <w:b w:val="0"/>
                <w:i w:val="0"/>
                <w:sz w:val="17"/>
              </w:rPr>
              <w:t>Склонность к порождению размытых изображений (из-за использования MSE/KL).</w:t>
            </w:r>
          </w:p>
        </w:tc>
        <w:tc>
          <w:tcPr>
            <w:tcW w:type="dxa" w:w="1474"/>
            <w:shd w:val="clear" w:color="auto" w:fill="FCE4D6"/>
          </w:tcPr>
          <w:p>
            <w:pPr>
              <w:spacing w:after="40"/>
            </w:pPr>
            <w:r>
              <w:rPr>
                <w:b/>
                <w:i w:val="0"/>
                <w:sz w:val="17"/>
              </w:rPr>
              <w:t>Не совпадало — заменено</w:t>
            </w:r>
          </w:p>
        </w:tc>
        <w:tc>
          <w:tcPr>
            <w:tcW w:type="dxa" w:w="4932"/>
          </w:tcPr>
          <w:p>
            <w:pPr>
              <w:spacing w:after="40"/>
            </w:pPr>
            <w:r>
              <w:rPr>
                <w:b/>
                <w:i w:val="0"/>
                <w:sz w:val="17"/>
              </w:rPr>
              <w:t>Страницы в отчёте: [10] с. 2, 4–5</w:t>
            </w:r>
          </w:p>
          <w:p>
            <w:pPr>
              <w:spacing w:after="40"/>
            </w:pPr>
            <w:r>
              <w:rPr>
                <w:b w:val="0"/>
                <w:i/>
                <w:sz w:val="17"/>
              </w:rPr>
              <w:t>с. 2: «we assume … that their PDFs are differentiable almost everywhere w.r.t. both θ and z»</w:t>
            </w:r>
          </w:p>
          <w:p>
            <w:pPr>
              <w:spacing w:after="40"/>
            </w:pPr>
            <w:r>
              <w:rPr>
                <w:b w:val="0"/>
                <w:i/>
                <w:sz w:val="17"/>
              </w:rPr>
              <w:t>с. 5: «For which qφ(z|x) can we choose such a differentiable transformation gφ(·) and auxiliary variable ε ∼ p(ε)?»</w:t>
            </w:r>
          </w:p>
        </w:tc>
        <w:tc>
          <w:tcPr>
            <w:tcW w:type="dxa" w:w="5102"/>
          </w:tcPr>
          <w:p>
            <w:pPr>
              <w:spacing w:after="40"/>
            </w:pPr>
            <w:r>
              <w:rPr>
                <w:b w:val="0"/>
                <w:i w:val="0"/>
                <w:sz w:val="17"/>
              </w:rPr>
              <w:t>Требования дифференцируемости: метод работает при умеренных условиях дифференцируемости (плотности p_θ(z) и p_θ(x|z) дифференцируемы почти всюду по θ и z), а репараметризация требует подходящего распределения q_φ(z|x) и дифференцируемого преобразования g_φ(ε, x).</w:t>
            </w:r>
          </w:p>
          <w:p>
            <w:pPr>
              <w:spacing w:after="40"/>
            </w:pPr>
            <w:r>
              <w:rPr>
                <w:b w:val="0"/>
                <w:i w:val="0"/>
                <w:sz w:val="16"/>
              </w:rPr>
              <w:t>Пояснение: Про «размытые изображения из-за MSE/KL» в статье Kingma нет.</w:t>
            </w:r>
          </w:p>
        </w:tc>
      </w:tr>
      <w:tr>
        <w:tc>
          <w:tcPr>
            <w:tcW w:type="dxa" w:w="3515"/>
          </w:tcPr>
          <w:p>
            <w:pPr>
              <w:spacing w:after="40"/>
            </w:pPr>
            <w:r>
              <w:rPr>
                <w:b w:val="0"/>
                <w:i w:val="0"/>
                <w:sz w:val="17"/>
              </w:rPr>
              <w:t>Более сложное обучение.</w:t>
            </w:r>
          </w:p>
        </w:tc>
        <w:tc>
          <w:tcPr>
            <w:tcW w:type="dxa" w:w="1474"/>
            <w:shd w:val="clear" w:color="auto" w:fill="FCE4D6"/>
          </w:tcPr>
          <w:p>
            <w:pPr>
              <w:spacing w:after="40"/>
            </w:pPr>
            <w:r>
              <w:rPr>
                <w:b/>
                <w:i w:val="0"/>
                <w:sz w:val="17"/>
              </w:rPr>
              <w:t>Не совпадало — заменено</w:t>
            </w:r>
          </w:p>
        </w:tc>
        <w:tc>
          <w:tcPr>
            <w:tcW w:type="dxa" w:w="4932"/>
          </w:tcPr>
          <w:p>
            <w:pPr>
              <w:spacing w:after="40"/>
            </w:pPr>
            <w:r>
              <w:rPr>
                <w:b/>
                <w:i w:val="0"/>
                <w:sz w:val="17"/>
              </w:rPr>
              <w:t>Страницы в отчёте: [10] с. 3–4</w:t>
            </w:r>
          </w:p>
          <w:p>
            <w:pPr>
              <w:spacing w:after="40"/>
            </w:pPr>
            <w:r>
              <w:rPr>
                <w:b w:val="0"/>
                <w:i/>
                <w:sz w:val="17"/>
              </w:rPr>
              <w:t>с. 3: «This gradient estimator exhibits exhibits very high variance and is impractical for our purposes.»</w:t>
            </w:r>
          </w:p>
          <w:p>
            <w:pPr>
              <w:spacing w:after="40"/>
            </w:pPr>
            <w:r>
              <w:rPr>
                <w:b w:val="0"/>
                <w:i/>
                <w:sz w:val="17"/>
              </w:rPr>
              <w:t>с. 4: «We use settings M = 100 and L = 1 in experiments.»</w:t>
            </w:r>
          </w:p>
        </w:tc>
        <w:tc>
          <w:tcPr>
            <w:tcW w:type="dxa" w:w="5102"/>
          </w:tcPr>
          <w:p>
            <w:pPr>
              <w:spacing w:after="40"/>
            </w:pPr>
            <w:r>
              <w:rPr>
                <w:b w:val="0"/>
                <w:i w:val="0"/>
                <w:sz w:val="17"/>
              </w:rPr>
              <w:t>Стохастическое обучение: параметры θ и φ обучаются совместно алгоритмом AEVB по мини-батчам (в экспериментах M = 100, L = 1); наивная Монте-Карло оценка градиента нижней границы имеет очень высокую дисперсию, поэтому используется репараметризация.</w:t>
            </w:r>
          </w:p>
          <w:p>
            <w:pPr>
              <w:spacing w:after="40"/>
            </w:pPr>
            <w:r>
              <w:rPr>
                <w:b w:val="0"/>
                <w:i w:val="0"/>
                <w:sz w:val="16"/>
              </w:rPr>
              <w:t>Пояснение: Фраза «более сложное обучение» в статье не встречается.</w:t>
            </w:r>
          </w:p>
        </w:tc>
      </w:tr>
    </w:tbl>
    <w:p>
      <w:pPr>
        <w:pStyle w:val="Heading2"/>
      </w:pPr>
      <w:r>
        <w:t>Глава 4. Эксперимент</w:t>
      </w:r>
    </w:p>
    <w:tbl>
      <w:tblPr>
        <w:tblStyle w:val="TableGrid"/>
        <w:tblW w:type="auto" w:w="0"/>
        <w:tblLook w:firstColumn="1" w:firstRow="1" w:lastColumn="0" w:lastRow="0" w:noHBand="0" w:noVBand="1" w:val="04A0"/>
      </w:tblPr>
      <w:tblGrid>
        <w:gridCol w:w="3535"/>
        <w:gridCol w:w="3535"/>
        <w:gridCol w:w="3535"/>
        <w:gridCol w:w="3535"/>
      </w:tblGrid>
      <w:tr>
        <w:tc>
          <w:tcPr>
            <w:tcW w:type="dxa" w:w="3515"/>
            <w:shd w:val="clear" w:color="auto" w:fill="BFBFBF"/>
          </w:tcPr>
          <w:p>
            <w:pPr>
              <w:spacing w:after="40"/>
            </w:pPr>
            <w:r>
              <w:rPr>
                <w:b/>
                <w:i w:val="0"/>
                <w:sz w:val="18"/>
              </w:rPr>
              <w:t>Было в отчёте</w:t>
            </w:r>
          </w:p>
        </w:tc>
        <w:tc>
          <w:tcPr>
            <w:tcW w:type="dxa" w:w="1474"/>
            <w:shd w:val="clear" w:color="auto" w:fill="BFBFBF"/>
          </w:tcPr>
          <w:p>
            <w:pPr>
              <w:spacing w:after="40"/>
            </w:pPr>
            <w:r>
              <w:rPr>
                <w:b/>
                <w:i w:val="0"/>
                <w:sz w:val="18"/>
              </w:rPr>
              <w:t>Статус</w:t>
            </w:r>
          </w:p>
        </w:tc>
        <w:tc>
          <w:tcPr>
            <w:tcW w:type="dxa" w:w="4932"/>
            <w:shd w:val="clear" w:color="auto" w:fill="BFBFBF"/>
          </w:tcPr>
          <w:p>
            <w:pPr>
              <w:spacing w:after="40"/>
            </w:pPr>
            <w:r>
              <w:rPr>
                <w:b/>
                <w:i w:val="0"/>
                <w:sz w:val="18"/>
              </w:rPr>
              <w:t>Источник: страница и цитата</w:t>
            </w:r>
          </w:p>
        </w:tc>
        <w:tc>
          <w:tcPr>
            <w:tcW w:type="dxa" w:w="5102"/>
            <w:shd w:val="clear" w:color="auto" w:fill="BFBFBF"/>
          </w:tcPr>
          <w:p>
            <w:pPr>
              <w:spacing w:after="40"/>
            </w:pPr>
            <w:r>
              <w:rPr>
                <w:b/>
                <w:i w:val="0"/>
                <w:sz w:val="18"/>
              </w:rPr>
              <w:t>Стало / что исправлено</w:t>
            </w:r>
          </w:p>
        </w:tc>
      </w:tr>
      <w:tr>
        <w:tc>
          <w:tcPr>
            <w:tcW w:type="dxa" w:w="3515"/>
          </w:tcPr>
          <w:p>
            <w:pPr>
              <w:spacing w:after="40"/>
            </w:pPr>
            <w:r>
              <w:rPr>
                <w:b w:val="0"/>
                <w:i w:val="0"/>
                <w:sz w:val="17"/>
              </w:rPr>
              <w:t>Эксперимент проводился с фиксированным random_state = 42, что позволяет воспроизвести результаты для методов, поддерживающих этот параметр. PCA и LDA строили двумерное представление напрямую. Для Isomap использовалось 10 соседей, для LLE — 12 соседей, для t-SNE — perplexity = 30, init = «pca» и 600 итераций. Для UMAP использовалась учебная реализация основных этапов алгоритма: построение графа ближайших соседей, форм…</w:t>
            </w:r>
          </w:p>
        </w:tc>
        <w:tc>
          <w:tcPr>
            <w:tcW w:type="dxa" w:w="1474"/>
            <w:shd w:val="clear" w:color="auto" w:fill="E2F0D9"/>
          </w:tcPr>
          <w:p>
            <w:pPr>
              <w:spacing w:after="40"/>
            </w:pPr>
            <w:r>
              <w:rPr>
                <w:b/>
                <w:i w:val="0"/>
                <w:sz w:val="17"/>
              </w:rPr>
              <w:t>Совпадает</w:t>
            </w:r>
          </w:p>
        </w:tc>
        <w:tc>
          <w:tcPr>
            <w:tcW w:type="dxa" w:w="4932"/>
          </w:tcPr>
          <w:p>
            <w:pPr>
              <w:spacing w:after="40"/>
            </w:pPr>
            <w:r>
              <w:rPr>
                <w:b/>
                <w:i w:val="0"/>
                <w:sz w:val="17"/>
              </w:rPr>
              <w:t>Страницы в отчёте: [8] с. 14–16, 21</w:t>
            </w:r>
          </w:p>
          <w:p>
            <w:pPr>
              <w:spacing w:after="40"/>
            </w:pPr>
            <w:r>
              <w:rPr>
                <w:b w:val="0"/>
                <w:i/>
                <w:sz w:val="17"/>
              </w:rPr>
              <w:t>с. 14–16: «3.1 Graph Construction … 3.2 Graph Layout»</w:t>
            </w:r>
          </w:p>
          <w:p>
            <w:pPr>
              <w:spacing w:after="40"/>
            </w:pPr>
            <w:r>
              <w:rPr>
                <w:b w:val="0"/>
                <w:i/>
                <w:sz w:val="17"/>
              </w:rPr>
              <w:t>с. 21: «Algorithm 5 Optimizing the embedding function»</w:t>
            </w:r>
          </w:p>
        </w:tc>
        <w:tc>
          <w:tcPr>
            <w:tcW w:type="dxa" w:w="5102"/>
          </w:tcPr>
          <w:p>
            <w:pPr>
              <w:spacing w:after="40"/>
            </w:pPr>
            <w:r>
              <w:rPr>
                <w:b w:val="0"/>
                <w:i w:val="0"/>
                <w:sz w:val="17"/>
              </w:rPr>
              <w:t>(текст сохранён)</w:t>
            </w:r>
          </w:p>
          <w:p>
            <w:pPr>
              <w:spacing w:after="40"/>
            </w:pPr>
            <w:r>
              <w:rPr>
                <w:b w:val="0"/>
                <w:i w:val="0"/>
                <w:sz w:val="16"/>
              </w:rPr>
              <w:t>Пояснение: К ссылке на UMAP добавлены страницы: этапы алгоритма (граф соседей, взвешенный граф, оптимизация) описаны в разд. 3.1–3.2 и алгоритме 5.</w:t>
            </w:r>
          </w:p>
        </w:tc>
      </w:tr>
    </w:tbl>
    <w:p>
      <w:pPr>
        <w:pStyle w:val="Heading2"/>
      </w:pPr>
      <w:r>
        <w:t>Глава 4: ссылки [11]–[16] на документацию scikit-learn</w:t>
      </w:r>
    </w:p>
    <w:tbl>
      <w:tblPr>
        <w:tblStyle w:val="TableGrid"/>
        <w:tblW w:type="auto" w:w="0"/>
        <w:tblLook w:firstColumn="1" w:firstRow="1" w:lastColumn="0" w:lastRow="0" w:noHBand="0" w:noVBand="1" w:val="04A0"/>
      </w:tblPr>
      <w:tblGrid>
        <w:gridCol w:w="4713"/>
        <w:gridCol w:w="4713"/>
        <w:gridCol w:w="4713"/>
      </w:tblGrid>
      <w:tr>
        <w:tc>
          <w:tcPr>
            <w:tcW w:type="dxa" w:w="4713"/>
            <w:shd w:val="clear" w:color="auto" w:fill="BFBFBF"/>
          </w:tcPr>
          <w:p>
            <w:pPr>
              <w:spacing w:after="40"/>
            </w:pPr>
            <w:r>
              <w:rPr>
                <w:b/>
                <w:i w:val="0"/>
                <w:sz w:val="18"/>
              </w:rPr>
              <w:t>Утверждение в отчёте</w:t>
            </w:r>
          </w:p>
        </w:tc>
        <w:tc>
          <w:tcPr>
            <w:tcW w:type="dxa" w:w="4713"/>
            <w:shd w:val="clear" w:color="auto" w:fill="BFBFBF"/>
          </w:tcPr>
          <w:p>
            <w:pPr>
              <w:spacing w:after="40"/>
            </w:pPr>
            <w:r>
              <w:rPr>
                <w:b/>
                <w:i w:val="0"/>
                <w:sz w:val="18"/>
              </w:rPr>
              <w:t>Статус</w:t>
            </w:r>
          </w:p>
        </w:tc>
        <w:tc>
          <w:tcPr>
            <w:tcW w:type="dxa" w:w="4713"/>
            <w:shd w:val="clear" w:color="auto" w:fill="BFBFBF"/>
          </w:tcPr>
          <w:p>
            <w:pPr>
              <w:spacing w:after="40"/>
            </w:pPr>
            <w:r>
              <w:rPr>
                <w:b/>
                <w:i w:val="0"/>
                <w:sz w:val="18"/>
              </w:rPr>
              <w:t>Что написано на странице документации</w:t>
            </w:r>
          </w:p>
        </w:tc>
      </w:tr>
      <w:tr>
        <w:tc>
          <w:tcPr>
            <w:tcW w:type="dxa" w:w="4713"/>
          </w:tcPr>
          <w:p>
            <w:pPr>
              <w:spacing w:after="40"/>
            </w:pPr>
            <w:r>
              <w:rPr>
                <w:b w:val="0"/>
                <w:i w:val="0"/>
                <w:sz w:val="17"/>
              </w:rPr>
              <w:t>Iris: 150 объектов, 4 признака [12]</w:t>
            </w:r>
          </w:p>
        </w:tc>
        <w:tc>
          <w:tcPr>
            <w:tcW w:type="dxa" w:w="4713"/>
            <w:shd w:val="clear" w:color="auto" w:fill="E2F0D9"/>
          </w:tcPr>
          <w:p>
            <w:pPr>
              <w:spacing w:after="40"/>
            </w:pPr>
            <w:r>
              <w:rPr>
                <w:b/>
                <w:i w:val="0"/>
                <w:sz w:val="17"/>
              </w:rPr>
              <w:t>Совпадает</w:t>
            </w:r>
          </w:p>
        </w:tc>
        <w:tc>
          <w:tcPr>
            <w:tcW w:type="dxa" w:w="4713"/>
          </w:tcPr>
          <w:p>
            <w:pPr>
              <w:spacing w:after="40"/>
            </w:pPr>
            <w:r>
              <w:rPr>
                <w:b w:val="0"/>
                <w:i/>
                <w:sz w:val="17"/>
              </w:rPr>
              <w:t>load_iris: «Classes 3, Samples per class 50, Samples total 150, Dimensionality 4».</w:t>
            </w:r>
          </w:p>
        </w:tc>
      </w:tr>
      <w:tr>
        <w:tc>
          <w:tcPr>
            <w:tcW w:type="dxa" w:w="4713"/>
          </w:tcPr>
          <w:p>
            <w:pPr>
              <w:spacing w:after="40"/>
            </w:pPr>
            <w:r>
              <w:rPr>
                <w:b w:val="0"/>
                <w:i w:val="0"/>
                <w:sz w:val="17"/>
              </w:rPr>
              <w:t>Wine: 178 объектов, 13 признаков [13]</w:t>
            </w:r>
          </w:p>
        </w:tc>
        <w:tc>
          <w:tcPr>
            <w:tcW w:type="dxa" w:w="4713"/>
            <w:shd w:val="clear" w:color="auto" w:fill="E2F0D9"/>
          </w:tcPr>
          <w:p>
            <w:pPr>
              <w:spacing w:after="40"/>
            </w:pPr>
            <w:r>
              <w:rPr>
                <w:b/>
                <w:i w:val="0"/>
                <w:sz w:val="17"/>
              </w:rPr>
              <w:t>Совпадает</w:t>
            </w:r>
          </w:p>
        </w:tc>
        <w:tc>
          <w:tcPr>
            <w:tcW w:type="dxa" w:w="4713"/>
          </w:tcPr>
          <w:p>
            <w:pPr>
              <w:spacing w:after="40"/>
            </w:pPr>
            <w:r>
              <w:rPr>
                <w:b w:val="0"/>
                <w:i/>
                <w:sz w:val="17"/>
              </w:rPr>
              <w:t>load_wine: «Classes 3, Samples per class [59,71,48], Samples total 178, Dimensionality 13».</w:t>
            </w:r>
          </w:p>
        </w:tc>
      </w:tr>
      <w:tr>
        <w:tc>
          <w:tcPr>
            <w:tcW w:type="dxa" w:w="4713"/>
          </w:tcPr>
          <w:p>
            <w:pPr>
              <w:spacing w:after="40"/>
            </w:pPr>
            <w:r>
              <w:rPr>
                <w:b w:val="0"/>
                <w:i w:val="0"/>
                <w:sz w:val="17"/>
              </w:rPr>
              <w:t>Digits: 1797 объектов, 64 признака [14]</w:t>
            </w:r>
          </w:p>
        </w:tc>
        <w:tc>
          <w:tcPr>
            <w:tcW w:type="dxa" w:w="4713"/>
            <w:shd w:val="clear" w:color="auto" w:fill="E2F0D9"/>
          </w:tcPr>
          <w:p>
            <w:pPr>
              <w:spacing w:after="40"/>
            </w:pPr>
            <w:r>
              <w:rPr>
                <w:b/>
                <w:i w:val="0"/>
                <w:sz w:val="17"/>
              </w:rPr>
              <w:t>Совпадает</w:t>
            </w:r>
          </w:p>
        </w:tc>
        <w:tc>
          <w:tcPr>
            <w:tcW w:type="dxa" w:w="4713"/>
          </w:tcPr>
          <w:p>
            <w:pPr>
              <w:spacing w:after="40"/>
            </w:pPr>
            <w:r>
              <w:rPr>
                <w:b w:val="0"/>
                <w:i/>
                <w:sz w:val="17"/>
              </w:rPr>
              <w:t>load_digits: «Each datapoint is an 8x8 image of a digit. Classes 10, Samples total 1797, Dimensionality 64».</w:t>
            </w:r>
          </w:p>
        </w:tc>
      </w:tr>
      <w:tr>
        <w:tc>
          <w:tcPr>
            <w:tcW w:type="dxa" w:w="4713"/>
          </w:tcPr>
          <w:p>
            <w:pPr>
              <w:spacing w:after="40"/>
            </w:pPr>
            <w:r>
              <w:rPr>
                <w:b w:val="0"/>
                <w:i w:val="0"/>
                <w:sz w:val="17"/>
              </w:rPr>
              <w:t>Swiss roll: 600 точек в трёхмерном пространстве, параметр t [15]</w:t>
            </w:r>
          </w:p>
        </w:tc>
        <w:tc>
          <w:tcPr>
            <w:tcW w:type="dxa" w:w="4713"/>
            <w:shd w:val="clear" w:color="auto" w:fill="E2F0D9"/>
          </w:tcPr>
          <w:p>
            <w:pPr>
              <w:spacing w:after="40"/>
            </w:pPr>
            <w:r>
              <w:rPr>
                <w:b/>
                <w:i w:val="0"/>
                <w:sz w:val="17"/>
              </w:rPr>
              <w:t>Совпадает</w:t>
            </w:r>
          </w:p>
        </w:tc>
        <w:tc>
          <w:tcPr>
            <w:tcW w:type="dxa" w:w="4713"/>
          </w:tcPr>
          <w:p>
            <w:pPr>
              <w:spacing w:after="40"/>
            </w:pPr>
            <w:r>
              <w:rPr>
                <w:b w:val="0"/>
                <w:i/>
                <w:sz w:val="17"/>
              </w:rPr>
              <w:t>make_swiss_roll: возвращает X формы (n_samples, 3) и t — «the univariate position of the sample according to the main dimension of the points in the manifold».</w:t>
            </w:r>
          </w:p>
        </w:tc>
      </w:tr>
      <w:tr>
        <w:tc>
          <w:tcPr>
            <w:tcW w:type="dxa" w:w="4713"/>
          </w:tcPr>
          <w:p>
            <w:pPr>
              <w:spacing w:after="40"/>
            </w:pPr>
            <w:r>
              <w:rPr>
                <w:b w:val="0"/>
                <w:i w:val="0"/>
                <w:sz w:val="17"/>
              </w:rPr>
              <w:t>Trustworthiness T(10) характеризует сохранение локальных соседств [11]</w:t>
            </w:r>
          </w:p>
        </w:tc>
        <w:tc>
          <w:tcPr>
            <w:tcW w:type="dxa" w:w="4713"/>
            <w:shd w:val="clear" w:color="auto" w:fill="E2F0D9"/>
          </w:tcPr>
          <w:p>
            <w:pPr>
              <w:spacing w:after="40"/>
            </w:pPr>
            <w:r>
              <w:rPr>
                <w:b/>
                <w:i w:val="0"/>
                <w:sz w:val="17"/>
              </w:rPr>
              <w:t>Совпадает</w:t>
            </w:r>
          </w:p>
        </w:tc>
        <w:tc>
          <w:tcPr>
            <w:tcW w:type="dxa" w:w="4713"/>
          </w:tcPr>
          <w:p>
            <w:pPr>
              <w:spacing w:after="40"/>
            </w:pPr>
            <w:r>
              <w:rPr>
                <w:b w:val="0"/>
                <w:i/>
                <w:sz w:val="17"/>
              </w:rPr>
              <w:t>trustworthiness: «Indicate to what extent the local structure is retained. The trustworthiness is within [0, 1]»; параметр n_neighbors (k должно быть меньше n_samples/2).</w:t>
            </w:r>
          </w:p>
        </w:tc>
      </w:tr>
      <w:tr>
        <w:tc>
          <w:tcPr>
            <w:tcW w:type="dxa" w:w="4713"/>
          </w:tcPr>
          <w:p>
            <w:pPr>
              <w:spacing w:after="40"/>
            </w:pPr>
            <w:r>
              <w:rPr>
                <w:b w:val="0"/>
                <w:i w:val="0"/>
                <w:sz w:val="17"/>
              </w:rPr>
              <w:t>Коэффициент силуэта по меткам; функция silhouette_score [16]</w:t>
            </w:r>
          </w:p>
        </w:tc>
        <w:tc>
          <w:tcPr>
            <w:tcW w:type="dxa" w:w="4713"/>
            <w:shd w:val="clear" w:color="auto" w:fill="E2F0D9"/>
          </w:tcPr>
          <w:p>
            <w:pPr>
              <w:spacing w:after="40"/>
            </w:pPr>
            <w:r>
              <w:rPr>
                <w:b/>
                <w:i w:val="0"/>
                <w:sz w:val="17"/>
              </w:rPr>
              <w:t>Совпадает</w:t>
            </w:r>
          </w:p>
        </w:tc>
        <w:tc>
          <w:tcPr>
            <w:tcW w:type="dxa" w:w="4713"/>
          </w:tcPr>
          <w:p>
            <w:pPr>
              <w:spacing w:after="40"/>
            </w:pPr>
            <w:r>
              <w:rPr>
                <w:b w:val="0"/>
                <w:i/>
                <w:sz w:val="17"/>
              </w:rPr>
              <w:t>silhouette_score: «The best value is 1 and the worst value is -1. Values near 0 indicate overlapping clusters»; аргумент labels.</w:t>
            </w:r>
          </w:p>
        </w:tc>
      </w:tr>
    </w:tbl>
    <w:p>
      <w:pPr>
        <w:pStyle w:val="Heading2"/>
      </w:pPr>
      <w:r>
        <w:t>Список источников (п. 1, 2, 4, 8, 10)</w:t>
      </w:r>
    </w:p>
    <w:p>
      <w:r>
        <w:t>В библиографической записи указаны страницы, которые реально использованы (были «С. 1–5, 13–35» для [1], «С. 1–5, 29–46» для [2], «С. 3–4, 17–24» для [8], «С. 1–4» для [10]); запись [4] (Kruskal) заменена на заметку Meulman об этих статьях. Также в записи [1] и [2] указано, что в PDF-файлах номера страниц отличаются от нумерации статьи/книги.</w:t>
      </w:r>
    </w:p>
    <w:sectPr w:rsidR="00FC693F" w:rsidRPr="0006063C" w:rsidSect="00034616">
      <w:pgSz w:w="15840" w:h="12240"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