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rels" ContentType="application/vnd.openxmlformats-package.relationships+xml"/>
  <Override PartName="/word/theme/theme1.xml" ContentType="application/vnd.openxmlformats-officedocument.theme+xml"/>
  <Override PartName="/word/charts/colors1.xml" ContentType="application/vnd.ms-office.chartcolorstyl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charts/chart1.xml" ContentType="application/vnd.openxmlformats-officedocument.drawingml.chart+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document.xml" ContentType="application/vnd.openxmlformats-officedocument.wordprocessingml.document.main+xml"/>
  <Override PartName="/word/charts/style1.xml" ContentType="application/vnd.ms-office.chartstyle+xml"/>
  <Override PartName="/customXml/itemProps1.xml" ContentType="application/vnd.openxmlformats-officedocument.customXmlProperties+xml"/>
  <Override PartName="/word/footer2.xml" ContentType="application/vnd.openxmlformats-officedocument.wordprocessingml.foot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tabs>
          <w:tab w:val="left" w:leader="none" w:pos="6210"/>
        </w:tabs>
        <w:spacing w:lineRule="auto" w:line="480"/>
        <w:jc w:val="center"/>
        <w:rPr>
          <w:b/>
          <w:color w:val="000000"/>
        </w:rPr>
      </w:pPr>
      <w:r>
        <w:rPr>
          <w:b/>
          <w:color w:val="000000"/>
        </w:rPr>
        <w:t>INSTITUTE OF RURAL DEVELOPMENT PLANNING (IRDP) - DODOMA</w:t>
      </w:r>
    </w:p>
    <w:p>
      <w:pPr>
        <w:pStyle w:val="style0"/>
        <w:spacing w:lineRule="auto" w:line="480"/>
        <w:jc w:val="center"/>
        <w:rPr>
          <w:b/>
          <w:color w:val="000000"/>
        </w:rPr>
      </w:pPr>
      <w:r>
        <w:rPr>
          <w:b/>
          <w:bCs/>
          <w:noProof/>
          <w:color w:val="000000"/>
        </w:rPr>
        <w:drawing>
          <wp:inline distL="0" distT="0" distB="0" distR="0">
            <wp:extent cx="1560830" cy="1387475"/>
            <wp:effectExtent l="0" t="0" r="0" b="0"/>
            <wp:docPr id="1026" name="Picture 30" descr="image00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30"/>
                    <pic:cNvPicPr/>
                  </pic:nvPicPr>
                  <pic:blipFill>
                    <a:blip r:embed="rId2" cstate="print">
                      <a:lum bright="-12000" contrast="62000"/>
                    </a:blip>
                    <a:srcRect l="0" t="0" r="0" b="0"/>
                    <a:stretch/>
                  </pic:blipFill>
                  <pic:spPr>
                    <a:xfrm rot="0">
                      <a:off x="0" y="0"/>
                      <a:ext cx="1560830" cy="1387475"/>
                    </a:xfrm>
                    <a:prstGeom prst="rect"/>
                    <a:ln>
                      <a:noFill/>
                    </a:ln>
                  </pic:spPr>
                </pic:pic>
              </a:graphicData>
            </a:graphic>
          </wp:inline>
        </w:drawing>
      </w:r>
      <w:r>
        <w:rPr>
          <w:b/>
          <w:color w:val="000000"/>
        </w:rPr>
        <w:br w:clear="all"/>
      </w:r>
    </w:p>
    <w:p>
      <w:pPr>
        <w:pStyle w:val="style0"/>
        <w:tabs>
          <w:tab w:val="left" w:leader="none" w:pos="3240"/>
        </w:tabs>
        <w:spacing w:lineRule="auto" w:line="480"/>
        <w:jc w:val="center"/>
        <w:rPr>
          <w:b/>
          <w:color w:val="000000"/>
        </w:rPr>
      </w:pPr>
      <w:r>
        <w:rPr>
          <w:b/>
          <w:color w:val="000000"/>
        </w:rPr>
        <w:t xml:space="preserve">DEPARTMENT OF ENVIRONMENTAL PLANNING </w:t>
      </w:r>
    </w:p>
    <w:p>
      <w:pPr>
        <w:pStyle w:val="style0"/>
        <w:tabs>
          <w:tab w:val="left" w:leader="none" w:pos="3240"/>
        </w:tabs>
        <w:spacing w:lineRule="auto" w:line="480"/>
        <w:jc w:val="center"/>
        <w:rPr>
          <w:b/>
          <w:color w:val="000000"/>
        </w:rPr>
      </w:pPr>
      <w:r>
        <w:rPr>
          <w:b/>
          <w:color w:val="000000"/>
        </w:rPr>
        <w:t>PER</w:t>
      </w:r>
      <w:r>
        <w:rPr>
          <w:b/>
          <w:color w:val="000000"/>
        </w:rPr>
        <w:t>CIEVED EFFECTS OF WOOD FUEL</w:t>
      </w:r>
      <w:r>
        <w:rPr>
          <w:b/>
          <w:color w:val="000000"/>
        </w:rPr>
        <w:t xml:space="preserve"> USE IN ENVIROMENTAL CONSERVATION IN HANDENI DISTRICT: A CASE OF MAZINGARA WARD</w:t>
      </w:r>
    </w:p>
    <w:p>
      <w:pPr>
        <w:pStyle w:val="style0"/>
        <w:spacing w:lineRule="auto" w:line="480"/>
        <w:jc w:val="center"/>
        <w:rPr>
          <w:b/>
          <w:color w:val="000000"/>
        </w:rPr>
      </w:pPr>
      <w:r>
        <w:rPr>
          <w:b/>
          <w:color w:val="000000"/>
        </w:rPr>
        <w:t>BY</w:t>
      </w:r>
    </w:p>
    <w:p>
      <w:pPr>
        <w:pStyle w:val="style0"/>
        <w:spacing w:lineRule="auto" w:line="480"/>
        <w:jc w:val="center"/>
        <w:rPr>
          <w:b/>
          <w:color w:val="000000"/>
        </w:rPr>
      </w:pPr>
      <w:r>
        <w:rPr>
          <w:b/>
          <w:color w:val="000000"/>
        </w:rPr>
        <w:t>REHEMA RAJABU</w:t>
      </w:r>
    </w:p>
    <w:p>
      <w:pPr>
        <w:pStyle w:val="style0"/>
        <w:tabs>
          <w:tab w:val="left" w:leader="none" w:pos="3240"/>
        </w:tabs>
        <w:spacing w:before="240" w:after="0" w:lineRule="auto" w:line="480"/>
        <w:jc w:val="center"/>
        <w:rPr>
          <w:b/>
          <w:color w:val="000000"/>
        </w:rPr>
      </w:pPr>
      <w:r>
        <w:rPr>
          <w:b/>
          <w:color w:val="000000"/>
        </w:rPr>
        <w:t xml:space="preserve">A DISSERTATION SUBMITTED IN PARTIAL FULFILLMENT FOR THE REQUIREMENTS OF THE AWARD OF </w:t>
      </w:r>
      <w:r>
        <w:rPr>
          <w:b/>
          <w:bCs/>
          <w:color w:val="000000"/>
        </w:rPr>
        <w:t xml:space="preserve">BACHELOR DEGREE IN ENVIROMENTAL PLANNING AN DMANAGEMENT </w:t>
      </w:r>
      <w:r>
        <w:rPr>
          <w:b/>
          <w:color w:val="000000"/>
        </w:rPr>
        <w:t>OF THE INSTITUTE OF RURAL DEVELOPMENT PLANNING, DODOMA, TANZANIA</w:t>
      </w:r>
    </w:p>
    <w:p>
      <w:pPr>
        <w:pStyle w:val="style0"/>
        <w:tabs>
          <w:tab w:val="left" w:leader="none" w:pos="3240"/>
        </w:tabs>
        <w:spacing w:lineRule="auto" w:line="480"/>
        <w:jc w:val="center"/>
        <w:rPr>
          <w:b/>
          <w:color w:val="000000"/>
        </w:rPr>
      </w:pPr>
    </w:p>
    <w:p>
      <w:pPr>
        <w:pStyle w:val="style0"/>
        <w:tabs>
          <w:tab w:val="left" w:leader="none" w:pos="3240"/>
        </w:tabs>
        <w:spacing w:lineRule="auto" w:line="480"/>
        <w:jc w:val="center"/>
        <w:rPr>
          <w:color w:val="000000"/>
        </w:rPr>
        <w:sectPr>
          <w:headerReference w:type="default" r:id="rId3"/>
          <w:footerReference w:type="default" r:id="rId4"/>
          <w:pgSz w:w="11906" w:h="16838" w:orient="portrait" w:code="9"/>
          <w:pgMar w:top="2275" w:right="1411" w:bottom="1411" w:left="2275" w:header="720" w:footer="720" w:gutter="0"/>
          <w:cols w:space="720"/>
          <w:titlePg/>
          <w:docGrid w:linePitch="360"/>
        </w:sectPr>
      </w:pPr>
      <w:r>
        <w:rPr>
          <w:b/>
          <w:color w:val="000000"/>
        </w:rPr>
        <w:t>SEPTEMBER, 2024</w:t>
      </w:r>
    </w:p>
    <w:bookmarkStart w:id="0" w:name="_Toc178076698"/>
    <w:p>
      <w:pPr>
        <w:pStyle w:val="style1"/>
        <w:tabs>
          <w:tab w:val="left" w:leader="none" w:pos="3240"/>
        </w:tabs>
        <w:spacing w:before="0" w:lineRule="auto" w:line="480"/>
        <w:jc w:val="center"/>
        <w:rPr>
          <w:rFonts w:ascii="Times New Roman" w:cs="Times New Roman" w:hAnsi="Times New Roman"/>
          <w:b/>
          <w:bCs/>
          <w:color w:val="000000"/>
          <w:sz w:val="24"/>
          <w:szCs w:val="24"/>
        </w:rPr>
      </w:pPr>
      <w:r>
        <w:rPr>
          <w:rFonts w:ascii="Times New Roman" w:cs="Times New Roman" w:hAnsi="Times New Roman"/>
          <w:b/>
          <w:bCs/>
          <w:color w:val="000000"/>
          <w:sz w:val="24"/>
          <w:szCs w:val="24"/>
        </w:rPr>
        <w:t>ABSTRACT</w:t>
      </w:r>
      <w:bookmarkEnd w:id="0"/>
    </w:p>
    <w:p>
      <w:pPr>
        <w:pStyle w:val="style0"/>
        <w:spacing w:lineRule="auto" w:line="480"/>
        <w:rPr>
          <w:bCs/>
          <w:color w:val="000000"/>
        </w:rPr>
      </w:pPr>
      <w:r>
        <w:rPr>
          <w:b/>
          <w:bCs/>
          <w:color w:val="000000"/>
        </w:rPr>
        <w:t>Wood fuel</w:t>
      </w:r>
      <w:r>
        <w:rPr>
          <w:color w:val="000000"/>
        </w:rPr>
        <w:t xml:space="preserve"> (or </w:t>
      </w:r>
      <w:r>
        <w:rPr>
          <w:color w:val="000000"/>
        </w:rPr>
        <w:t>fuelwood</w:t>
      </w:r>
      <w:r>
        <w:rPr>
          <w:color w:val="000000"/>
        </w:rPr>
        <w:t xml:space="preserve">) is a fuel such as </w:t>
      </w:r>
      <w:r>
        <w:rPr/>
        <w:fldChar w:fldCharType="begin"/>
      </w:r>
      <w:r>
        <w:instrText xml:space="preserve"> HYPERLINK "https://en.wikipedia.org/wiki/Firewood" \o "Firewood" </w:instrText>
      </w:r>
      <w:r>
        <w:rPr/>
        <w:fldChar w:fldCharType="separate"/>
      </w:r>
      <w:r>
        <w:rPr>
          <w:rStyle w:val="style85"/>
          <w:color w:val="000000"/>
          <w:u w:val="none"/>
        </w:rPr>
        <w:t>firewood</w:t>
      </w:r>
      <w:r>
        <w:rPr/>
        <w:fldChar w:fldCharType="end"/>
      </w:r>
      <w:r>
        <w:rPr>
          <w:color w:val="000000"/>
        </w:rPr>
        <w:t xml:space="preserve">, </w:t>
      </w:r>
      <w:r>
        <w:rPr/>
        <w:fldChar w:fldCharType="begin"/>
      </w:r>
      <w:r>
        <w:instrText xml:space="preserve"> HYPERLINK "https://en.wikipedia.org/wiki/Charcoal" \o "Charcoal" </w:instrText>
      </w:r>
      <w:r>
        <w:rPr/>
        <w:fldChar w:fldCharType="separate"/>
      </w:r>
      <w:r>
        <w:rPr>
          <w:rStyle w:val="style85"/>
          <w:color w:val="000000"/>
          <w:u w:val="none"/>
        </w:rPr>
        <w:t>charcoal</w:t>
      </w:r>
      <w:r>
        <w:rPr/>
        <w:fldChar w:fldCharType="end"/>
      </w:r>
      <w:r>
        <w:rPr>
          <w:color w:val="000000"/>
        </w:rPr>
        <w:t xml:space="preserve">, </w:t>
      </w:r>
      <w:r>
        <w:rPr/>
        <w:fldChar w:fldCharType="begin"/>
      </w:r>
      <w:r>
        <w:instrText xml:space="preserve"> HYPERLINK "https://en.wikipedia.org/wiki/Woodchips" \o "Woodchips" </w:instrText>
      </w:r>
      <w:r>
        <w:rPr/>
        <w:fldChar w:fldCharType="separate"/>
      </w:r>
      <w:r>
        <w:rPr>
          <w:rStyle w:val="style85"/>
          <w:color w:val="000000"/>
          <w:u w:val="none"/>
        </w:rPr>
        <w:t>chips</w:t>
      </w:r>
      <w:r>
        <w:rPr/>
        <w:fldChar w:fldCharType="end"/>
      </w:r>
      <w:r>
        <w:rPr>
          <w:color w:val="000000"/>
        </w:rPr>
        <w:t xml:space="preserve">, sheets, </w:t>
      </w:r>
      <w:r>
        <w:rPr/>
        <w:fldChar w:fldCharType="begin"/>
      </w:r>
      <w:r>
        <w:instrText xml:space="preserve"> HYPERLINK "https://en.wikipedia.org/wiki/Wood_pellets" \o "Wood pellets" </w:instrText>
      </w:r>
      <w:r>
        <w:rPr/>
        <w:fldChar w:fldCharType="separate"/>
      </w:r>
      <w:r>
        <w:rPr>
          <w:rStyle w:val="style85"/>
          <w:color w:val="000000"/>
          <w:u w:val="none"/>
        </w:rPr>
        <w:t>pellets</w:t>
      </w:r>
      <w:r>
        <w:rPr/>
        <w:fldChar w:fldCharType="end"/>
      </w:r>
      <w:r>
        <w:rPr>
          <w:color w:val="000000"/>
        </w:rPr>
        <w:t xml:space="preserve">, and </w:t>
      </w:r>
      <w:r>
        <w:rPr/>
        <w:fldChar w:fldCharType="begin"/>
      </w:r>
      <w:r>
        <w:instrText xml:space="preserve"> HYPERLINK "https://en.wikipedia.org/wiki/Sawdust" \o "Sawdust" </w:instrText>
      </w:r>
      <w:r>
        <w:rPr/>
        <w:fldChar w:fldCharType="separate"/>
      </w:r>
      <w:r>
        <w:rPr>
          <w:rStyle w:val="style85"/>
          <w:color w:val="000000"/>
          <w:u w:val="none"/>
        </w:rPr>
        <w:t>sawdust</w:t>
      </w:r>
      <w:r>
        <w:rPr/>
        <w:fldChar w:fldCharType="end"/>
      </w:r>
      <w:r>
        <w:rPr>
          <w:color w:val="000000"/>
        </w:rPr>
        <w:t>. The particular form used depends upon factors such as source, quantity, quality and application</w:t>
      </w:r>
      <w:r>
        <w:rPr>
          <w:bCs/>
          <w:color w:val="000000"/>
        </w:rPr>
        <w:t xml:space="preserve">. Historically used for heating and cooking, its modern applications include electricity generation and transportation fuels. Despite its potential to reduce greenhouse gas emissions and enhance energy security, challenges persist in ensuring sustainable feedstock production and minimizing environmental impacts. Tanzania, </w:t>
      </w:r>
      <w:r>
        <w:rPr>
          <w:bCs/>
          <w:color w:val="000000"/>
        </w:rPr>
        <w:t>wood fuel</w:t>
      </w:r>
      <w:r>
        <w:rPr>
          <w:bCs/>
          <w:color w:val="000000"/>
        </w:rPr>
        <w:t xml:space="preserve"> is a major energy source, with over 80% of the population relying on it for cooking. However, this reliance results in indoor air pollution and environmental degradation. This study assessed the perceived </w:t>
      </w:r>
      <w:r>
        <w:rPr>
          <w:bCs/>
          <w:color w:val="000000"/>
        </w:rPr>
        <w:t>effects</w:t>
      </w:r>
      <w:r>
        <w:rPr>
          <w:bCs/>
          <w:color w:val="000000"/>
        </w:rPr>
        <w:t xml:space="preserve"> of </w:t>
      </w:r>
      <w:r>
        <w:rPr>
          <w:bCs/>
          <w:color w:val="000000"/>
        </w:rPr>
        <w:t>wood fuel</w:t>
      </w:r>
      <w:r>
        <w:rPr>
          <w:bCs/>
          <w:color w:val="000000"/>
        </w:rPr>
        <w:t xml:space="preserve"> in Mazingara ward, Handeni district. It aimed to explore </w:t>
      </w:r>
      <w:r>
        <w:rPr>
          <w:bCs/>
          <w:color w:val="000000"/>
        </w:rPr>
        <w:t>wood fuel</w:t>
      </w:r>
      <w:r>
        <w:rPr>
          <w:bCs/>
          <w:color w:val="000000"/>
        </w:rPr>
        <w:t xml:space="preserve"> consumption trends from 2014 to 2023, examine the perceived effects on health, society, and the environment, and evaluate coping strategies. The findings reveal a predominant use of wood and charcoal, with significant concerns about health risks, including respiratory diseases and lung cancer. Socially, </w:t>
      </w:r>
      <w:r>
        <w:rPr>
          <w:bCs/>
          <w:color w:val="000000"/>
        </w:rPr>
        <w:t>wood fuel</w:t>
      </w:r>
      <w:r>
        <w:rPr>
          <w:bCs/>
          <w:color w:val="000000"/>
        </w:rPr>
        <w:t xml:space="preserve"> consumption is seen to exacerbate health differences, while economically, perceptions vary on its cost-effectiveness. Environmentally, deforestation is identified as a major concern. The study highlights the need for improved stoves and cleaner energy alternatives to mitigate negative impacts. This research contributes valuable insights for community education, policy formulation, and future research on </w:t>
      </w:r>
      <w:r>
        <w:rPr>
          <w:bCs/>
          <w:color w:val="000000"/>
        </w:rPr>
        <w:t>wood fuel</w:t>
      </w:r>
      <w:r>
        <w:rPr>
          <w:bCs/>
          <w:color w:val="000000"/>
        </w:rPr>
        <w:t xml:space="preserve"> effects in similar contexts.</w:t>
      </w:r>
    </w:p>
    <w:p>
      <w:pPr>
        <w:pStyle w:val="style1"/>
        <w:tabs>
          <w:tab w:val="left" w:leader="none" w:pos="3240"/>
        </w:tabs>
        <w:spacing w:lineRule="auto" w:line="480"/>
        <w:jc w:val="center"/>
        <w:rPr>
          <w:rFonts w:ascii="Times New Roman" w:cs="Times New Roman" w:hAnsi="Times New Roman"/>
          <w:b/>
          <w:bCs/>
          <w:color w:val="000000"/>
          <w:sz w:val="24"/>
          <w:szCs w:val="24"/>
        </w:rPr>
      </w:pPr>
      <w:r>
        <w:rPr>
          <w:rFonts w:ascii="Times New Roman" w:cs="Times New Roman" w:hAnsi="Times New Roman"/>
          <w:b/>
          <w:color w:val="000000"/>
          <w:sz w:val="24"/>
          <w:szCs w:val="24"/>
        </w:rPr>
        <w:br w:type="page"/>
      </w:r>
      <w:bookmarkStart w:id="1" w:name="_Toc178076699"/>
      <w:r>
        <w:rPr>
          <w:rFonts w:ascii="Times New Roman" w:cs="Times New Roman" w:hAnsi="Times New Roman"/>
          <w:b/>
          <w:bCs/>
          <w:color w:val="000000"/>
          <w:sz w:val="24"/>
          <w:szCs w:val="24"/>
        </w:rPr>
        <w:t>DECLARATION</w:t>
      </w:r>
      <w:bookmarkEnd w:id="1"/>
    </w:p>
    <w:p>
      <w:pPr>
        <w:pStyle w:val="style0"/>
        <w:spacing w:lineRule="auto" w:line="480"/>
        <w:rPr>
          <w:bCs/>
          <w:color w:val="000000"/>
        </w:rPr>
      </w:pPr>
      <w:r>
        <w:rPr>
          <w:bCs/>
          <w:color w:val="000000"/>
        </w:rPr>
        <w:t>I, declare that this dissertation entitled “</w:t>
      </w:r>
      <w:r>
        <w:rPr>
          <w:bCs/>
          <w:color w:val="000000"/>
        </w:rPr>
        <w:t>P</w:t>
      </w:r>
      <w:r>
        <w:rPr>
          <w:color w:val="000000"/>
        </w:rPr>
        <w:t>ercieved effects of wood fuel use in enviro</w:t>
      </w:r>
      <w:r>
        <w:rPr>
          <w:color w:val="000000"/>
        </w:rPr>
        <w:t>n</w:t>
      </w:r>
      <w:r>
        <w:rPr>
          <w:color w:val="000000"/>
        </w:rPr>
        <w:t xml:space="preserve">mental conservation in </w:t>
      </w:r>
      <w:r>
        <w:rPr>
          <w:color w:val="000000"/>
        </w:rPr>
        <w:t>H</w:t>
      </w:r>
      <w:r>
        <w:rPr>
          <w:color w:val="000000"/>
        </w:rPr>
        <w:t xml:space="preserve">andeni district: a case of </w:t>
      </w:r>
      <w:r>
        <w:rPr>
          <w:color w:val="000000"/>
        </w:rPr>
        <w:t>M</w:t>
      </w:r>
      <w:r>
        <w:rPr>
          <w:color w:val="000000"/>
        </w:rPr>
        <w:t>azingara ward</w:t>
      </w:r>
      <w:r>
        <w:rPr>
          <w:bCs/>
          <w:color w:val="000000"/>
        </w:rPr>
        <w:t>” is my own original work and that it has not been presented to any other academic Institution for a similar or any other academic award.</w:t>
      </w:r>
    </w:p>
    <w:p>
      <w:pPr>
        <w:pStyle w:val="style0"/>
        <w:tabs>
          <w:tab w:val="left" w:leader="none" w:pos="3240"/>
        </w:tabs>
        <w:spacing w:after="0" w:lineRule="auto" w:line="480"/>
        <w:rPr>
          <w:bCs/>
          <w:color w:val="000000"/>
        </w:rPr>
      </w:pPr>
      <w:r>
        <w:rPr>
          <w:bCs/>
          <w:color w:val="000000"/>
        </w:rPr>
        <w:t>Candidate Name…………………………………………………….</w:t>
      </w:r>
    </w:p>
    <w:p>
      <w:pPr>
        <w:pStyle w:val="style0"/>
        <w:tabs>
          <w:tab w:val="left" w:leader="none" w:pos="3240"/>
        </w:tabs>
        <w:spacing w:after="0" w:lineRule="auto" w:line="480"/>
        <w:rPr>
          <w:bCs/>
          <w:color w:val="000000"/>
        </w:rPr>
      </w:pPr>
      <w:r>
        <w:rPr>
          <w:bCs/>
          <w:color w:val="000000"/>
        </w:rPr>
        <w:t>Signature …………………………………………………………...</w:t>
      </w:r>
    </w:p>
    <w:p>
      <w:pPr>
        <w:pStyle w:val="style0"/>
        <w:tabs>
          <w:tab w:val="left" w:leader="none" w:pos="3240"/>
        </w:tabs>
        <w:spacing w:after="0" w:lineRule="auto" w:line="480"/>
        <w:rPr>
          <w:bCs/>
          <w:color w:val="000000"/>
        </w:rPr>
      </w:pPr>
      <w:r>
        <w:rPr>
          <w:bCs/>
          <w:color w:val="000000"/>
        </w:rPr>
        <w:t>Date ……………………………………………………………</w:t>
      </w:r>
      <w:r>
        <w:rPr>
          <w:bCs/>
          <w:color w:val="000000"/>
        </w:rPr>
        <w:t>….</w:t>
      </w:r>
    </w:p>
    <w:p>
      <w:pPr>
        <w:pStyle w:val="style1"/>
        <w:tabs>
          <w:tab w:val="left" w:leader="none" w:pos="3240"/>
        </w:tabs>
        <w:spacing w:lineRule="auto" w:line="480"/>
        <w:jc w:val="center"/>
        <w:rPr>
          <w:rFonts w:ascii="Times New Roman" w:cs="Times New Roman" w:hAnsi="Times New Roman"/>
          <w:b/>
          <w:color w:val="000000"/>
          <w:sz w:val="24"/>
          <w:szCs w:val="24"/>
        </w:rPr>
      </w:pPr>
      <w:r>
        <w:rPr>
          <w:rFonts w:ascii="Times New Roman" w:cs="Times New Roman" w:hAnsi="Times New Roman"/>
          <w:b/>
          <w:color w:val="000000"/>
          <w:sz w:val="24"/>
          <w:szCs w:val="24"/>
        </w:rPr>
        <w:br w:type="page"/>
      </w:r>
      <w:bookmarkStart w:id="2" w:name="_Toc178076700"/>
      <w:r>
        <w:rPr>
          <w:rFonts w:ascii="Times New Roman" w:cs="Times New Roman" w:hAnsi="Times New Roman"/>
          <w:b/>
          <w:color w:val="000000"/>
          <w:sz w:val="24"/>
          <w:szCs w:val="24"/>
        </w:rPr>
        <w:t>COPYRIGHT</w:t>
      </w:r>
      <w:bookmarkEnd w:id="2"/>
    </w:p>
    <w:p>
      <w:pPr>
        <w:pStyle w:val="style0"/>
        <w:tabs>
          <w:tab w:val="left" w:leader="none" w:pos="3240"/>
        </w:tabs>
        <w:spacing w:after="0" w:lineRule="auto" w:line="480"/>
        <w:rPr>
          <w:bCs/>
          <w:color w:val="000000"/>
        </w:rPr>
      </w:pPr>
      <w:r>
        <w:rPr>
          <w:bCs/>
          <w:color w:val="000000"/>
        </w:rPr>
        <w:t>No part of this paper may be produced or transmitted in any form and by any means without permission of any writer or the Institute of Rural Development Planning.</w:t>
      </w:r>
    </w:p>
    <w:p>
      <w:pPr>
        <w:pStyle w:val="style1"/>
        <w:tabs>
          <w:tab w:val="left" w:leader="none" w:pos="3240"/>
        </w:tabs>
        <w:spacing w:before="0" w:lineRule="auto" w:line="480"/>
        <w:jc w:val="center"/>
        <w:rPr>
          <w:rFonts w:ascii="Times New Roman" w:cs="Times New Roman" w:hAnsi="Times New Roman"/>
          <w:b/>
          <w:bCs/>
          <w:color w:val="000000"/>
          <w:sz w:val="24"/>
          <w:szCs w:val="24"/>
        </w:rPr>
      </w:pPr>
      <w:r>
        <w:rPr>
          <w:rFonts w:ascii="Times New Roman" w:cs="Times New Roman" w:hAnsi="Times New Roman"/>
          <w:b/>
          <w:color w:val="000000"/>
          <w:sz w:val="24"/>
          <w:szCs w:val="24"/>
        </w:rPr>
        <w:br w:type="page"/>
      </w:r>
      <w:bookmarkStart w:id="3" w:name="_Toc178076701"/>
      <w:r>
        <w:rPr>
          <w:rFonts w:ascii="Times New Roman" w:cs="Times New Roman" w:hAnsi="Times New Roman"/>
          <w:b/>
          <w:color w:val="000000"/>
          <w:sz w:val="24"/>
          <w:szCs w:val="24"/>
        </w:rPr>
        <w:t>RESEARCH SUPERVISOR’S CERTIFICATION</w:t>
      </w:r>
      <w:bookmarkEnd w:id="3"/>
    </w:p>
    <w:p>
      <w:pPr>
        <w:pStyle w:val="style0"/>
        <w:tabs>
          <w:tab w:val="left" w:leader="none" w:pos="3240"/>
        </w:tabs>
        <w:spacing w:after="0" w:lineRule="auto" w:line="480"/>
        <w:rPr>
          <w:color w:val="000000"/>
        </w:rPr>
      </w:pPr>
      <w:r>
        <w:rPr>
          <w:color w:val="000000"/>
        </w:rPr>
        <w:t>I</w:t>
      </w:r>
      <w:r>
        <w:rPr>
          <w:color w:val="000000"/>
        </w:rPr>
        <w:t>,</w:t>
      </w:r>
      <w:r>
        <w:rPr>
          <w:color w:val="000000"/>
        </w:rPr>
        <w:t xml:space="preserve"> certify that I have read and hereby recommend for acceptance by the Institute of Rural Development Planning the dissertation entitled </w:t>
      </w:r>
      <w:r>
        <w:rPr>
          <w:color w:val="000000"/>
        </w:rPr>
        <w:t>“</w:t>
      </w:r>
      <w:r>
        <w:rPr>
          <w:b/>
          <w:bCs/>
          <w:color w:val="000000"/>
        </w:rPr>
        <w:t>Perceived</w:t>
      </w:r>
      <w:r>
        <w:rPr>
          <w:b/>
          <w:bCs/>
          <w:color w:val="000000"/>
        </w:rPr>
        <w:t xml:space="preserve"> effects of </w:t>
      </w:r>
      <w:r>
        <w:rPr>
          <w:b/>
          <w:bCs/>
          <w:color w:val="000000"/>
        </w:rPr>
        <w:t>wood fuel</w:t>
      </w:r>
      <w:r>
        <w:rPr>
          <w:b/>
          <w:bCs/>
          <w:color w:val="000000"/>
        </w:rPr>
        <w:t xml:space="preserve"> use in </w:t>
      </w:r>
      <w:r>
        <w:rPr>
          <w:b/>
          <w:bCs/>
          <w:color w:val="000000"/>
        </w:rPr>
        <w:t>environmental</w:t>
      </w:r>
      <w:r>
        <w:rPr>
          <w:b/>
          <w:bCs/>
          <w:color w:val="000000"/>
        </w:rPr>
        <w:t xml:space="preserve"> conservation in </w:t>
      </w:r>
      <w:r>
        <w:rPr>
          <w:b/>
          <w:bCs/>
          <w:color w:val="000000"/>
        </w:rPr>
        <w:t>Handeni</w:t>
      </w:r>
      <w:r>
        <w:rPr>
          <w:b/>
          <w:bCs/>
          <w:color w:val="000000"/>
        </w:rPr>
        <w:t xml:space="preserve"> district: a case of </w:t>
      </w:r>
      <w:r>
        <w:rPr>
          <w:b/>
          <w:bCs/>
          <w:color w:val="000000"/>
        </w:rPr>
        <w:t>Mazingara</w:t>
      </w:r>
      <w:r>
        <w:rPr>
          <w:b/>
          <w:bCs/>
          <w:color w:val="000000"/>
        </w:rPr>
        <w:t xml:space="preserve"> ward</w:t>
      </w:r>
      <w:r>
        <w:rPr>
          <w:b/>
          <w:bCs/>
          <w:color w:val="000000"/>
        </w:rPr>
        <w:t>”</w:t>
      </w:r>
      <w:r>
        <w:rPr>
          <w:b/>
          <w:bCs/>
          <w:color w:val="000000"/>
        </w:rPr>
        <w:t xml:space="preserve"> </w:t>
      </w:r>
      <w:r>
        <w:rPr>
          <w:color w:val="000000"/>
        </w:rPr>
        <w:t xml:space="preserve">in fulfillment of the requirements for the Bachelor Degree in Environmental Planning </w:t>
      </w:r>
      <w:r>
        <w:rPr>
          <w:color w:val="000000"/>
        </w:rPr>
        <w:t>and</w:t>
      </w:r>
      <w:r>
        <w:rPr>
          <w:color w:val="000000"/>
        </w:rPr>
        <w:t xml:space="preserve"> Management of the Institute of Rural Development Planning.</w:t>
      </w:r>
    </w:p>
    <w:p>
      <w:pPr>
        <w:pStyle w:val="style0"/>
        <w:tabs>
          <w:tab w:val="left" w:leader="none" w:pos="3240"/>
        </w:tabs>
        <w:spacing w:after="0" w:lineRule="auto" w:line="480"/>
        <w:rPr>
          <w:color w:val="000000"/>
        </w:rPr>
      </w:pPr>
      <w:r>
        <w:rPr>
          <w:color w:val="000000"/>
        </w:rPr>
        <w:t>Name of the supervisor………………………………………………………</w:t>
      </w:r>
    </w:p>
    <w:p>
      <w:pPr>
        <w:pStyle w:val="style0"/>
        <w:tabs>
          <w:tab w:val="left" w:leader="none" w:pos="3240"/>
        </w:tabs>
        <w:spacing w:after="0" w:lineRule="auto" w:line="480"/>
        <w:rPr>
          <w:color w:val="000000"/>
        </w:rPr>
      </w:pPr>
      <w:r>
        <w:rPr>
          <w:color w:val="000000"/>
        </w:rPr>
        <w:t>Signature …………………………………………………………………….</w:t>
      </w:r>
    </w:p>
    <w:p>
      <w:pPr>
        <w:pStyle w:val="style0"/>
        <w:tabs>
          <w:tab w:val="left" w:leader="none" w:pos="3240"/>
        </w:tabs>
        <w:spacing w:after="0" w:lineRule="auto" w:line="480"/>
        <w:rPr>
          <w:color w:val="000000"/>
        </w:rPr>
      </w:pPr>
      <w:r>
        <w:rPr>
          <w:color w:val="000000"/>
        </w:rPr>
        <w:t>Date ………………………………………………………………………....</w:t>
      </w:r>
    </w:p>
    <w:p>
      <w:pPr>
        <w:pStyle w:val="style0"/>
        <w:tabs>
          <w:tab w:val="left" w:leader="none" w:pos="3240"/>
        </w:tabs>
        <w:spacing w:lineRule="auto" w:line="480"/>
        <w:rPr>
          <w:color w:val="000000"/>
        </w:rPr>
      </w:pPr>
    </w:p>
    <w:p>
      <w:pPr>
        <w:pStyle w:val="style1"/>
        <w:tabs>
          <w:tab w:val="left" w:leader="none" w:pos="3240"/>
        </w:tabs>
        <w:spacing w:before="0" w:lineRule="auto" w:line="480"/>
        <w:jc w:val="center"/>
        <w:rPr>
          <w:rFonts w:ascii="Times New Roman" w:cs="Times New Roman" w:hAnsi="Times New Roman"/>
          <w:b/>
          <w:color w:val="000000"/>
          <w:sz w:val="24"/>
          <w:szCs w:val="24"/>
        </w:rPr>
      </w:pPr>
      <w:r>
        <w:rPr>
          <w:rFonts w:ascii="Times New Roman" w:cs="Times New Roman" w:hAnsi="Times New Roman"/>
          <w:color w:val="000000"/>
          <w:sz w:val="24"/>
          <w:szCs w:val="24"/>
        </w:rPr>
        <w:br w:type="page"/>
      </w:r>
      <w:bookmarkStart w:id="4" w:name="_Toc178076702"/>
      <w:r>
        <w:rPr>
          <w:rFonts w:ascii="Times New Roman" w:cs="Times New Roman" w:hAnsi="Times New Roman"/>
          <w:b/>
          <w:color w:val="000000"/>
          <w:sz w:val="24"/>
          <w:szCs w:val="24"/>
        </w:rPr>
        <w:t>ACKNOWLEDGEMENTS</w:t>
      </w:r>
      <w:bookmarkEnd w:id="4"/>
    </w:p>
    <w:p>
      <w:pPr>
        <w:pStyle w:val="style4103"/>
        <w:tabs>
          <w:tab w:val="left" w:leader="none" w:pos="3240"/>
        </w:tabs>
        <w:spacing w:lineRule="auto" w:line="480"/>
        <w:jc w:val="both"/>
        <w:rPr/>
      </w:pPr>
      <w:r>
        <w:t>I wish to express my deepest gratitude to the Almighty God for His guidance and blessings throughout the entire research period. My heartfelt thanks go to my husband, whose unwavering support and encouragement have been a source of strength. I am profoundly grateful to my supervisor, Mr. Mafuru Juma, for his invaluable guidance and mentorship, which played a crucial role in the completion of this study. Additionally, I extend my sincere appreciation to my colleagues and friends for their encouragement and support. Your contributions and involvement have been essential in shaping this final document. Thank you all for your continuous support and belief in me.</w:t>
      </w:r>
    </w:p>
    <w:p>
      <w:pPr>
        <w:pStyle w:val="style0"/>
        <w:tabs>
          <w:tab w:val="left" w:leader="none" w:pos="3240"/>
        </w:tabs>
        <w:spacing w:after="0" w:lineRule="auto" w:line="480"/>
        <w:rPr>
          <w:b/>
          <w:color w:val="000000"/>
        </w:rPr>
      </w:pPr>
    </w:p>
    <w:p>
      <w:pPr>
        <w:pStyle w:val="style1"/>
        <w:tabs>
          <w:tab w:val="left" w:leader="none" w:pos="3240"/>
        </w:tabs>
        <w:spacing w:before="0" w:lineRule="auto" w:line="480"/>
        <w:jc w:val="center"/>
        <w:rPr>
          <w:rFonts w:ascii="Times New Roman" w:cs="Times New Roman" w:hAnsi="Times New Roman"/>
          <w:b/>
          <w:bCs/>
          <w:color w:val="000000"/>
          <w:sz w:val="24"/>
          <w:szCs w:val="24"/>
        </w:rPr>
      </w:pPr>
      <w:r>
        <w:rPr>
          <w:rFonts w:ascii="Times New Roman" w:cs="Times New Roman" w:hAnsi="Times New Roman"/>
          <w:b/>
          <w:color w:val="000000"/>
          <w:sz w:val="24"/>
          <w:szCs w:val="24"/>
        </w:rPr>
        <w:br w:type="page"/>
      </w:r>
      <w:bookmarkStart w:id="5" w:name="_Toc178076703"/>
      <w:r>
        <w:rPr>
          <w:rFonts w:ascii="Times New Roman" w:cs="Times New Roman" w:hAnsi="Times New Roman"/>
          <w:b/>
          <w:bCs/>
          <w:color w:val="000000"/>
          <w:sz w:val="24"/>
          <w:szCs w:val="24"/>
        </w:rPr>
        <w:t>TABLE OF CONTENT</w:t>
      </w:r>
      <w:r>
        <w:rPr>
          <w:rFonts w:ascii="Times New Roman" w:cs="Times New Roman" w:hAnsi="Times New Roman"/>
          <w:b/>
          <w:bCs/>
          <w:color w:val="000000"/>
          <w:sz w:val="24"/>
          <w:szCs w:val="24"/>
        </w:rPr>
        <w:t>S</w:t>
      </w:r>
      <w:bookmarkEnd w:id="5"/>
    </w:p>
    <w:p>
      <w:pPr>
        <w:pStyle w:val="style19"/>
        <w:tabs>
          <w:tab w:val="right" w:leader="dot" w:pos="8210"/>
        </w:tabs>
        <w:spacing w:lineRule="auto" w:line="480"/>
        <w:jc w:val="both"/>
        <w:rPr>
          <w:rFonts w:ascii="Calibri" w:cs="宋体" w:eastAsia="宋体" w:hAnsi="Calibri"/>
          <w:b w:val="false"/>
          <w:bCs/>
          <w:noProof/>
          <w:sz w:val="22"/>
          <w:lang w:val="en-US"/>
        </w:rPr>
      </w:pPr>
      <w:r>
        <w:rPr>
          <w:rFonts w:eastAsia="Times New Roman"/>
          <w:b w:val="false"/>
          <w:bCs/>
          <w:color w:val="000000"/>
          <w:kern w:val="2"/>
          <w:szCs w:val="24"/>
          <w:lang w:eastAsia="en-GB"/>
        </w:rPr>
        <w:fldChar w:fldCharType="begin"/>
      </w:r>
      <w:r>
        <w:rPr>
          <w:b w:val="false"/>
          <w:bCs/>
          <w:color w:val="000000"/>
          <w:szCs w:val="24"/>
        </w:rPr>
        <w:instrText xml:space="preserve"> TOC \o "1-3" \h \z \u </w:instrText>
      </w:r>
      <w:r>
        <w:rPr>
          <w:rFonts w:eastAsia="Times New Roman"/>
          <w:b w:val="false"/>
          <w:bCs/>
          <w:color w:val="000000"/>
          <w:kern w:val="2"/>
          <w:szCs w:val="24"/>
          <w:lang w:eastAsia="en-GB"/>
        </w:rPr>
        <w:fldChar w:fldCharType="separate"/>
      </w:r>
      <w:r>
        <w:rPr/>
        <w:fldChar w:fldCharType="begin"/>
      </w:r>
      <w:r>
        <w:instrText xml:space="preserve"> HYPERLINK \l "_Toc178076698" </w:instrText>
      </w:r>
      <w:r>
        <w:rPr/>
        <w:fldChar w:fldCharType="separate"/>
      </w:r>
      <w:r>
        <w:rPr>
          <w:rStyle w:val="style85"/>
          <w:b w:val="false"/>
          <w:bCs/>
          <w:noProof/>
        </w:rPr>
        <w:t>ABSTRACT</w:t>
      </w:r>
      <w:r>
        <w:rPr>
          <w:b w:val="false"/>
          <w:bCs/>
          <w:noProof/>
          <w:webHidden/>
        </w:rPr>
        <w:tab/>
      </w:r>
      <w:r>
        <w:rPr>
          <w:b w:val="false"/>
          <w:bCs/>
          <w:noProof/>
          <w:webHidden/>
        </w:rPr>
        <w:fldChar w:fldCharType="begin"/>
      </w:r>
      <w:r>
        <w:rPr>
          <w:b w:val="false"/>
          <w:bCs/>
          <w:noProof/>
          <w:webHidden/>
        </w:rPr>
        <w:instrText xml:space="preserve"> PAGEREF _Toc178076698 \h </w:instrText>
      </w:r>
      <w:r>
        <w:rPr>
          <w:b w:val="false"/>
          <w:bCs/>
          <w:noProof/>
          <w:webHidden/>
        </w:rPr>
        <w:fldChar w:fldCharType="separate"/>
      </w:r>
      <w:r>
        <w:rPr>
          <w:b w:val="false"/>
          <w:bCs/>
          <w:noProof/>
          <w:webHidden/>
        </w:rPr>
        <w:t>i</w:t>
      </w:r>
      <w:r>
        <w:rPr>
          <w:b w:val="false"/>
          <w:bCs/>
          <w:noProof/>
          <w:webHidden/>
        </w:rPr>
        <w:fldChar w:fldCharType="end"/>
      </w:r>
      <w:r>
        <w:rPr/>
        <w:fldChar w:fldCharType="end"/>
      </w:r>
    </w:p>
    <w:p>
      <w:pPr>
        <w:pStyle w:val="style19"/>
        <w:tabs>
          <w:tab w:val="right" w:leader="dot" w:pos="8210"/>
        </w:tabs>
        <w:spacing w:lineRule="auto" w:line="480"/>
        <w:jc w:val="both"/>
        <w:rPr>
          <w:rFonts w:ascii="Calibri" w:cs="宋体" w:eastAsia="宋体" w:hAnsi="Calibri"/>
          <w:b w:val="false"/>
          <w:bCs/>
          <w:noProof/>
          <w:sz w:val="22"/>
          <w:lang w:val="en-US"/>
        </w:rPr>
      </w:pPr>
      <w:r>
        <w:rPr/>
        <w:fldChar w:fldCharType="begin"/>
      </w:r>
      <w:r>
        <w:instrText xml:space="preserve"> HYPERLINK \l "_Toc178076699" </w:instrText>
      </w:r>
      <w:r>
        <w:rPr/>
        <w:fldChar w:fldCharType="separate"/>
      </w:r>
      <w:r>
        <w:rPr>
          <w:rStyle w:val="style85"/>
          <w:b w:val="false"/>
          <w:bCs/>
          <w:noProof/>
        </w:rPr>
        <w:t>DECLARATION</w:t>
      </w:r>
      <w:r>
        <w:rPr>
          <w:b w:val="false"/>
          <w:bCs/>
          <w:noProof/>
          <w:webHidden/>
        </w:rPr>
        <w:tab/>
      </w:r>
      <w:r>
        <w:rPr>
          <w:b w:val="false"/>
          <w:bCs/>
          <w:noProof/>
          <w:webHidden/>
        </w:rPr>
        <w:fldChar w:fldCharType="begin"/>
      </w:r>
      <w:r>
        <w:rPr>
          <w:b w:val="false"/>
          <w:bCs/>
          <w:noProof/>
          <w:webHidden/>
        </w:rPr>
        <w:instrText xml:space="preserve"> PAGEREF _Toc178076699 \h </w:instrText>
      </w:r>
      <w:r>
        <w:rPr>
          <w:b w:val="false"/>
          <w:bCs/>
          <w:noProof/>
          <w:webHidden/>
        </w:rPr>
        <w:fldChar w:fldCharType="separate"/>
      </w:r>
      <w:r>
        <w:rPr>
          <w:b w:val="false"/>
          <w:bCs/>
          <w:noProof/>
          <w:webHidden/>
        </w:rPr>
        <w:t>ii</w:t>
      </w:r>
      <w:r>
        <w:rPr>
          <w:b w:val="false"/>
          <w:bCs/>
          <w:noProof/>
          <w:webHidden/>
        </w:rPr>
        <w:fldChar w:fldCharType="end"/>
      </w:r>
      <w:r>
        <w:rPr/>
        <w:fldChar w:fldCharType="end"/>
      </w:r>
    </w:p>
    <w:p>
      <w:pPr>
        <w:pStyle w:val="style19"/>
        <w:tabs>
          <w:tab w:val="right" w:leader="dot" w:pos="8210"/>
        </w:tabs>
        <w:spacing w:lineRule="auto" w:line="480"/>
        <w:jc w:val="both"/>
        <w:rPr>
          <w:rFonts w:ascii="Calibri" w:cs="宋体" w:eastAsia="宋体" w:hAnsi="Calibri"/>
          <w:b w:val="false"/>
          <w:bCs/>
          <w:noProof/>
          <w:sz w:val="22"/>
          <w:lang w:val="en-US"/>
        </w:rPr>
      </w:pPr>
      <w:r>
        <w:rPr/>
        <w:fldChar w:fldCharType="begin"/>
      </w:r>
      <w:r>
        <w:instrText xml:space="preserve"> HYPERLINK \l "_Toc178076700" </w:instrText>
      </w:r>
      <w:r>
        <w:rPr/>
        <w:fldChar w:fldCharType="separate"/>
      </w:r>
      <w:r>
        <w:rPr>
          <w:rStyle w:val="style85"/>
          <w:b w:val="false"/>
          <w:bCs/>
          <w:noProof/>
        </w:rPr>
        <w:t>COPYRIGHT</w:t>
      </w:r>
      <w:r>
        <w:rPr>
          <w:b w:val="false"/>
          <w:bCs/>
          <w:noProof/>
          <w:webHidden/>
        </w:rPr>
        <w:tab/>
      </w:r>
      <w:r>
        <w:rPr>
          <w:b w:val="false"/>
          <w:bCs/>
          <w:noProof/>
          <w:webHidden/>
        </w:rPr>
        <w:fldChar w:fldCharType="begin"/>
      </w:r>
      <w:r>
        <w:rPr>
          <w:b w:val="false"/>
          <w:bCs/>
          <w:noProof/>
          <w:webHidden/>
        </w:rPr>
        <w:instrText xml:space="preserve"> PAGEREF _Toc178076700 \h </w:instrText>
      </w:r>
      <w:r>
        <w:rPr>
          <w:b w:val="false"/>
          <w:bCs/>
          <w:noProof/>
          <w:webHidden/>
        </w:rPr>
        <w:fldChar w:fldCharType="separate"/>
      </w:r>
      <w:r>
        <w:rPr>
          <w:b w:val="false"/>
          <w:bCs/>
          <w:noProof/>
          <w:webHidden/>
        </w:rPr>
        <w:t>iii</w:t>
      </w:r>
      <w:r>
        <w:rPr>
          <w:b w:val="false"/>
          <w:bCs/>
          <w:noProof/>
          <w:webHidden/>
        </w:rPr>
        <w:fldChar w:fldCharType="end"/>
      </w:r>
      <w:r>
        <w:rPr/>
        <w:fldChar w:fldCharType="end"/>
      </w:r>
    </w:p>
    <w:p>
      <w:pPr>
        <w:pStyle w:val="style19"/>
        <w:tabs>
          <w:tab w:val="right" w:leader="dot" w:pos="8210"/>
        </w:tabs>
        <w:spacing w:lineRule="auto" w:line="480"/>
        <w:jc w:val="both"/>
        <w:rPr>
          <w:rFonts w:ascii="Calibri" w:cs="宋体" w:eastAsia="宋体" w:hAnsi="Calibri"/>
          <w:b w:val="false"/>
          <w:bCs/>
          <w:noProof/>
          <w:sz w:val="22"/>
          <w:lang w:val="en-US"/>
        </w:rPr>
      </w:pPr>
      <w:r>
        <w:rPr/>
        <w:fldChar w:fldCharType="begin"/>
      </w:r>
      <w:r>
        <w:instrText xml:space="preserve"> HYPERLINK \l "_Toc178076701" </w:instrText>
      </w:r>
      <w:r>
        <w:rPr/>
        <w:fldChar w:fldCharType="separate"/>
      </w:r>
      <w:r>
        <w:rPr>
          <w:rStyle w:val="style85"/>
          <w:b w:val="false"/>
          <w:bCs/>
          <w:noProof/>
        </w:rPr>
        <w:t>RESEARCH SUPERVISOR’S CERTIFICATION</w:t>
      </w:r>
      <w:r>
        <w:rPr>
          <w:b w:val="false"/>
          <w:bCs/>
          <w:noProof/>
          <w:webHidden/>
        </w:rPr>
        <w:tab/>
      </w:r>
      <w:r>
        <w:rPr>
          <w:b w:val="false"/>
          <w:bCs/>
          <w:noProof/>
          <w:webHidden/>
        </w:rPr>
        <w:fldChar w:fldCharType="begin"/>
      </w:r>
      <w:r>
        <w:rPr>
          <w:b w:val="false"/>
          <w:bCs/>
          <w:noProof/>
          <w:webHidden/>
        </w:rPr>
        <w:instrText xml:space="preserve"> PAGEREF _Toc178076701 \h </w:instrText>
      </w:r>
      <w:r>
        <w:rPr>
          <w:b w:val="false"/>
          <w:bCs/>
          <w:noProof/>
          <w:webHidden/>
        </w:rPr>
        <w:fldChar w:fldCharType="separate"/>
      </w:r>
      <w:r>
        <w:rPr>
          <w:b w:val="false"/>
          <w:bCs/>
          <w:noProof/>
          <w:webHidden/>
        </w:rPr>
        <w:t>iv</w:t>
      </w:r>
      <w:r>
        <w:rPr>
          <w:b w:val="false"/>
          <w:bCs/>
          <w:noProof/>
          <w:webHidden/>
        </w:rPr>
        <w:fldChar w:fldCharType="end"/>
      </w:r>
      <w:r>
        <w:rPr/>
        <w:fldChar w:fldCharType="end"/>
      </w:r>
    </w:p>
    <w:p>
      <w:pPr>
        <w:pStyle w:val="style19"/>
        <w:tabs>
          <w:tab w:val="right" w:leader="dot" w:pos="8210"/>
        </w:tabs>
        <w:spacing w:lineRule="auto" w:line="480"/>
        <w:jc w:val="both"/>
        <w:rPr>
          <w:rFonts w:ascii="Calibri" w:cs="宋体" w:eastAsia="宋体" w:hAnsi="Calibri"/>
          <w:b w:val="false"/>
          <w:bCs/>
          <w:noProof/>
          <w:sz w:val="22"/>
          <w:lang w:val="en-US"/>
        </w:rPr>
      </w:pPr>
      <w:r>
        <w:rPr/>
        <w:fldChar w:fldCharType="begin"/>
      </w:r>
      <w:r>
        <w:instrText xml:space="preserve"> HYPERLINK \l "_Toc178076702" </w:instrText>
      </w:r>
      <w:r>
        <w:rPr/>
        <w:fldChar w:fldCharType="separate"/>
      </w:r>
      <w:r>
        <w:rPr>
          <w:rStyle w:val="style85"/>
          <w:b w:val="false"/>
          <w:bCs/>
          <w:noProof/>
        </w:rPr>
        <w:t>ACKNOWLEDGEMENTS</w:t>
      </w:r>
      <w:r>
        <w:rPr>
          <w:b w:val="false"/>
          <w:bCs/>
          <w:noProof/>
          <w:webHidden/>
        </w:rPr>
        <w:tab/>
      </w:r>
      <w:r>
        <w:rPr>
          <w:b w:val="false"/>
          <w:bCs/>
          <w:noProof/>
          <w:webHidden/>
        </w:rPr>
        <w:fldChar w:fldCharType="begin"/>
      </w:r>
      <w:r>
        <w:rPr>
          <w:b w:val="false"/>
          <w:bCs/>
          <w:noProof/>
          <w:webHidden/>
        </w:rPr>
        <w:instrText xml:space="preserve"> PAGEREF _Toc178076702 \h </w:instrText>
      </w:r>
      <w:r>
        <w:rPr>
          <w:b w:val="false"/>
          <w:bCs/>
          <w:noProof/>
          <w:webHidden/>
        </w:rPr>
        <w:fldChar w:fldCharType="separate"/>
      </w:r>
      <w:r>
        <w:rPr>
          <w:b w:val="false"/>
          <w:bCs/>
          <w:noProof/>
          <w:webHidden/>
        </w:rPr>
        <w:t>v</w:t>
      </w:r>
      <w:r>
        <w:rPr>
          <w:b w:val="false"/>
          <w:bCs/>
          <w:noProof/>
          <w:webHidden/>
        </w:rPr>
        <w:fldChar w:fldCharType="end"/>
      </w:r>
      <w:r>
        <w:rPr/>
        <w:fldChar w:fldCharType="end"/>
      </w:r>
    </w:p>
    <w:p>
      <w:pPr>
        <w:pStyle w:val="style19"/>
        <w:tabs>
          <w:tab w:val="right" w:leader="dot" w:pos="8210"/>
        </w:tabs>
        <w:spacing w:lineRule="auto" w:line="480"/>
        <w:jc w:val="both"/>
        <w:rPr>
          <w:rFonts w:ascii="Calibri" w:cs="宋体" w:eastAsia="宋体" w:hAnsi="Calibri"/>
          <w:b w:val="false"/>
          <w:bCs/>
          <w:noProof/>
          <w:sz w:val="22"/>
          <w:lang w:val="en-US"/>
        </w:rPr>
      </w:pPr>
      <w:r>
        <w:rPr/>
        <w:fldChar w:fldCharType="begin"/>
      </w:r>
      <w:r>
        <w:instrText xml:space="preserve"> HYPERLINK \l "_Toc178076703" </w:instrText>
      </w:r>
      <w:r>
        <w:rPr/>
        <w:fldChar w:fldCharType="separate"/>
      </w:r>
      <w:r>
        <w:rPr>
          <w:rStyle w:val="style85"/>
          <w:b w:val="false"/>
          <w:bCs/>
          <w:noProof/>
        </w:rPr>
        <w:t>TABLE OF CONTENTS</w:t>
      </w:r>
      <w:r>
        <w:rPr>
          <w:b w:val="false"/>
          <w:bCs/>
          <w:noProof/>
          <w:webHidden/>
        </w:rPr>
        <w:tab/>
      </w:r>
      <w:r>
        <w:rPr>
          <w:b w:val="false"/>
          <w:bCs/>
          <w:noProof/>
          <w:webHidden/>
        </w:rPr>
        <w:fldChar w:fldCharType="begin"/>
      </w:r>
      <w:r>
        <w:rPr>
          <w:b w:val="false"/>
          <w:bCs/>
          <w:noProof/>
          <w:webHidden/>
        </w:rPr>
        <w:instrText xml:space="preserve"> PAGEREF _Toc178076703 \h </w:instrText>
      </w:r>
      <w:r>
        <w:rPr>
          <w:b w:val="false"/>
          <w:bCs/>
          <w:noProof/>
          <w:webHidden/>
        </w:rPr>
        <w:fldChar w:fldCharType="separate"/>
      </w:r>
      <w:r>
        <w:rPr>
          <w:b w:val="false"/>
          <w:bCs/>
          <w:noProof/>
          <w:webHidden/>
        </w:rPr>
        <w:t>vi</w:t>
      </w:r>
      <w:r>
        <w:rPr>
          <w:b w:val="false"/>
          <w:bCs/>
          <w:noProof/>
          <w:webHidden/>
        </w:rPr>
        <w:fldChar w:fldCharType="end"/>
      </w:r>
      <w:r>
        <w:rPr/>
        <w:fldChar w:fldCharType="end"/>
      </w:r>
    </w:p>
    <w:p>
      <w:pPr>
        <w:pStyle w:val="style19"/>
        <w:tabs>
          <w:tab w:val="right" w:leader="dot" w:pos="8210"/>
        </w:tabs>
        <w:spacing w:lineRule="auto" w:line="480"/>
        <w:jc w:val="both"/>
        <w:rPr>
          <w:rFonts w:ascii="Calibri" w:cs="宋体" w:eastAsia="宋体" w:hAnsi="Calibri"/>
          <w:b w:val="false"/>
          <w:bCs/>
          <w:noProof/>
          <w:sz w:val="22"/>
          <w:lang w:val="en-US"/>
        </w:rPr>
      </w:pPr>
      <w:r>
        <w:rPr/>
        <w:fldChar w:fldCharType="begin"/>
      </w:r>
      <w:r>
        <w:instrText xml:space="preserve"> HYPERLINK \l "_Toc178076704" </w:instrText>
      </w:r>
      <w:r>
        <w:rPr/>
        <w:fldChar w:fldCharType="separate"/>
      </w:r>
      <w:r>
        <w:rPr>
          <w:rStyle w:val="style85"/>
          <w:b w:val="false"/>
          <w:bCs/>
          <w:noProof/>
        </w:rPr>
        <w:t>LIST OF TABLES</w:t>
      </w:r>
      <w:r>
        <w:rPr>
          <w:b w:val="false"/>
          <w:bCs/>
          <w:noProof/>
          <w:webHidden/>
        </w:rPr>
        <w:tab/>
      </w:r>
      <w:r>
        <w:rPr>
          <w:b w:val="false"/>
          <w:bCs/>
          <w:noProof/>
          <w:webHidden/>
        </w:rPr>
        <w:fldChar w:fldCharType="begin"/>
      </w:r>
      <w:r>
        <w:rPr>
          <w:b w:val="false"/>
          <w:bCs/>
          <w:noProof/>
          <w:webHidden/>
        </w:rPr>
        <w:instrText xml:space="preserve"> PAGEREF _Toc178076704 \h </w:instrText>
      </w:r>
      <w:r>
        <w:rPr>
          <w:b w:val="false"/>
          <w:bCs/>
          <w:noProof/>
          <w:webHidden/>
        </w:rPr>
        <w:fldChar w:fldCharType="separate"/>
      </w:r>
      <w:r>
        <w:rPr>
          <w:b w:val="false"/>
          <w:bCs/>
          <w:noProof/>
          <w:webHidden/>
        </w:rPr>
        <w:t>ix</w:t>
      </w:r>
      <w:r>
        <w:rPr>
          <w:b w:val="false"/>
          <w:bCs/>
          <w:noProof/>
          <w:webHidden/>
        </w:rPr>
        <w:fldChar w:fldCharType="end"/>
      </w:r>
      <w:r>
        <w:rPr/>
        <w:fldChar w:fldCharType="end"/>
      </w:r>
    </w:p>
    <w:p>
      <w:pPr>
        <w:pStyle w:val="style19"/>
        <w:tabs>
          <w:tab w:val="right" w:leader="dot" w:pos="8210"/>
        </w:tabs>
        <w:spacing w:lineRule="auto" w:line="480"/>
        <w:jc w:val="both"/>
        <w:rPr>
          <w:rFonts w:ascii="Calibri" w:cs="宋体" w:eastAsia="宋体" w:hAnsi="Calibri"/>
          <w:b w:val="false"/>
          <w:bCs/>
          <w:noProof/>
          <w:sz w:val="22"/>
          <w:lang w:val="en-US"/>
        </w:rPr>
      </w:pPr>
      <w:r>
        <w:rPr/>
        <w:fldChar w:fldCharType="begin"/>
      </w:r>
      <w:r>
        <w:instrText xml:space="preserve"> HYPERLINK \l "_Toc178076705" </w:instrText>
      </w:r>
      <w:r>
        <w:rPr/>
        <w:fldChar w:fldCharType="separate"/>
      </w:r>
      <w:r>
        <w:rPr>
          <w:rStyle w:val="style85"/>
          <w:b w:val="false"/>
          <w:bCs/>
          <w:noProof/>
        </w:rPr>
        <w:t>LIST OF FIGURES</w:t>
      </w:r>
      <w:r>
        <w:rPr>
          <w:b w:val="false"/>
          <w:bCs/>
          <w:noProof/>
          <w:webHidden/>
        </w:rPr>
        <w:tab/>
      </w:r>
      <w:r>
        <w:rPr>
          <w:b w:val="false"/>
          <w:bCs/>
          <w:noProof/>
          <w:webHidden/>
        </w:rPr>
        <w:fldChar w:fldCharType="begin"/>
      </w:r>
      <w:r>
        <w:rPr>
          <w:b w:val="false"/>
          <w:bCs/>
          <w:noProof/>
          <w:webHidden/>
        </w:rPr>
        <w:instrText xml:space="preserve"> PAGEREF _Toc178076705 \h </w:instrText>
      </w:r>
      <w:r>
        <w:rPr>
          <w:b w:val="false"/>
          <w:bCs/>
          <w:noProof/>
          <w:webHidden/>
        </w:rPr>
        <w:fldChar w:fldCharType="separate"/>
      </w:r>
      <w:r>
        <w:rPr>
          <w:b w:val="false"/>
          <w:bCs/>
          <w:noProof/>
          <w:webHidden/>
        </w:rPr>
        <w:t>x</w:t>
      </w:r>
      <w:r>
        <w:rPr>
          <w:b w:val="false"/>
          <w:bCs/>
          <w:noProof/>
          <w:webHidden/>
        </w:rPr>
        <w:fldChar w:fldCharType="end"/>
      </w:r>
      <w:r>
        <w:rPr/>
        <w:fldChar w:fldCharType="end"/>
      </w:r>
    </w:p>
    <w:p>
      <w:pPr>
        <w:pStyle w:val="style19"/>
        <w:tabs>
          <w:tab w:val="right" w:leader="dot" w:pos="8210"/>
        </w:tabs>
        <w:spacing w:lineRule="auto" w:line="480"/>
        <w:jc w:val="both"/>
        <w:rPr>
          <w:rFonts w:ascii="Calibri" w:cs="宋体" w:eastAsia="宋体" w:hAnsi="Calibri"/>
          <w:b w:val="false"/>
          <w:bCs/>
          <w:noProof/>
          <w:sz w:val="22"/>
          <w:lang w:val="en-US"/>
        </w:rPr>
      </w:pPr>
      <w:r>
        <w:rPr/>
        <w:fldChar w:fldCharType="begin"/>
      </w:r>
      <w:r>
        <w:instrText xml:space="preserve"> HYPERLINK \l "_Toc178076706" </w:instrText>
      </w:r>
      <w:r>
        <w:rPr/>
        <w:fldChar w:fldCharType="separate"/>
      </w:r>
      <w:r>
        <w:rPr>
          <w:rStyle w:val="style85"/>
          <w:b w:val="false"/>
          <w:bCs/>
          <w:noProof/>
        </w:rPr>
        <w:t>LIST OF PLATES</w:t>
      </w:r>
      <w:r>
        <w:rPr>
          <w:b w:val="false"/>
          <w:bCs/>
          <w:noProof/>
          <w:webHidden/>
        </w:rPr>
        <w:tab/>
      </w:r>
      <w:r>
        <w:rPr>
          <w:b w:val="false"/>
          <w:bCs/>
          <w:noProof/>
          <w:webHidden/>
        </w:rPr>
        <w:fldChar w:fldCharType="begin"/>
      </w:r>
      <w:r>
        <w:rPr>
          <w:b w:val="false"/>
          <w:bCs/>
          <w:noProof/>
          <w:webHidden/>
        </w:rPr>
        <w:instrText xml:space="preserve"> PAGEREF _Toc178076706 \h </w:instrText>
      </w:r>
      <w:r>
        <w:rPr>
          <w:b w:val="false"/>
          <w:bCs/>
          <w:noProof/>
          <w:webHidden/>
        </w:rPr>
        <w:fldChar w:fldCharType="separate"/>
      </w:r>
      <w:r>
        <w:rPr>
          <w:b w:val="false"/>
          <w:bCs/>
          <w:noProof/>
          <w:webHidden/>
        </w:rPr>
        <w:t>xi</w:t>
      </w:r>
      <w:r>
        <w:rPr>
          <w:b w:val="false"/>
          <w:bCs/>
          <w:noProof/>
          <w:webHidden/>
        </w:rPr>
        <w:fldChar w:fldCharType="end"/>
      </w:r>
      <w:r>
        <w:rPr/>
        <w:fldChar w:fldCharType="end"/>
      </w:r>
    </w:p>
    <w:p>
      <w:pPr>
        <w:pStyle w:val="style19"/>
        <w:tabs>
          <w:tab w:val="right" w:leader="dot" w:pos="8210"/>
        </w:tabs>
        <w:spacing w:lineRule="auto" w:line="480"/>
        <w:jc w:val="both"/>
        <w:rPr>
          <w:rFonts w:ascii="Calibri" w:cs="宋体" w:eastAsia="宋体" w:hAnsi="Calibri"/>
          <w:b w:val="false"/>
          <w:bCs/>
          <w:noProof/>
          <w:sz w:val="22"/>
          <w:lang w:val="en-US"/>
        </w:rPr>
      </w:pPr>
      <w:r>
        <w:rPr/>
        <w:fldChar w:fldCharType="begin"/>
      </w:r>
      <w:r>
        <w:instrText xml:space="preserve"> HYPERLINK \l "_Toc178076707" </w:instrText>
      </w:r>
      <w:r>
        <w:rPr/>
        <w:fldChar w:fldCharType="separate"/>
      </w:r>
      <w:r>
        <w:rPr>
          <w:rStyle w:val="style85"/>
          <w:b w:val="false"/>
          <w:bCs/>
          <w:noProof/>
        </w:rPr>
        <w:t>LIST OF APPENDICES</w:t>
      </w:r>
      <w:r>
        <w:rPr>
          <w:b w:val="false"/>
          <w:bCs/>
          <w:noProof/>
          <w:webHidden/>
        </w:rPr>
        <w:tab/>
      </w:r>
      <w:r>
        <w:rPr>
          <w:b w:val="false"/>
          <w:bCs/>
          <w:noProof/>
          <w:webHidden/>
        </w:rPr>
        <w:fldChar w:fldCharType="begin"/>
      </w:r>
      <w:r>
        <w:rPr>
          <w:b w:val="false"/>
          <w:bCs/>
          <w:noProof/>
          <w:webHidden/>
        </w:rPr>
        <w:instrText xml:space="preserve"> PAGEREF _Toc178076707 \h </w:instrText>
      </w:r>
      <w:r>
        <w:rPr>
          <w:b w:val="false"/>
          <w:bCs/>
          <w:noProof/>
          <w:webHidden/>
        </w:rPr>
        <w:fldChar w:fldCharType="separate"/>
      </w:r>
      <w:r>
        <w:rPr>
          <w:b w:val="false"/>
          <w:bCs/>
          <w:noProof/>
          <w:webHidden/>
        </w:rPr>
        <w:t>xii</w:t>
      </w:r>
      <w:r>
        <w:rPr>
          <w:b w:val="false"/>
          <w:bCs/>
          <w:noProof/>
          <w:webHidden/>
        </w:rPr>
        <w:fldChar w:fldCharType="end"/>
      </w:r>
      <w:r>
        <w:rPr/>
        <w:fldChar w:fldCharType="end"/>
      </w:r>
    </w:p>
    <w:p>
      <w:pPr>
        <w:pStyle w:val="style19"/>
        <w:tabs>
          <w:tab w:val="right" w:leader="dot" w:pos="8210"/>
        </w:tabs>
        <w:spacing w:lineRule="auto" w:line="480"/>
        <w:jc w:val="both"/>
        <w:rPr>
          <w:rFonts w:ascii="Calibri" w:cs="宋体" w:eastAsia="宋体" w:hAnsi="Calibri"/>
          <w:b w:val="false"/>
          <w:bCs/>
          <w:noProof/>
          <w:sz w:val="22"/>
          <w:lang w:val="en-US"/>
        </w:rPr>
      </w:pPr>
      <w:r>
        <w:rPr/>
        <w:fldChar w:fldCharType="begin"/>
      </w:r>
      <w:r>
        <w:instrText xml:space="preserve"> HYPERLINK \l "_Toc178076708" </w:instrText>
      </w:r>
      <w:r>
        <w:rPr/>
        <w:fldChar w:fldCharType="separate"/>
      </w:r>
      <w:r>
        <w:rPr>
          <w:rStyle w:val="style85"/>
          <w:b w:val="false"/>
          <w:bCs/>
          <w:noProof/>
        </w:rPr>
        <w:t>LIST OF ABBREVIATIONS AND ACRONYMS</w:t>
      </w:r>
      <w:r>
        <w:rPr>
          <w:b w:val="false"/>
          <w:bCs/>
          <w:noProof/>
          <w:webHidden/>
        </w:rPr>
        <w:tab/>
      </w:r>
      <w:r>
        <w:rPr>
          <w:b w:val="false"/>
          <w:bCs/>
          <w:noProof/>
          <w:webHidden/>
        </w:rPr>
        <w:fldChar w:fldCharType="begin"/>
      </w:r>
      <w:r>
        <w:rPr>
          <w:b w:val="false"/>
          <w:bCs/>
          <w:noProof/>
          <w:webHidden/>
        </w:rPr>
        <w:instrText xml:space="preserve"> PAGEREF _Toc178076708 \h </w:instrText>
      </w:r>
      <w:r>
        <w:rPr>
          <w:b w:val="false"/>
          <w:bCs/>
          <w:noProof/>
          <w:webHidden/>
        </w:rPr>
        <w:fldChar w:fldCharType="separate"/>
      </w:r>
      <w:r>
        <w:rPr>
          <w:b w:val="false"/>
          <w:bCs/>
          <w:noProof/>
          <w:webHidden/>
        </w:rPr>
        <w:t>xiii</w:t>
      </w:r>
      <w:r>
        <w:rPr>
          <w:b w:val="false"/>
          <w:bCs/>
          <w:noProof/>
          <w:webHidden/>
        </w:rPr>
        <w:fldChar w:fldCharType="end"/>
      </w:r>
      <w:r>
        <w:rPr/>
        <w:fldChar w:fldCharType="end"/>
      </w:r>
    </w:p>
    <w:p>
      <w:pPr>
        <w:pStyle w:val="style19"/>
        <w:tabs>
          <w:tab w:val="right" w:leader="dot" w:pos="8210"/>
        </w:tabs>
        <w:spacing w:lineRule="auto" w:line="480"/>
        <w:jc w:val="both"/>
        <w:rPr>
          <w:rFonts w:ascii="Calibri" w:cs="宋体" w:eastAsia="宋体" w:hAnsi="Calibri"/>
          <w:b w:val="false"/>
          <w:bCs/>
          <w:noProof/>
          <w:sz w:val="22"/>
          <w:lang w:val="en-US"/>
        </w:rPr>
      </w:pPr>
      <w:r>
        <w:rPr/>
        <w:fldChar w:fldCharType="begin"/>
      </w:r>
      <w:r>
        <w:instrText xml:space="preserve"> HYPERLINK \l "_Toc178076709" </w:instrText>
      </w:r>
      <w:r>
        <w:rPr/>
        <w:fldChar w:fldCharType="separate"/>
      </w:r>
      <w:r>
        <w:rPr>
          <w:rStyle w:val="style85"/>
          <w:b w:val="false"/>
          <w:bCs/>
          <w:noProof/>
        </w:rPr>
        <w:t>DEFINITIONS OF KEY TERMS</w:t>
      </w:r>
      <w:r>
        <w:rPr>
          <w:b w:val="false"/>
          <w:bCs/>
          <w:noProof/>
          <w:webHidden/>
        </w:rPr>
        <w:tab/>
      </w:r>
      <w:r>
        <w:rPr>
          <w:b w:val="false"/>
          <w:bCs/>
          <w:noProof/>
          <w:webHidden/>
        </w:rPr>
        <w:fldChar w:fldCharType="begin"/>
      </w:r>
      <w:r>
        <w:rPr>
          <w:b w:val="false"/>
          <w:bCs/>
          <w:noProof/>
          <w:webHidden/>
        </w:rPr>
        <w:instrText xml:space="preserve"> PAGEREF _Toc178076709 \h </w:instrText>
      </w:r>
      <w:r>
        <w:rPr>
          <w:b w:val="false"/>
          <w:bCs/>
          <w:noProof/>
          <w:webHidden/>
        </w:rPr>
        <w:fldChar w:fldCharType="separate"/>
      </w:r>
      <w:r>
        <w:rPr>
          <w:b w:val="false"/>
          <w:bCs/>
          <w:noProof/>
          <w:webHidden/>
        </w:rPr>
        <w:t>xiv</w:t>
      </w:r>
      <w:r>
        <w:rPr>
          <w:b w:val="false"/>
          <w:bCs/>
          <w:noProof/>
          <w:webHidden/>
        </w:rPr>
        <w:fldChar w:fldCharType="end"/>
      </w:r>
      <w:r>
        <w:rPr/>
        <w:fldChar w:fldCharType="end"/>
      </w:r>
    </w:p>
    <w:p>
      <w:pPr>
        <w:pStyle w:val="style20"/>
        <w:tabs>
          <w:tab w:val="right" w:leader="dot" w:pos="8210"/>
        </w:tabs>
        <w:spacing w:lineRule="auto" w:line="480"/>
        <w:ind w:left="0"/>
        <w:jc w:val="both"/>
        <w:rPr>
          <w:rFonts w:ascii="Calibri" w:cs="宋体" w:eastAsia="宋体" w:hAnsi="Calibri"/>
          <w:bCs/>
          <w:noProof/>
        </w:rPr>
      </w:pPr>
      <w:r>
        <w:rPr/>
        <w:fldChar w:fldCharType="begin"/>
      </w:r>
      <w:r>
        <w:instrText xml:space="preserve"> HYPERLINK \l "_Toc178076710" </w:instrText>
      </w:r>
      <w:r>
        <w:rPr/>
        <w:fldChar w:fldCharType="separate"/>
      </w:r>
      <w:r>
        <w:rPr>
          <w:rStyle w:val="style85"/>
          <w:rFonts w:ascii="Times New Roman" w:cs="Times New Roman" w:hAnsi="Times New Roman"/>
          <w:bCs/>
          <w:noProof/>
        </w:rPr>
        <w:t>1.1 Background of the Problem</w:t>
      </w:r>
      <w:r>
        <w:rPr>
          <w:bCs/>
          <w:noProof/>
          <w:webHidden/>
        </w:rPr>
        <w:tab/>
      </w:r>
      <w:r>
        <w:rPr>
          <w:bCs/>
          <w:noProof/>
          <w:webHidden/>
        </w:rPr>
        <w:fldChar w:fldCharType="begin"/>
      </w:r>
      <w:r>
        <w:rPr>
          <w:bCs/>
          <w:noProof/>
          <w:webHidden/>
        </w:rPr>
        <w:instrText xml:space="preserve"> PAGEREF _Toc178076710 \h </w:instrText>
      </w:r>
      <w:r>
        <w:rPr>
          <w:bCs/>
          <w:noProof/>
          <w:webHidden/>
        </w:rPr>
        <w:fldChar w:fldCharType="separate"/>
      </w:r>
      <w:r>
        <w:rPr>
          <w:bCs/>
          <w:noProof/>
          <w:webHidden/>
        </w:rPr>
        <w:t>1</w:t>
      </w:r>
      <w:r>
        <w:rPr>
          <w:bCs/>
          <w:noProof/>
          <w:webHidden/>
        </w:rPr>
        <w:fldChar w:fldCharType="end"/>
      </w:r>
      <w:r>
        <w:rPr/>
        <w:fldChar w:fldCharType="end"/>
      </w:r>
    </w:p>
    <w:p>
      <w:pPr>
        <w:pStyle w:val="style20"/>
        <w:tabs>
          <w:tab w:val="right" w:leader="dot" w:pos="8210"/>
        </w:tabs>
        <w:spacing w:lineRule="auto" w:line="480"/>
        <w:ind w:left="0"/>
        <w:jc w:val="both"/>
        <w:rPr>
          <w:rFonts w:ascii="Calibri" w:cs="宋体" w:eastAsia="宋体" w:hAnsi="Calibri"/>
          <w:bCs/>
          <w:noProof/>
        </w:rPr>
      </w:pPr>
      <w:r>
        <w:rPr/>
        <w:fldChar w:fldCharType="begin"/>
      </w:r>
      <w:r>
        <w:instrText xml:space="preserve"> HYPERLINK \l "_Toc178076711" </w:instrText>
      </w:r>
      <w:r>
        <w:rPr/>
        <w:fldChar w:fldCharType="separate"/>
      </w:r>
      <w:r>
        <w:rPr>
          <w:rStyle w:val="style85"/>
          <w:rFonts w:ascii="Times New Roman" w:cs="Times New Roman" w:hAnsi="Times New Roman"/>
          <w:bCs/>
          <w:noProof/>
        </w:rPr>
        <w:t>1.2 Statement of the Problem</w:t>
      </w:r>
      <w:r>
        <w:rPr>
          <w:bCs/>
          <w:noProof/>
          <w:webHidden/>
        </w:rPr>
        <w:tab/>
      </w:r>
      <w:r>
        <w:rPr>
          <w:bCs/>
          <w:noProof/>
          <w:webHidden/>
        </w:rPr>
        <w:fldChar w:fldCharType="begin"/>
      </w:r>
      <w:r>
        <w:rPr>
          <w:bCs/>
          <w:noProof/>
          <w:webHidden/>
        </w:rPr>
        <w:instrText xml:space="preserve"> PAGEREF _Toc178076711 \h </w:instrText>
      </w:r>
      <w:r>
        <w:rPr>
          <w:bCs/>
          <w:noProof/>
          <w:webHidden/>
        </w:rPr>
        <w:fldChar w:fldCharType="separate"/>
      </w:r>
      <w:r>
        <w:rPr>
          <w:bCs/>
          <w:noProof/>
          <w:webHidden/>
        </w:rPr>
        <w:t>3</w:t>
      </w:r>
      <w:r>
        <w:rPr>
          <w:bCs/>
          <w:noProof/>
          <w:webHidden/>
        </w:rPr>
        <w:fldChar w:fldCharType="end"/>
      </w:r>
      <w:r>
        <w:rPr/>
        <w:fldChar w:fldCharType="end"/>
      </w:r>
    </w:p>
    <w:p>
      <w:pPr>
        <w:pStyle w:val="style20"/>
        <w:tabs>
          <w:tab w:val="right" w:leader="dot" w:pos="8210"/>
        </w:tabs>
        <w:spacing w:lineRule="auto" w:line="480"/>
        <w:ind w:left="0"/>
        <w:jc w:val="both"/>
        <w:rPr>
          <w:rFonts w:ascii="Calibri" w:cs="宋体" w:eastAsia="宋体" w:hAnsi="Calibri"/>
          <w:bCs/>
          <w:noProof/>
        </w:rPr>
      </w:pPr>
      <w:r>
        <w:rPr/>
        <w:fldChar w:fldCharType="begin"/>
      </w:r>
      <w:r>
        <w:instrText xml:space="preserve"> HYPERLINK \l "_Toc178076712" </w:instrText>
      </w:r>
      <w:r>
        <w:rPr/>
        <w:fldChar w:fldCharType="separate"/>
      </w:r>
      <w:r>
        <w:rPr>
          <w:rStyle w:val="style85"/>
          <w:rFonts w:ascii="Times New Roman" w:cs="Times New Roman" w:hAnsi="Times New Roman"/>
          <w:bCs/>
          <w:noProof/>
        </w:rPr>
        <w:t>1.4 Objectives of the Study</w:t>
      </w:r>
      <w:r>
        <w:rPr>
          <w:bCs/>
          <w:noProof/>
          <w:webHidden/>
        </w:rPr>
        <w:tab/>
      </w:r>
      <w:r>
        <w:rPr>
          <w:bCs/>
          <w:noProof/>
          <w:webHidden/>
        </w:rPr>
        <w:fldChar w:fldCharType="begin"/>
      </w:r>
      <w:r>
        <w:rPr>
          <w:bCs/>
          <w:noProof/>
          <w:webHidden/>
        </w:rPr>
        <w:instrText xml:space="preserve"> PAGEREF _Toc178076712 \h </w:instrText>
      </w:r>
      <w:r>
        <w:rPr>
          <w:bCs/>
          <w:noProof/>
          <w:webHidden/>
        </w:rPr>
        <w:fldChar w:fldCharType="separate"/>
      </w:r>
      <w:r>
        <w:rPr>
          <w:bCs/>
          <w:noProof/>
          <w:webHidden/>
        </w:rPr>
        <w:t>5</w:t>
      </w:r>
      <w:r>
        <w:rPr>
          <w:bCs/>
          <w:noProof/>
          <w:webHidden/>
        </w:rPr>
        <w:fldChar w:fldCharType="end"/>
      </w:r>
      <w:r>
        <w:rPr/>
        <w:fldChar w:fldCharType="end"/>
      </w:r>
    </w:p>
    <w:p>
      <w:pPr>
        <w:pStyle w:val="style20"/>
        <w:tabs>
          <w:tab w:val="right" w:leader="dot" w:pos="8210"/>
        </w:tabs>
        <w:spacing w:lineRule="auto" w:line="480"/>
        <w:ind w:left="0"/>
        <w:jc w:val="both"/>
        <w:rPr>
          <w:rFonts w:ascii="Calibri" w:cs="宋体" w:eastAsia="宋体" w:hAnsi="Calibri"/>
          <w:bCs/>
          <w:noProof/>
        </w:rPr>
      </w:pPr>
      <w:r>
        <w:rPr/>
        <w:fldChar w:fldCharType="begin"/>
      </w:r>
      <w:r>
        <w:instrText xml:space="preserve"> HYPERLINK \l "_Toc178076713" </w:instrText>
      </w:r>
      <w:r>
        <w:rPr/>
        <w:fldChar w:fldCharType="separate"/>
      </w:r>
      <w:r>
        <w:rPr>
          <w:rStyle w:val="style85"/>
          <w:rFonts w:ascii="Times New Roman" w:cs="Times New Roman" w:hAnsi="Times New Roman"/>
          <w:bCs/>
          <w:noProof/>
        </w:rPr>
        <w:t>1.4.2 Specific Objectives</w:t>
      </w:r>
      <w:r>
        <w:rPr>
          <w:bCs/>
          <w:noProof/>
          <w:webHidden/>
        </w:rPr>
        <w:tab/>
      </w:r>
      <w:r>
        <w:rPr>
          <w:bCs/>
          <w:noProof/>
          <w:webHidden/>
        </w:rPr>
        <w:fldChar w:fldCharType="begin"/>
      </w:r>
      <w:r>
        <w:rPr>
          <w:bCs/>
          <w:noProof/>
          <w:webHidden/>
        </w:rPr>
        <w:instrText xml:space="preserve"> PAGEREF _Toc178076713 \h </w:instrText>
      </w:r>
      <w:r>
        <w:rPr>
          <w:bCs/>
          <w:noProof/>
          <w:webHidden/>
        </w:rPr>
        <w:fldChar w:fldCharType="separate"/>
      </w:r>
      <w:r>
        <w:rPr>
          <w:bCs/>
          <w:noProof/>
          <w:webHidden/>
        </w:rPr>
        <w:t>5</w:t>
      </w:r>
      <w:r>
        <w:rPr>
          <w:bCs/>
          <w:noProof/>
          <w:webHidden/>
        </w:rPr>
        <w:fldChar w:fldCharType="end"/>
      </w:r>
      <w:r>
        <w:rPr/>
        <w:fldChar w:fldCharType="end"/>
      </w:r>
    </w:p>
    <w:p>
      <w:pPr>
        <w:pStyle w:val="style19"/>
        <w:tabs>
          <w:tab w:val="right" w:leader="dot" w:pos="8210"/>
        </w:tabs>
        <w:spacing w:lineRule="auto" w:line="480"/>
        <w:jc w:val="both"/>
        <w:rPr>
          <w:rFonts w:ascii="Calibri" w:cs="宋体" w:eastAsia="宋体" w:hAnsi="Calibri"/>
          <w:b w:val="false"/>
          <w:bCs/>
          <w:noProof/>
          <w:sz w:val="22"/>
          <w:lang w:val="en-US"/>
        </w:rPr>
      </w:pPr>
      <w:r>
        <w:rPr/>
        <w:fldChar w:fldCharType="begin"/>
      </w:r>
      <w:r>
        <w:instrText xml:space="preserve"> HYPERLINK \l "_Toc178076714" </w:instrText>
      </w:r>
      <w:r>
        <w:rPr/>
        <w:fldChar w:fldCharType="separate"/>
      </w:r>
      <w:r>
        <w:rPr>
          <w:rStyle w:val="style85"/>
          <w:b w:val="false"/>
          <w:bCs/>
          <w:noProof/>
        </w:rPr>
        <w:t>CHAPTER TWO</w:t>
      </w:r>
      <w:r>
        <w:rPr>
          <w:b w:val="false"/>
          <w:bCs/>
          <w:noProof/>
          <w:webHidden/>
        </w:rPr>
        <w:tab/>
      </w:r>
      <w:r>
        <w:rPr>
          <w:b w:val="false"/>
          <w:bCs/>
          <w:noProof/>
          <w:webHidden/>
        </w:rPr>
        <w:fldChar w:fldCharType="begin"/>
      </w:r>
      <w:r>
        <w:rPr>
          <w:b w:val="false"/>
          <w:bCs/>
          <w:noProof/>
          <w:webHidden/>
        </w:rPr>
        <w:instrText xml:space="preserve"> PAGEREF _Toc178076714 \h </w:instrText>
      </w:r>
      <w:r>
        <w:rPr>
          <w:b w:val="false"/>
          <w:bCs/>
          <w:noProof/>
          <w:webHidden/>
        </w:rPr>
        <w:fldChar w:fldCharType="separate"/>
      </w:r>
      <w:r>
        <w:rPr>
          <w:b w:val="false"/>
          <w:bCs/>
          <w:noProof/>
          <w:webHidden/>
        </w:rPr>
        <w:t>7</w:t>
      </w:r>
      <w:r>
        <w:rPr>
          <w:b w:val="false"/>
          <w:bCs/>
          <w:noProof/>
          <w:webHidden/>
        </w:rPr>
        <w:fldChar w:fldCharType="end"/>
      </w:r>
      <w:r>
        <w:rPr/>
        <w:fldChar w:fldCharType="end"/>
      </w:r>
    </w:p>
    <w:p>
      <w:pPr>
        <w:pStyle w:val="style19"/>
        <w:tabs>
          <w:tab w:val="right" w:leader="dot" w:pos="8210"/>
        </w:tabs>
        <w:spacing w:lineRule="auto" w:line="480"/>
        <w:jc w:val="both"/>
        <w:rPr>
          <w:rFonts w:ascii="Calibri" w:cs="宋体" w:eastAsia="宋体" w:hAnsi="Calibri"/>
          <w:b w:val="false"/>
          <w:bCs/>
          <w:noProof/>
          <w:sz w:val="22"/>
          <w:lang w:val="en-US"/>
        </w:rPr>
      </w:pPr>
      <w:r>
        <w:rPr/>
        <w:fldChar w:fldCharType="begin"/>
      </w:r>
      <w:r>
        <w:instrText xml:space="preserve"> HYPERLINK \l "_Toc178076715" </w:instrText>
      </w:r>
      <w:r>
        <w:rPr/>
        <w:fldChar w:fldCharType="separate"/>
      </w:r>
      <w:r>
        <w:rPr>
          <w:rStyle w:val="style85"/>
          <w:b w:val="false"/>
          <w:bCs/>
          <w:noProof/>
        </w:rPr>
        <w:t>LITERATURE REVIEW</w:t>
      </w:r>
      <w:r>
        <w:rPr>
          <w:b w:val="false"/>
          <w:bCs/>
          <w:noProof/>
          <w:webHidden/>
        </w:rPr>
        <w:tab/>
      </w:r>
      <w:r>
        <w:rPr>
          <w:b w:val="false"/>
          <w:bCs/>
          <w:noProof/>
          <w:webHidden/>
        </w:rPr>
        <w:fldChar w:fldCharType="begin"/>
      </w:r>
      <w:r>
        <w:rPr>
          <w:b w:val="false"/>
          <w:bCs/>
          <w:noProof/>
          <w:webHidden/>
        </w:rPr>
        <w:instrText xml:space="preserve"> PAGEREF _Toc178076715 \h </w:instrText>
      </w:r>
      <w:r>
        <w:rPr>
          <w:b w:val="false"/>
          <w:bCs/>
          <w:noProof/>
          <w:webHidden/>
        </w:rPr>
        <w:fldChar w:fldCharType="separate"/>
      </w:r>
      <w:r>
        <w:rPr>
          <w:b w:val="false"/>
          <w:bCs/>
          <w:noProof/>
          <w:webHidden/>
        </w:rPr>
        <w:t>7</w:t>
      </w:r>
      <w:r>
        <w:rPr>
          <w:b w:val="false"/>
          <w:bCs/>
          <w:noProof/>
          <w:webHidden/>
        </w:rPr>
        <w:fldChar w:fldCharType="end"/>
      </w:r>
      <w:r>
        <w:rPr/>
        <w:fldChar w:fldCharType="end"/>
      </w:r>
    </w:p>
    <w:p>
      <w:pPr>
        <w:pStyle w:val="style20"/>
        <w:tabs>
          <w:tab w:val="right" w:leader="dot" w:pos="8210"/>
        </w:tabs>
        <w:spacing w:lineRule="auto" w:line="480"/>
        <w:ind w:left="0"/>
        <w:jc w:val="both"/>
        <w:rPr>
          <w:rFonts w:ascii="Calibri" w:cs="宋体" w:eastAsia="宋体" w:hAnsi="Calibri"/>
          <w:bCs/>
          <w:noProof/>
        </w:rPr>
      </w:pPr>
      <w:r>
        <w:rPr/>
        <w:fldChar w:fldCharType="begin"/>
      </w:r>
      <w:r>
        <w:instrText xml:space="preserve"> HYPERLINK \l "_Toc178076716" </w:instrText>
      </w:r>
      <w:r>
        <w:rPr/>
        <w:fldChar w:fldCharType="separate"/>
      </w:r>
      <w:r>
        <w:rPr>
          <w:rStyle w:val="style85"/>
          <w:rFonts w:ascii="Times New Roman" w:cs="Times New Roman" w:hAnsi="Times New Roman"/>
          <w:bCs/>
          <w:noProof/>
        </w:rPr>
        <w:t>2.1 Theoretical Literature Review</w:t>
      </w:r>
      <w:r>
        <w:rPr>
          <w:bCs/>
          <w:noProof/>
          <w:webHidden/>
        </w:rPr>
        <w:tab/>
      </w:r>
      <w:r>
        <w:rPr>
          <w:bCs/>
          <w:noProof/>
          <w:webHidden/>
        </w:rPr>
        <w:fldChar w:fldCharType="begin"/>
      </w:r>
      <w:r>
        <w:rPr>
          <w:bCs/>
          <w:noProof/>
          <w:webHidden/>
        </w:rPr>
        <w:instrText xml:space="preserve"> PAGEREF _Toc178076716 \h </w:instrText>
      </w:r>
      <w:r>
        <w:rPr>
          <w:bCs/>
          <w:noProof/>
          <w:webHidden/>
        </w:rPr>
        <w:fldChar w:fldCharType="separate"/>
      </w:r>
      <w:r>
        <w:rPr>
          <w:bCs/>
          <w:noProof/>
          <w:webHidden/>
        </w:rPr>
        <w:t>7</w:t>
      </w:r>
      <w:r>
        <w:rPr>
          <w:bCs/>
          <w:noProof/>
          <w:webHidden/>
        </w:rPr>
        <w:fldChar w:fldCharType="end"/>
      </w:r>
      <w:r>
        <w:rPr/>
        <w:fldChar w:fldCharType="end"/>
      </w:r>
    </w:p>
    <w:p>
      <w:pPr>
        <w:pStyle w:val="style20"/>
        <w:tabs>
          <w:tab w:val="right" w:leader="dot" w:pos="8210"/>
        </w:tabs>
        <w:spacing w:lineRule="auto" w:line="480"/>
        <w:ind w:left="0"/>
        <w:jc w:val="both"/>
        <w:rPr>
          <w:rFonts w:ascii="Calibri" w:cs="宋体" w:eastAsia="宋体" w:hAnsi="Calibri"/>
          <w:bCs/>
          <w:noProof/>
        </w:rPr>
      </w:pPr>
      <w:r>
        <w:rPr/>
        <w:fldChar w:fldCharType="begin"/>
      </w:r>
      <w:r>
        <w:instrText xml:space="preserve"> HYPERLINK \l "_Toc178076717" </w:instrText>
      </w:r>
      <w:r>
        <w:rPr/>
        <w:fldChar w:fldCharType="separate"/>
      </w:r>
      <w:r>
        <w:rPr>
          <w:rStyle w:val="style85"/>
          <w:rFonts w:ascii="Times New Roman" w:cs="Times New Roman" w:eastAsia="Times New Roman" w:hAnsi="Times New Roman"/>
          <w:bCs/>
          <w:noProof/>
        </w:rPr>
        <w:t>2.3 Information Gap</w:t>
      </w:r>
      <w:r>
        <w:rPr>
          <w:bCs/>
          <w:noProof/>
          <w:webHidden/>
        </w:rPr>
        <w:tab/>
      </w:r>
      <w:r>
        <w:rPr>
          <w:bCs/>
          <w:noProof/>
          <w:webHidden/>
        </w:rPr>
        <w:fldChar w:fldCharType="begin"/>
      </w:r>
      <w:r>
        <w:rPr>
          <w:bCs/>
          <w:noProof/>
          <w:webHidden/>
        </w:rPr>
        <w:instrText xml:space="preserve"> PAGEREF _Toc178076717 \h </w:instrText>
      </w:r>
      <w:r>
        <w:rPr>
          <w:bCs/>
          <w:noProof/>
          <w:webHidden/>
        </w:rPr>
        <w:fldChar w:fldCharType="separate"/>
      </w:r>
      <w:r>
        <w:rPr>
          <w:bCs/>
          <w:noProof/>
          <w:webHidden/>
        </w:rPr>
        <w:t>10</w:t>
      </w:r>
      <w:r>
        <w:rPr>
          <w:bCs/>
          <w:noProof/>
          <w:webHidden/>
        </w:rPr>
        <w:fldChar w:fldCharType="end"/>
      </w:r>
      <w:r>
        <w:rPr/>
        <w:fldChar w:fldCharType="end"/>
      </w:r>
    </w:p>
    <w:p>
      <w:pPr>
        <w:pStyle w:val="style20"/>
        <w:tabs>
          <w:tab w:val="right" w:leader="dot" w:pos="8210"/>
        </w:tabs>
        <w:spacing w:lineRule="auto" w:line="480"/>
        <w:ind w:left="0"/>
        <w:jc w:val="both"/>
        <w:rPr>
          <w:rFonts w:ascii="Calibri" w:cs="宋体" w:eastAsia="宋体" w:hAnsi="Calibri"/>
          <w:bCs/>
          <w:noProof/>
        </w:rPr>
      </w:pPr>
      <w:r>
        <w:rPr/>
        <w:fldChar w:fldCharType="begin"/>
      </w:r>
      <w:r>
        <w:instrText xml:space="preserve"> HYPERLINK \l "_Toc178076718" </w:instrText>
      </w:r>
      <w:r>
        <w:rPr/>
        <w:fldChar w:fldCharType="separate"/>
      </w:r>
      <w:r>
        <w:rPr>
          <w:rStyle w:val="style85"/>
          <w:rFonts w:ascii="Times New Roman" w:cs="Times New Roman" w:hAnsi="Times New Roman"/>
          <w:bCs/>
          <w:noProof/>
        </w:rPr>
        <w:t>2.4 Conceptual Framework</w:t>
      </w:r>
      <w:r>
        <w:rPr>
          <w:bCs/>
          <w:noProof/>
          <w:webHidden/>
        </w:rPr>
        <w:tab/>
      </w:r>
      <w:r>
        <w:rPr>
          <w:bCs/>
          <w:noProof/>
          <w:webHidden/>
        </w:rPr>
        <w:fldChar w:fldCharType="begin"/>
      </w:r>
      <w:r>
        <w:rPr>
          <w:bCs/>
          <w:noProof/>
          <w:webHidden/>
        </w:rPr>
        <w:instrText xml:space="preserve"> PAGEREF _Toc178076718 \h </w:instrText>
      </w:r>
      <w:r>
        <w:rPr>
          <w:bCs/>
          <w:noProof/>
          <w:webHidden/>
        </w:rPr>
        <w:fldChar w:fldCharType="separate"/>
      </w:r>
      <w:r>
        <w:rPr>
          <w:bCs/>
          <w:noProof/>
          <w:webHidden/>
        </w:rPr>
        <w:t>11</w:t>
      </w:r>
      <w:r>
        <w:rPr>
          <w:bCs/>
          <w:noProof/>
          <w:webHidden/>
        </w:rPr>
        <w:fldChar w:fldCharType="end"/>
      </w:r>
      <w:r>
        <w:rPr/>
        <w:fldChar w:fldCharType="end"/>
      </w:r>
    </w:p>
    <w:p>
      <w:pPr>
        <w:pStyle w:val="style19"/>
        <w:tabs>
          <w:tab w:val="right" w:leader="dot" w:pos="8210"/>
        </w:tabs>
        <w:spacing w:lineRule="auto" w:line="480"/>
        <w:jc w:val="both"/>
        <w:rPr>
          <w:rFonts w:ascii="Calibri" w:cs="宋体" w:eastAsia="宋体" w:hAnsi="Calibri"/>
          <w:b w:val="false"/>
          <w:bCs/>
          <w:noProof/>
          <w:sz w:val="22"/>
          <w:lang w:val="en-US"/>
        </w:rPr>
      </w:pPr>
      <w:r>
        <w:rPr/>
        <w:fldChar w:fldCharType="begin"/>
      </w:r>
      <w:r>
        <w:instrText xml:space="preserve"> HYPERLINK \l "_Toc178076719" </w:instrText>
      </w:r>
      <w:r>
        <w:rPr/>
        <w:fldChar w:fldCharType="separate"/>
      </w:r>
      <w:r>
        <w:rPr>
          <w:rStyle w:val="style85"/>
          <w:b w:val="false"/>
          <w:bCs/>
          <w:noProof/>
        </w:rPr>
        <w:t>CHAPTER THREE</w:t>
      </w:r>
      <w:r>
        <w:rPr>
          <w:b w:val="false"/>
          <w:bCs/>
          <w:noProof/>
          <w:webHidden/>
        </w:rPr>
        <w:tab/>
      </w:r>
      <w:r>
        <w:rPr>
          <w:b w:val="false"/>
          <w:bCs/>
          <w:noProof/>
          <w:webHidden/>
        </w:rPr>
        <w:fldChar w:fldCharType="begin"/>
      </w:r>
      <w:r>
        <w:rPr>
          <w:b w:val="false"/>
          <w:bCs/>
          <w:noProof/>
          <w:webHidden/>
        </w:rPr>
        <w:instrText xml:space="preserve"> PAGEREF _Toc178076719 \h </w:instrText>
      </w:r>
      <w:r>
        <w:rPr>
          <w:b w:val="false"/>
          <w:bCs/>
          <w:noProof/>
          <w:webHidden/>
        </w:rPr>
        <w:fldChar w:fldCharType="separate"/>
      </w:r>
      <w:r>
        <w:rPr>
          <w:b w:val="false"/>
          <w:bCs/>
          <w:noProof/>
          <w:webHidden/>
        </w:rPr>
        <w:t>13</w:t>
      </w:r>
      <w:r>
        <w:rPr>
          <w:b w:val="false"/>
          <w:bCs/>
          <w:noProof/>
          <w:webHidden/>
        </w:rPr>
        <w:fldChar w:fldCharType="end"/>
      </w:r>
      <w:r>
        <w:rPr/>
        <w:fldChar w:fldCharType="end"/>
      </w:r>
    </w:p>
    <w:p>
      <w:pPr>
        <w:pStyle w:val="style19"/>
        <w:tabs>
          <w:tab w:val="right" w:leader="dot" w:pos="8210"/>
        </w:tabs>
        <w:spacing w:lineRule="auto" w:line="480"/>
        <w:jc w:val="both"/>
        <w:rPr>
          <w:rFonts w:ascii="Calibri" w:cs="宋体" w:eastAsia="宋体" w:hAnsi="Calibri"/>
          <w:b w:val="false"/>
          <w:bCs/>
          <w:noProof/>
          <w:sz w:val="22"/>
          <w:lang w:val="en-US"/>
        </w:rPr>
      </w:pPr>
      <w:r>
        <w:rPr/>
        <w:fldChar w:fldCharType="begin"/>
      </w:r>
      <w:r>
        <w:instrText xml:space="preserve"> HYPERLINK \l "_Toc178076720" </w:instrText>
      </w:r>
      <w:r>
        <w:rPr/>
        <w:fldChar w:fldCharType="separate"/>
      </w:r>
      <w:r>
        <w:rPr>
          <w:rStyle w:val="style85"/>
          <w:b w:val="false"/>
          <w:bCs/>
          <w:noProof/>
        </w:rPr>
        <w:t>RESEARCH</w:t>
      </w:r>
      <w:r>
        <w:rPr>
          <w:rStyle w:val="style85"/>
          <w:b w:val="false"/>
          <w:bCs/>
          <w:noProof/>
          <w:spacing w:val="-13"/>
        </w:rPr>
        <w:t xml:space="preserve"> </w:t>
      </w:r>
      <w:r>
        <w:rPr>
          <w:rStyle w:val="style85"/>
          <w:b w:val="false"/>
          <w:bCs/>
          <w:noProof/>
        </w:rPr>
        <w:t>METHODOLOGY</w:t>
      </w:r>
      <w:r>
        <w:rPr>
          <w:b w:val="false"/>
          <w:bCs/>
          <w:noProof/>
          <w:webHidden/>
        </w:rPr>
        <w:tab/>
      </w:r>
      <w:r>
        <w:rPr>
          <w:b w:val="false"/>
          <w:bCs/>
          <w:noProof/>
          <w:webHidden/>
        </w:rPr>
        <w:fldChar w:fldCharType="begin"/>
      </w:r>
      <w:r>
        <w:rPr>
          <w:b w:val="false"/>
          <w:bCs/>
          <w:noProof/>
          <w:webHidden/>
        </w:rPr>
        <w:instrText xml:space="preserve"> PAGEREF _Toc178076720 \h </w:instrText>
      </w:r>
      <w:r>
        <w:rPr>
          <w:b w:val="false"/>
          <w:bCs/>
          <w:noProof/>
          <w:webHidden/>
        </w:rPr>
        <w:fldChar w:fldCharType="separate"/>
      </w:r>
      <w:r>
        <w:rPr>
          <w:b w:val="false"/>
          <w:bCs/>
          <w:noProof/>
          <w:webHidden/>
        </w:rPr>
        <w:t>13</w:t>
      </w:r>
      <w:r>
        <w:rPr>
          <w:b w:val="false"/>
          <w:bCs/>
          <w:noProof/>
          <w:webHidden/>
        </w:rPr>
        <w:fldChar w:fldCharType="end"/>
      </w:r>
      <w:r>
        <w:rPr/>
        <w:fldChar w:fldCharType="end"/>
      </w:r>
    </w:p>
    <w:p>
      <w:pPr>
        <w:pStyle w:val="style20"/>
        <w:tabs>
          <w:tab w:val="right" w:leader="dot" w:pos="8210"/>
        </w:tabs>
        <w:spacing w:lineRule="auto" w:line="480"/>
        <w:ind w:left="0"/>
        <w:jc w:val="both"/>
        <w:rPr>
          <w:rFonts w:ascii="Calibri" w:cs="宋体" w:eastAsia="宋体" w:hAnsi="Calibri"/>
          <w:bCs/>
          <w:noProof/>
        </w:rPr>
      </w:pPr>
      <w:r>
        <w:rPr/>
        <w:fldChar w:fldCharType="begin"/>
      </w:r>
      <w:r>
        <w:instrText xml:space="preserve"> HYPERLINK \l "_Toc178076721" </w:instrText>
      </w:r>
      <w:r>
        <w:rPr/>
        <w:fldChar w:fldCharType="separate"/>
      </w:r>
      <w:r>
        <w:rPr>
          <w:rStyle w:val="style85"/>
          <w:rFonts w:ascii="Times New Roman" w:cs="Times New Roman" w:hAnsi="Times New Roman"/>
          <w:bCs/>
          <w:noProof/>
        </w:rPr>
        <w:t>3.2 Research Design</w:t>
      </w:r>
      <w:r>
        <w:rPr>
          <w:bCs/>
          <w:noProof/>
          <w:webHidden/>
        </w:rPr>
        <w:tab/>
      </w:r>
      <w:r>
        <w:rPr>
          <w:bCs/>
          <w:noProof/>
          <w:webHidden/>
        </w:rPr>
        <w:fldChar w:fldCharType="begin"/>
      </w:r>
      <w:r>
        <w:rPr>
          <w:bCs/>
          <w:noProof/>
          <w:webHidden/>
        </w:rPr>
        <w:instrText xml:space="preserve"> PAGEREF _Toc178076721 \h </w:instrText>
      </w:r>
      <w:r>
        <w:rPr>
          <w:bCs/>
          <w:noProof/>
          <w:webHidden/>
        </w:rPr>
        <w:fldChar w:fldCharType="separate"/>
      </w:r>
      <w:r>
        <w:rPr>
          <w:bCs/>
          <w:noProof/>
          <w:webHidden/>
        </w:rPr>
        <w:t>14</w:t>
      </w:r>
      <w:r>
        <w:rPr>
          <w:bCs/>
          <w:noProof/>
          <w:webHidden/>
        </w:rPr>
        <w:fldChar w:fldCharType="end"/>
      </w:r>
      <w:r>
        <w:rPr/>
        <w:fldChar w:fldCharType="end"/>
      </w:r>
    </w:p>
    <w:p>
      <w:pPr>
        <w:pStyle w:val="style20"/>
        <w:tabs>
          <w:tab w:val="right" w:leader="dot" w:pos="8210"/>
        </w:tabs>
        <w:spacing w:lineRule="auto" w:line="480"/>
        <w:ind w:left="0"/>
        <w:jc w:val="both"/>
        <w:rPr>
          <w:rFonts w:ascii="Calibri" w:cs="宋体" w:eastAsia="宋体" w:hAnsi="Calibri"/>
          <w:bCs/>
          <w:noProof/>
        </w:rPr>
      </w:pPr>
      <w:r>
        <w:rPr/>
        <w:fldChar w:fldCharType="begin"/>
      </w:r>
      <w:r>
        <w:instrText xml:space="preserve"> HYPERLINK \l "_Toc178076722" </w:instrText>
      </w:r>
      <w:r>
        <w:rPr/>
        <w:fldChar w:fldCharType="separate"/>
      </w:r>
      <w:r>
        <w:rPr>
          <w:rStyle w:val="style85"/>
          <w:rFonts w:ascii="Times New Roman" w:cs="Times New Roman" w:hAnsi="Times New Roman"/>
          <w:bCs/>
          <w:noProof/>
        </w:rPr>
        <w:t>3.3 Types of Data and Sources</w:t>
      </w:r>
      <w:r>
        <w:rPr>
          <w:bCs/>
          <w:noProof/>
          <w:webHidden/>
        </w:rPr>
        <w:tab/>
      </w:r>
      <w:r>
        <w:rPr>
          <w:bCs/>
          <w:noProof/>
          <w:webHidden/>
        </w:rPr>
        <w:fldChar w:fldCharType="begin"/>
      </w:r>
      <w:r>
        <w:rPr>
          <w:bCs/>
          <w:noProof/>
          <w:webHidden/>
        </w:rPr>
        <w:instrText xml:space="preserve"> PAGEREF _Toc178076722 \h </w:instrText>
      </w:r>
      <w:r>
        <w:rPr>
          <w:bCs/>
          <w:noProof/>
          <w:webHidden/>
        </w:rPr>
        <w:fldChar w:fldCharType="separate"/>
      </w:r>
      <w:r>
        <w:rPr>
          <w:bCs/>
          <w:noProof/>
          <w:webHidden/>
        </w:rPr>
        <w:t>15</w:t>
      </w:r>
      <w:r>
        <w:rPr>
          <w:bCs/>
          <w:noProof/>
          <w:webHidden/>
        </w:rPr>
        <w:fldChar w:fldCharType="end"/>
      </w:r>
      <w:r>
        <w:rPr/>
        <w:fldChar w:fldCharType="end"/>
      </w:r>
    </w:p>
    <w:p>
      <w:pPr>
        <w:pStyle w:val="style20"/>
        <w:tabs>
          <w:tab w:val="right" w:leader="dot" w:pos="8210"/>
        </w:tabs>
        <w:spacing w:lineRule="auto" w:line="480"/>
        <w:ind w:left="0"/>
        <w:jc w:val="both"/>
        <w:rPr>
          <w:rFonts w:ascii="Calibri" w:cs="宋体" w:eastAsia="宋体" w:hAnsi="Calibri"/>
          <w:bCs/>
          <w:noProof/>
        </w:rPr>
      </w:pPr>
      <w:r>
        <w:rPr/>
        <w:fldChar w:fldCharType="begin"/>
      </w:r>
      <w:r>
        <w:instrText xml:space="preserve"> HYPERLINK \l "_Toc178076723" </w:instrText>
      </w:r>
      <w:r>
        <w:rPr/>
        <w:fldChar w:fldCharType="separate"/>
      </w:r>
      <w:r>
        <w:rPr>
          <w:rStyle w:val="style85"/>
          <w:rFonts w:ascii="Times New Roman" w:cs="Times New Roman" w:hAnsi="Times New Roman"/>
          <w:bCs/>
          <w:noProof/>
        </w:rPr>
        <w:t>3.4 Data Collection Method and Tools</w:t>
      </w:r>
      <w:r>
        <w:rPr>
          <w:bCs/>
          <w:noProof/>
          <w:webHidden/>
        </w:rPr>
        <w:tab/>
      </w:r>
      <w:r>
        <w:rPr>
          <w:bCs/>
          <w:noProof/>
          <w:webHidden/>
        </w:rPr>
        <w:fldChar w:fldCharType="begin"/>
      </w:r>
      <w:r>
        <w:rPr>
          <w:bCs/>
          <w:noProof/>
          <w:webHidden/>
        </w:rPr>
        <w:instrText xml:space="preserve"> PAGEREF _Toc178076723 \h </w:instrText>
      </w:r>
      <w:r>
        <w:rPr>
          <w:bCs/>
          <w:noProof/>
          <w:webHidden/>
        </w:rPr>
        <w:fldChar w:fldCharType="separate"/>
      </w:r>
      <w:r>
        <w:rPr>
          <w:bCs/>
          <w:noProof/>
          <w:webHidden/>
        </w:rPr>
        <w:t>16</w:t>
      </w:r>
      <w:r>
        <w:rPr>
          <w:bCs/>
          <w:noProof/>
          <w:webHidden/>
        </w:rPr>
        <w:fldChar w:fldCharType="end"/>
      </w:r>
      <w:r>
        <w:rPr/>
        <w:fldChar w:fldCharType="end"/>
      </w:r>
    </w:p>
    <w:p>
      <w:pPr>
        <w:pStyle w:val="style20"/>
        <w:tabs>
          <w:tab w:val="right" w:leader="dot" w:pos="8210"/>
        </w:tabs>
        <w:spacing w:lineRule="auto" w:line="480"/>
        <w:ind w:left="0"/>
        <w:jc w:val="both"/>
        <w:rPr>
          <w:rFonts w:ascii="Calibri" w:cs="宋体" w:eastAsia="宋体" w:hAnsi="Calibri"/>
          <w:bCs/>
          <w:noProof/>
        </w:rPr>
      </w:pPr>
      <w:r>
        <w:rPr/>
        <w:fldChar w:fldCharType="begin"/>
      </w:r>
      <w:r>
        <w:instrText xml:space="preserve"> HYPERLINK \l "_Toc178076724" </w:instrText>
      </w:r>
      <w:r>
        <w:rPr/>
        <w:fldChar w:fldCharType="separate"/>
      </w:r>
      <w:r>
        <w:rPr>
          <w:rStyle w:val="style85"/>
          <w:rFonts w:ascii="Times New Roman" w:cs="Times New Roman" w:hAnsi="Times New Roman"/>
          <w:bCs/>
          <w:noProof/>
        </w:rPr>
        <w:t>3.5 Sampling</w:t>
      </w:r>
      <w:r>
        <w:rPr>
          <w:bCs/>
          <w:noProof/>
          <w:webHidden/>
        </w:rPr>
        <w:tab/>
      </w:r>
      <w:r>
        <w:rPr>
          <w:bCs/>
          <w:noProof/>
          <w:webHidden/>
        </w:rPr>
        <w:fldChar w:fldCharType="begin"/>
      </w:r>
      <w:r>
        <w:rPr>
          <w:bCs/>
          <w:noProof/>
          <w:webHidden/>
        </w:rPr>
        <w:instrText xml:space="preserve"> PAGEREF _Toc178076724 \h </w:instrText>
      </w:r>
      <w:r>
        <w:rPr>
          <w:bCs/>
          <w:noProof/>
          <w:webHidden/>
        </w:rPr>
        <w:fldChar w:fldCharType="separate"/>
      </w:r>
      <w:r>
        <w:rPr>
          <w:bCs/>
          <w:noProof/>
          <w:webHidden/>
        </w:rPr>
        <w:t>18</w:t>
      </w:r>
      <w:r>
        <w:rPr>
          <w:bCs/>
          <w:noProof/>
          <w:webHidden/>
        </w:rPr>
        <w:fldChar w:fldCharType="end"/>
      </w:r>
      <w:r>
        <w:rPr/>
        <w:fldChar w:fldCharType="end"/>
      </w:r>
    </w:p>
    <w:p>
      <w:pPr>
        <w:pStyle w:val="style20"/>
        <w:tabs>
          <w:tab w:val="right" w:leader="dot" w:pos="8210"/>
        </w:tabs>
        <w:spacing w:lineRule="auto" w:line="480"/>
        <w:ind w:left="0"/>
        <w:jc w:val="both"/>
        <w:rPr>
          <w:rFonts w:ascii="Calibri" w:cs="宋体" w:eastAsia="宋体" w:hAnsi="Calibri"/>
          <w:bCs/>
          <w:noProof/>
        </w:rPr>
      </w:pPr>
      <w:r>
        <w:rPr/>
        <w:fldChar w:fldCharType="begin"/>
      </w:r>
      <w:r>
        <w:instrText xml:space="preserve"> HYPERLINK \l "_Toc178076725" </w:instrText>
      </w:r>
      <w:r>
        <w:rPr/>
        <w:fldChar w:fldCharType="separate"/>
      </w:r>
      <w:r>
        <w:rPr>
          <w:rStyle w:val="style85"/>
          <w:rFonts w:ascii="Times New Roman" w:cs="Times New Roman" w:hAnsi="Times New Roman"/>
          <w:bCs/>
          <w:noProof/>
        </w:rPr>
        <w:t>3.5.1 Sampling frame</w:t>
      </w:r>
      <w:r>
        <w:rPr>
          <w:bCs/>
          <w:noProof/>
          <w:webHidden/>
        </w:rPr>
        <w:tab/>
      </w:r>
      <w:r>
        <w:rPr>
          <w:bCs/>
          <w:noProof/>
          <w:webHidden/>
        </w:rPr>
        <w:fldChar w:fldCharType="begin"/>
      </w:r>
      <w:r>
        <w:rPr>
          <w:bCs/>
          <w:noProof/>
          <w:webHidden/>
        </w:rPr>
        <w:instrText xml:space="preserve"> PAGEREF _Toc178076725 \h </w:instrText>
      </w:r>
      <w:r>
        <w:rPr>
          <w:bCs/>
          <w:noProof/>
          <w:webHidden/>
        </w:rPr>
        <w:fldChar w:fldCharType="separate"/>
      </w:r>
      <w:r>
        <w:rPr>
          <w:bCs/>
          <w:noProof/>
          <w:webHidden/>
        </w:rPr>
        <w:t>18</w:t>
      </w:r>
      <w:r>
        <w:rPr>
          <w:bCs/>
          <w:noProof/>
          <w:webHidden/>
        </w:rPr>
        <w:fldChar w:fldCharType="end"/>
      </w:r>
      <w:r>
        <w:rPr/>
        <w:fldChar w:fldCharType="end"/>
      </w:r>
    </w:p>
    <w:p>
      <w:pPr>
        <w:pStyle w:val="style20"/>
        <w:tabs>
          <w:tab w:val="right" w:leader="dot" w:pos="8210"/>
        </w:tabs>
        <w:spacing w:lineRule="auto" w:line="480"/>
        <w:ind w:left="0"/>
        <w:jc w:val="both"/>
        <w:rPr>
          <w:rFonts w:ascii="Calibri" w:cs="宋体" w:eastAsia="宋体" w:hAnsi="Calibri"/>
          <w:bCs/>
          <w:noProof/>
        </w:rPr>
      </w:pPr>
      <w:r>
        <w:rPr/>
        <w:fldChar w:fldCharType="begin"/>
      </w:r>
      <w:r>
        <w:instrText xml:space="preserve"> HYPERLINK \l "_Toc178076726" </w:instrText>
      </w:r>
      <w:r>
        <w:rPr/>
        <w:fldChar w:fldCharType="separate"/>
      </w:r>
      <w:r>
        <w:rPr>
          <w:rStyle w:val="style85"/>
          <w:rFonts w:ascii="Times New Roman" w:cs="Times New Roman" w:hAnsi="Times New Roman"/>
          <w:bCs/>
          <w:noProof/>
        </w:rPr>
        <w:t>3.5.3 Sample size</w:t>
      </w:r>
      <w:r>
        <w:rPr>
          <w:bCs/>
          <w:noProof/>
          <w:webHidden/>
        </w:rPr>
        <w:tab/>
      </w:r>
      <w:r>
        <w:rPr>
          <w:bCs/>
          <w:noProof/>
          <w:webHidden/>
        </w:rPr>
        <w:fldChar w:fldCharType="begin"/>
      </w:r>
      <w:r>
        <w:rPr>
          <w:bCs/>
          <w:noProof/>
          <w:webHidden/>
        </w:rPr>
        <w:instrText xml:space="preserve"> PAGEREF _Toc178076726 \h </w:instrText>
      </w:r>
      <w:r>
        <w:rPr>
          <w:bCs/>
          <w:noProof/>
          <w:webHidden/>
        </w:rPr>
        <w:fldChar w:fldCharType="separate"/>
      </w:r>
      <w:r>
        <w:rPr>
          <w:bCs/>
          <w:noProof/>
          <w:webHidden/>
        </w:rPr>
        <w:t>19</w:t>
      </w:r>
      <w:r>
        <w:rPr>
          <w:bCs/>
          <w:noProof/>
          <w:webHidden/>
        </w:rPr>
        <w:fldChar w:fldCharType="end"/>
      </w:r>
      <w:r>
        <w:rPr/>
        <w:fldChar w:fldCharType="end"/>
      </w:r>
    </w:p>
    <w:p>
      <w:pPr>
        <w:pStyle w:val="style20"/>
        <w:tabs>
          <w:tab w:val="right" w:leader="dot" w:pos="8210"/>
        </w:tabs>
        <w:spacing w:lineRule="auto" w:line="480"/>
        <w:ind w:left="0"/>
        <w:jc w:val="both"/>
        <w:rPr>
          <w:rFonts w:ascii="Calibri" w:cs="宋体" w:eastAsia="宋体" w:hAnsi="Calibri"/>
          <w:bCs/>
          <w:noProof/>
        </w:rPr>
      </w:pPr>
      <w:r>
        <w:rPr/>
        <w:fldChar w:fldCharType="begin"/>
      </w:r>
      <w:r>
        <w:instrText xml:space="preserve"> HYPERLINK \l "_Toc178076727" </w:instrText>
      </w:r>
      <w:r>
        <w:rPr/>
        <w:fldChar w:fldCharType="separate"/>
      </w:r>
      <w:r>
        <w:rPr>
          <w:rStyle w:val="style85"/>
          <w:rFonts w:ascii="Times New Roman" w:cs="Times New Roman" w:hAnsi="Times New Roman"/>
          <w:bCs/>
          <w:noProof/>
        </w:rPr>
        <w:t>3.5.4 Sampling procedures</w:t>
      </w:r>
      <w:r>
        <w:rPr>
          <w:bCs/>
          <w:noProof/>
          <w:webHidden/>
        </w:rPr>
        <w:tab/>
      </w:r>
      <w:r>
        <w:rPr>
          <w:bCs/>
          <w:noProof/>
          <w:webHidden/>
        </w:rPr>
        <w:fldChar w:fldCharType="begin"/>
      </w:r>
      <w:r>
        <w:rPr>
          <w:bCs/>
          <w:noProof/>
          <w:webHidden/>
        </w:rPr>
        <w:instrText xml:space="preserve"> PAGEREF _Toc178076727 \h </w:instrText>
      </w:r>
      <w:r>
        <w:rPr>
          <w:bCs/>
          <w:noProof/>
          <w:webHidden/>
        </w:rPr>
        <w:fldChar w:fldCharType="separate"/>
      </w:r>
      <w:r>
        <w:rPr>
          <w:bCs/>
          <w:noProof/>
          <w:webHidden/>
        </w:rPr>
        <w:t>20</w:t>
      </w:r>
      <w:r>
        <w:rPr>
          <w:bCs/>
          <w:noProof/>
          <w:webHidden/>
        </w:rPr>
        <w:fldChar w:fldCharType="end"/>
      </w:r>
      <w:r>
        <w:rPr/>
        <w:fldChar w:fldCharType="end"/>
      </w:r>
    </w:p>
    <w:p>
      <w:pPr>
        <w:pStyle w:val="style20"/>
        <w:tabs>
          <w:tab w:val="right" w:leader="dot" w:pos="8210"/>
        </w:tabs>
        <w:spacing w:lineRule="auto" w:line="480"/>
        <w:ind w:left="0"/>
        <w:jc w:val="both"/>
        <w:rPr>
          <w:rFonts w:ascii="Calibri" w:cs="宋体" w:eastAsia="宋体" w:hAnsi="Calibri"/>
          <w:bCs/>
          <w:noProof/>
        </w:rPr>
      </w:pPr>
      <w:r>
        <w:rPr/>
        <w:fldChar w:fldCharType="begin"/>
      </w:r>
      <w:r>
        <w:instrText xml:space="preserve"> HYPERLINK \l "_Toc178076728" </w:instrText>
      </w:r>
      <w:r>
        <w:rPr/>
        <w:fldChar w:fldCharType="separate"/>
      </w:r>
      <w:r>
        <w:rPr>
          <w:rStyle w:val="style85"/>
          <w:rFonts w:ascii="Times New Roman" w:cs="Times New Roman" w:hAnsi="Times New Roman"/>
          <w:bCs/>
          <w:noProof/>
        </w:rPr>
        <w:t>3.6 Data Processing, Analysis and Presentation</w:t>
      </w:r>
      <w:r>
        <w:rPr>
          <w:bCs/>
          <w:noProof/>
          <w:webHidden/>
        </w:rPr>
        <w:tab/>
      </w:r>
      <w:r>
        <w:rPr>
          <w:bCs/>
          <w:noProof/>
          <w:webHidden/>
        </w:rPr>
        <w:fldChar w:fldCharType="begin"/>
      </w:r>
      <w:r>
        <w:rPr>
          <w:bCs/>
          <w:noProof/>
          <w:webHidden/>
        </w:rPr>
        <w:instrText xml:space="preserve"> PAGEREF _Toc178076728 \h </w:instrText>
      </w:r>
      <w:r>
        <w:rPr>
          <w:bCs/>
          <w:noProof/>
          <w:webHidden/>
        </w:rPr>
        <w:fldChar w:fldCharType="separate"/>
      </w:r>
      <w:r>
        <w:rPr>
          <w:bCs/>
          <w:noProof/>
          <w:webHidden/>
        </w:rPr>
        <w:t>20</w:t>
      </w:r>
      <w:r>
        <w:rPr>
          <w:bCs/>
          <w:noProof/>
          <w:webHidden/>
        </w:rPr>
        <w:fldChar w:fldCharType="end"/>
      </w:r>
      <w:r>
        <w:rPr/>
        <w:fldChar w:fldCharType="end"/>
      </w:r>
    </w:p>
    <w:p>
      <w:pPr>
        <w:pStyle w:val="style20"/>
        <w:tabs>
          <w:tab w:val="right" w:leader="dot" w:pos="8210"/>
        </w:tabs>
        <w:spacing w:lineRule="auto" w:line="480"/>
        <w:ind w:left="0"/>
        <w:jc w:val="both"/>
        <w:rPr>
          <w:rFonts w:ascii="Calibri" w:cs="宋体" w:eastAsia="宋体" w:hAnsi="Calibri"/>
          <w:bCs/>
          <w:noProof/>
        </w:rPr>
      </w:pPr>
      <w:r>
        <w:rPr/>
        <w:fldChar w:fldCharType="begin"/>
      </w:r>
      <w:r>
        <w:instrText xml:space="preserve"> HYPERLINK \l "_Toc178076729" </w:instrText>
      </w:r>
      <w:r>
        <w:rPr/>
        <w:fldChar w:fldCharType="separate"/>
      </w:r>
      <w:r>
        <w:rPr>
          <w:rStyle w:val="style85"/>
          <w:rFonts w:ascii="Times New Roman" w:cs="Times New Roman" w:hAnsi="Times New Roman"/>
          <w:bCs/>
          <w:noProof/>
        </w:rPr>
        <w:t>3.6.1 Data Processing</w:t>
      </w:r>
      <w:r>
        <w:rPr>
          <w:bCs/>
          <w:noProof/>
          <w:webHidden/>
        </w:rPr>
        <w:tab/>
      </w:r>
      <w:r>
        <w:rPr>
          <w:bCs/>
          <w:noProof/>
          <w:webHidden/>
        </w:rPr>
        <w:fldChar w:fldCharType="begin"/>
      </w:r>
      <w:r>
        <w:rPr>
          <w:bCs/>
          <w:noProof/>
          <w:webHidden/>
        </w:rPr>
        <w:instrText xml:space="preserve"> PAGEREF _Toc178076729 \h </w:instrText>
      </w:r>
      <w:r>
        <w:rPr>
          <w:bCs/>
          <w:noProof/>
          <w:webHidden/>
        </w:rPr>
        <w:fldChar w:fldCharType="separate"/>
      </w:r>
      <w:r>
        <w:rPr>
          <w:bCs/>
          <w:noProof/>
          <w:webHidden/>
        </w:rPr>
        <w:t>20</w:t>
      </w:r>
      <w:r>
        <w:rPr>
          <w:bCs/>
          <w:noProof/>
          <w:webHidden/>
        </w:rPr>
        <w:fldChar w:fldCharType="end"/>
      </w:r>
      <w:r>
        <w:rPr/>
        <w:fldChar w:fldCharType="end"/>
      </w:r>
    </w:p>
    <w:p>
      <w:pPr>
        <w:pStyle w:val="style20"/>
        <w:tabs>
          <w:tab w:val="right" w:leader="dot" w:pos="8210"/>
        </w:tabs>
        <w:spacing w:lineRule="auto" w:line="480"/>
        <w:ind w:left="0"/>
        <w:jc w:val="both"/>
        <w:rPr>
          <w:rFonts w:ascii="Calibri" w:cs="宋体" w:eastAsia="宋体" w:hAnsi="Calibri"/>
          <w:bCs/>
          <w:noProof/>
        </w:rPr>
      </w:pPr>
      <w:r>
        <w:rPr/>
        <w:fldChar w:fldCharType="begin"/>
      </w:r>
      <w:r>
        <w:instrText xml:space="preserve"> HYPERLINK \l "_Toc178076730" </w:instrText>
      </w:r>
      <w:r>
        <w:rPr/>
        <w:fldChar w:fldCharType="separate"/>
      </w:r>
      <w:r>
        <w:rPr>
          <w:rStyle w:val="style85"/>
          <w:rFonts w:ascii="Times New Roman" w:cs="Times New Roman" w:hAnsi="Times New Roman"/>
          <w:bCs/>
          <w:noProof/>
        </w:rPr>
        <w:t>3.6.2 Data Analysis</w:t>
      </w:r>
      <w:r>
        <w:rPr>
          <w:bCs/>
          <w:noProof/>
          <w:webHidden/>
        </w:rPr>
        <w:tab/>
      </w:r>
      <w:r>
        <w:rPr>
          <w:bCs/>
          <w:noProof/>
          <w:webHidden/>
        </w:rPr>
        <w:fldChar w:fldCharType="begin"/>
      </w:r>
      <w:r>
        <w:rPr>
          <w:bCs/>
          <w:noProof/>
          <w:webHidden/>
        </w:rPr>
        <w:instrText xml:space="preserve"> PAGEREF _Toc178076730 \h </w:instrText>
      </w:r>
      <w:r>
        <w:rPr>
          <w:bCs/>
          <w:noProof/>
          <w:webHidden/>
        </w:rPr>
        <w:fldChar w:fldCharType="separate"/>
      </w:r>
      <w:r>
        <w:rPr>
          <w:bCs/>
          <w:noProof/>
          <w:webHidden/>
        </w:rPr>
        <w:t>21</w:t>
      </w:r>
      <w:r>
        <w:rPr>
          <w:bCs/>
          <w:noProof/>
          <w:webHidden/>
        </w:rPr>
        <w:fldChar w:fldCharType="end"/>
      </w:r>
      <w:r>
        <w:rPr/>
        <w:fldChar w:fldCharType="end"/>
      </w:r>
    </w:p>
    <w:p>
      <w:pPr>
        <w:pStyle w:val="style20"/>
        <w:tabs>
          <w:tab w:val="right" w:leader="dot" w:pos="8210"/>
        </w:tabs>
        <w:spacing w:lineRule="auto" w:line="480"/>
        <w:ind w:left="0"/>
        <w:jc w:val="both"/>
        <w:rPr>
          <w:rFonts w:ascii="Calibri" w:cs="宋体" w:eastAsia="宋体" w:hAnsi="Calibri"/>
          <w:bCs/>
          <w:noProof/>
        </w:rPr>
      </w:pPr>
      <w:r>
        <w:rPr/>
        <w:fldChar w:fldCharType="begin"/>
      </w:r>
      <w:r>
        <w:instrText xml:space="preserve"> HYPERLINK \l "_Toc178076731" </w:instrText>
      </w:r>
      <w:r>
        <w:rPr/>
        <w:fldChar w:fldCharType="separate"/>
      </w:r>
      <w:r>
        <w:rPr>
          <w:rStyle w:val="style85"/>
          <w:rFonts w:ascii="Times New Roman" w:cs="Times New Roman" w:hAnsi="Times New Roman"/>
          <w:bCs/>
          <w:noProof/>
        </w:rPr>
        <w:t>3.7 Limitations of the Study</w:t>
      </w:r>
      <w:r>
        <w:rPr>
          <w:bCs/>
          <w:noProof/>
          <w:webHidden/>
        </w:rPr>
        <w:tab/>
      </w:r>
      <w:r>
        <w:rPr>
          <w:bCs/>
          <w:noProof/>
          <w:webHidden/>
        </w:rPr>
        <w:fldChar w:fldCharType="begin"/>
      </w:r>
      <w:r>
        <w:rPr>
          <w:bCs/>
          <w:noProof/>
          <w:webHidden/>
        </w:rPr>
        <w:instrText xml:space="preserve"> PAGEREF _Toc178076731 \h </w:instrText>
      </w:r>
      <w:r>
        <w:rPr>
          <w:bCs/>
          <w:noProof/>
          <w:webHidden/>
        </w:rPr>
        <w:fldChar w:fldCharType="separate"/>
      </w:r>
      <w:r>
        <w:rPr>
          <w:bCs/>
          <w:noProof/>
          <w:webHidden/>
        </w:rPr>
        <w:t>21</w:t>
      </w:r>
      <w:r>
        <w:rPr>
          <w:bCs/>
          <w:noProof/>
          <w:webHidden/>
        </w:rPr>
        <w:fldChar w:fldCharType="end"/>
      </w:r>
      <w:r>
        <w:rPr/>
        <w:fldChar w:fldCharType="end"/>
      </w:r>
    </w:p>
    <w:p>
      <w:pPr>
        <w:pStyle w:val="style19"/>
        <w:tabs>
          <w:tab w:val="right" w:leader="dot" w:pos="8210"/>
        </w:tabs>
        <w:spacing w:lineRule="auto" w:line="480"/>
        <w:jc w:val="both"/>
        <w:rPr>
          <w:rFonts w:ascii="Calibri" w:cs="宋体" w:eastAsia="宋体" w:hAnsi="Calibri"/>
          <w:b w:val="false"/>
          <w:bCs/>
          <w:noProof/>
          <w:sz w:val="22"/>
          <w:lang w:val="en-US"/>
        </w:rPr>
      </w:pPr>
      <w:r>
        <w:rPr/>
        <w:fldChar w:fldCharType="begin"/>
      </w:r>
      <w:r>
        <w:instrText xml:space="preserve"> HYPERLINK \l "_Toc178076732" </w:instrText>
      </w:r>
      <w:r>
        <w:rPr/>
        <w:fldChar w:fldCharType="separate"/>
      </w:r>
      <w:r>
        <w:rPr>
          <w:rStyle w:val="style85"/>
          <w:b w:val="false"/>
          <w:bCs/>
          <w:noProof/>
        </w:rPr>
        <w:t>CHAPTER FOUR</w:t>
      </w:r>
      <w:r>
        <w:rPr>
          <w:b w:val="false"/>
          <w:bCs/>
          <w:noProof/>
          <w:webHidden/>
        </w:rPr>
        <w:tab/>
      </w:r>
      <w:r>
        <w:rPr>
          <w:b w:val="false"/>
          <w:bCs/>
          <w:noProof/>
          <w:webHidden/>
        </w:rPr>
        <w:fldChar w:fldCharType="begin"/>
      </w:r>
      <w:r>
        <w:rPr>
          <w:b w:val="false"/>
          <w:bCs/>
          <w:noProof/>
          <w:webHidden/>
        </w:rPr>
        <w:instrText xml:space="preserve"> PAGEREF _Toc178076732 \h </w:instrText>
      </w:r>
      <w:r>
        <w:rPr>
          <w:b w:val="false"/>
          <w:bCs/>
          <w:noProof/>
          <w:webHidden/>
        </w:rPr>
        <w:fldChar w:fldCharType="separate"/>
      </w:r>
      <w:r>
        <w:rPr>
          <w:b w:val="false"/>
          <w:bCs/>
          <w:noProof/>
          <w:webHidden/>
        </w:rPr>
        <w:t>22</w:t>
      </w:r>
      <w:r>
        <w:rPr>
          <w:b w:val="false"/>
          <w:bCs/>
          <w:noProof/>
          <w:webHidden/>
        </w:rPr>
        <w:fldChar w:fldCharType="end"/>
      </w:r>
      <w:r>
        <w:rPr/>
        <w:fldChar w:fldCharType="end"/>
      </w:r>
    </w:p>
    <w:p>
      <w:pPr>
        <w:pStyle w:val="style19"/>
        <w:tabs>
          <w:tab w:val="right" w:leader="dot" w:pos="8210"/>
        </w:tabs>
        <w:spacing w:lineRule="auto" w:line="480"/>
        <w:jc w:val="both"/>
        <w:rPr>
          <w:rFonts w:ascii="Calibri" w:cs="宋体" w:eastAsia="宋体" w:hAnsi="Calibri"/>
          <w:b w:val="false"/>
          <w:bCs/>
          <w:noProof/>
          <w:sz w:val="22"/>
          <w:lang w:val="en-US"/>
        </w:rPr>
      </w:pPr>
      <w:r>
        <w:rPr/>
        <w:fldChar w:fldCharType="begin"/>
      </w:r>
      <w:r>
        <w:instrText xml:space="preserve"> HYPERLINK \l "_Toc178076733" </w:instrText>
      </w:r>
      <w:r>
        <w:rPr/>
        <w:fldChar w:fldCharType="separate"/>
      </w:r>
      <w:r>
        <w:rPr>
          <w:rStyle w:val="style85"/>
          <w:b w:val="false"/>
          <w:bCs/>
          <w:noProof/>
        </w:rPr>
        <w:t>RESULTS AND DISCUSSION</w:t>
      </w:r>
      <w:r>
        <w:rPr>
          <w:b w:val="false"/>
          <w:bCs/>
          <w:noProof/>
          <w:webHidden/>
        </w:rPr>
        <w:tab/>
      </w:r>
      <w:r>
        <w:rPr>
          <w:b w:val="false"/>
          <w:bCs/>
          <w:noProof/>
          <w:webHidden/>
        </w:rPr>
        <w:fldChar w:fldCharType="begin"/>
      </w:r>
      <w:r>
        <w:rPr>
          <w:b w:val="false"/>
          <w:bCs/>
          <w:noProof/>
          <w:webHidden/>
        </w:rPr>
        <w:instrText xml:space="preserve"> PAGEREF _Toc178076733 \h </w:instrText>
      </w:r>
      <w:r>
        <w:rPr>
          <w:b w:val="false"/>
          <w:bCs/>
          <w:noProof/>
          <w:webHidden/>
        </w:rPr>
        <w:fldChar w:fldCharType="separate"/>
      </w:r>
      <w:r>
        <w:rPr>
          <w:b w:val="false"/>
          <w:bCs/>
          <w:noProof/>
          <w:webHidden/>
        </w:rPr>
        <w:t>22</w:t>
      </w:r>
      <w:r>
        <w:rPr>
          <w:b w:val="false"/>
          <w:bCs/>
          <w:noProof/>
          <w:webHidden/>
        </w:rPr>
        <w:fldChar w:fldCharType="end"/>
      </w:r>
      <w:r>
        <w:rPr/>
        <w:fldChar w:fldCharType="end"/>
      </w:r>
    </w:p>
    <w:p>
      <w:pPr>
        <w:pStyle w:val="style20"/>
        <w:tabs>
          <w:tab w:val="right" w:leader="dot" w:pos="8210"/>
        </w:tabs>
        <w:spacing w:lineRule="auto" w:line="480"/>
        <w:ind w:left="0"/>
        <w:jc w:val="both"/>
        <w:rPr>
          <w:rFonts w:ascii="Calibri" w:cs="宋体" w:eastAsia="宋体" w:hAnsi="Calibri"/>
          <w:bCs/>
          <w:noProof/>
        </w:rPr>
      </w:pPr>
      <w:r>
        <w:rPr/>
        <w:fldChar w:fldCharType="begin"/>
      </w:r>
      <w:r>
        <w:instrText xml:space="preserve"> HYPERLINK \l "_Toc178076734" </w:instrText>
      </w:r>
      <w:r>
        <w:rPr/>
        <w:fldChar w:fldCharType="separate"/>
      </w:r>
      <w:r>
        <w:rPr>
          <w:rStyle w:val="style85"/>
          <w:rFonts w:ascii="Times New Roman" w:cs="Times New Roman" w:hAnsi="Times New Roman"/>
          <w:bCs/>
          <w:noProof/>
        </w:rPr>
        <w:t>4.1 Demographic information of Respondents</w:t>
      </w:r>
      <w:r>
        <w:rPr>
          <w:bCs/>
          <w:noProof/>
          <w:webHidden/>
        </w:rPr>
        <w:tab/>
      </w:r>
      <w:r>
        <w:rPr>
          <w:bCs/>
          <w:noProof/>
          <w:webHidden/>
        </w:rPr>
        <w:fldChar w:fldCharType="begin"/>
      </w:r>
      <w:r>
        <w:rPr>
          <w:bCs/>
          <w:noProof/>
          <w:webHidden/>
        </w:rPr>
        <w:instrText xml:space="preserve"> PAGEREF _Toc178076734 \h </w:instrText>
      </w:r>
      <w:r>
        <w:rPr>
          <w:bCs/>
          <w:noProof/>
          <w:webHidden/>
        </w:rPr>
        <w:fldChar w:fldCharType="separate"/>
      </w:r>
      <w:r>
        <w:rPr>
          <w:bCs/>
          <w:noProof/>
          <w:webHidden/>
        </w:rPr>
        <w:t>22</w:t>
      </w:r>
      <w:r>
        <w:rPr>
          <w:bCs/>
          <w:noProof/>
          <w:webHidden/>
        </w:rPr>
        <w:fldChar w:fldCharType="end"/>
      </w:r>
      <w:r>
        <w:rPr/>
        <w:fldChar w:fldCharType="end"/>
      </w:r>
    </w:p>
    <w:p>
      <w:pPr>
        <w:pStyle w:val="style20"/>
        <w:tabs>
          <w:tab w:val="right" w:leader="dot" w:pos="8210"/>
        </w:tabs>
        <w:spacing w:lineRule="auto" w:line="480"/>
        <w:ind w:left="0"/>
        <w:jc w:val="both"/>
        <w:rPr>
          <w:rFonts w:ascii="Calibri" w:cs="宋体" w:eastAsia="宋体" w:hAnsi="Calibri"/>
          <w:bCs/>
          <w:noProof/>
        </w:rPr>
      </w:pPr>
      <w:r>
        <w:rPr/>
        <w:fldChar w:fldCharType="begin"/>
      </w:r>
      <w:r>
        <w:instrText xml:space="preserve"> HYPERLINK \l "_Toc178076735" </w:instrText>
      </w:r>
      <w:r>
        <w:rPr/>
        <w:fldChar w:fldCharType="separate"/>
      </w:r>
      <w:r>
        <w:rPr>
          <w:rStyle w:val="style85"/>
          <w:rFonts w:ascii="Times New Roman" w:cs="Times New Roman" w:hAnsi="Times New Roman"/>
          <w:bCs/>
          <w:noProof/>
        </w:rPr>
        <w:t>4.2 Current trend of wood fuel consumption</w:t>
      </w:r>
      <w:r>
        <w:rPr>
          <w:bCs/>
          <w:noProof/>
          <w:webHidden/>
        </w:rPr>
        <w:tab/>
      </w:r>
      <w:r>
        <w:rPr>
          <w:bCs/>
          <w:noProof/>
          <w:webHidden/>
        </w:rPr>
        <w:fldChar w:fldCharType="begin"/>
      </w:r>
      <w:r>
        <w:rPr>
          <w:bCs/>
          <w:noProof/>
          <w:webHidden/>
        </w:rPr>
        <w:instrText xml:space="preserve"> PAGEREF _Toc178076735 \h </w:instrText>
      </w:r>
      <w:r>
        <w:rPr>
          <w:bCs/>
          <w:noProof/>
          <w:webHidden/>
        </w:rPr>
        <w:fldChar w:fldCharType="separate"/>
      </w:r>
      <w:r>
        <w:rPr>
          <w:bCs/>
          <w:noProof/>
          <w:webHidden/>
        </w:rPr>
        <w:t>25</w:t>
      </w:r>
      <w:r>
        <w:rPr>
          <w:bCs/>
          <w:noProof/>
          <w:webHidden/>
        </w:rPr>
        <w:fldChar w:fldCharType="end"/>
      </w:r>
      <w:r>
        <w:rPr/>
        <w:fldChar w:fldCharType="end"/>
      </w:r>
    </w:p>
    <w:p>
      <w:pPr>
        <w:pStyle w:val="style20"/>
        <w:tabs>
          <w:tab w:val="right" w:leader="dot" w:pos="8210"/>
        </w:tabs>
        <w:spacing w:lineRule="auto" w:line="480"/>
        <w:ind w:left="0"/>
        <w:jc w:val="both"/>
        <w:rPr>
          <w:rFonts w:ascii="Calibri" w:cs="宋体" w:eastAsia="宋体" w:hAnsi="Calibri"/>
          <w:bCs/>
          <w:noProof/>
        </w:rPr>
      </w:pPr>
      <w:r>
        <w:rPr/>
        <w:fldChar w:fldCharType="begin"/>
      </w:r>
      <w:r>
        <w:instrText xml:space="preserve"> HYPERLINK \l "_Toc178076736" </w:instrText>
      </w:r>
      <w:r>
        <w:rPr/>
        <w:fldChar w:fldCharType="separate"/>
      </w:r>
      <w:r>
        <w:rPr>
          <w:rStyle w:val="style85"/>
          <w:rFonts w:ascii="Times New Roman" w:cs="Times New Roman" w:hAnsi="Times New Roman"/>
          <w:bCs/>
          <w:noProof/>
        </w:rPr>
        <w:t>4.2.1 Types of wood fuel commonly used</w:t>
      </w:r>
      <w:r>
        <w:rPr>
          <w:bCs/>
          <w:noProof/>
          <w:webHidden/>
        </w:rPr>
        <w:tab/>
      </w:r>
      <w:r>
        <w:rPr>
          <w:bCs/>
          <w:noProof/>
          <w:webHidden/>
        </w:rPr>
        <w:fldChar w:fldCharType="begin"/>
      </w:r>
      <w:r>
        <w:rPr>
          <w:bCs/>
          <w:noProof/>
          <w:webHidden/>
        </w:rPr>
        <w:instrText xml:space="preserve"> PAGEREF _Toc178076736 \h </w:instrText>
      </w:r>
      <w:r>
        <w:rPr>
          <w:bCs/>
          <w:noProof/>
          <w:webHidden/>
        </w:rPr>
        <w:fldChar w:fldCharType="separate"/>
      </w:r>
      <w:r>
        <w:rPr>
          <w:bCs/>
          <w:noProof/>
          <w:webHidden/>
        </w:rPr>
        <w:t>25</w:t>
      </w:r>
      <w:r>
        <w:rPr>
          <w:bCs/>
          <w:noProof/>
          <w:webHidden/>
        </w:rPr>
        <w:fldChar w:fldCharType="end"/>
      </w:r>
      <w:r>
        <w:rPr/>
        <w:fldChar w:fldCharType="end"/>
      </w:r>
    </w:p>
    <w:p>
      <w:pPr>
        <w:pStyle w:val="style20"/>
        <w:tabs>
          <w:tab w:val="right" w:leader="dot" w:pos="8210"/>
        </w:tabs>
        <w:spacing w:lineRule="auto" w:line="480"/>
        <w:ind w:left="0"/>
        <w:jc w:val="both"/>
        <w:rPr>
          <w:rFonts w:ascii="Calibri" w:cs="宋体" w:eastAsia="宋体" w:hAnsi="Calibri"/>
          <w:bCs/>
          <w:noProof/>
        </w:rPr>
      </w:pPr>
      <w:r>
        <w:rPr/>
        <w:fldChar w:fldCharType="begin"/>
      </w:r>
      <w:r>
        <w:instrText xml:space="preserve"> HYPERLINK \l "_Toc178076737" </w:instrText>
      </w:r>
      <w:r>
        <w:rPr/>
        <w:fldChar w:fldCharType="separate"/>
      </w:r>
      <w:r>
        <w:rPr>
          <w:rStyle w:val="style85"/>
          <w:rFonts w:ascii="Times New Roman" w:cs="Times New Roman" w:hAnsi="Times New Roman"/>
          <w:bCs/>
          <w:noProof/>
        </w:rPr>
        <w:t>4.2.3 Source of Wood fuel Energy</w:t>
      </w:r>
      <w:r>
        <w:rPr>
          <w:bCs/>
          <w:noProof/>
          <w:webHidden/>
        </w:rPr>
        <w:tab/>
      </w:r>
      <w:r>
        <w:rPr>
          <w:bCs/>
          <w:noProof/>
          <w:webHidden/>
        </w:rPr>
        <w:fldChar w:fldCharType="begin"/>
      </w:r>
      <w:r>
        <w:rPr>
          <w:bCs/>
          <w:noProof/>
          <w:webHidden/>
        </w:rPr>
        <w:instrText xml:space="preserve"> PAGEREF _Toc178076737 \h </w:instrText>
      </w:r>
      <w:r>
        <w:rPr>
          <w:bCs/>
          <w:noProof/>
          <w:webHidden/>
        </w:rPr>
        <w:fldChar w:fldCharType="separate"/>
      </w:r>
      <w:r>
        <w:rPr>
          <w:bCs/>
          <w:noProof/>
          <w:webHidden/>
        </w:rPr>
        <w:t>31</w:t>
      </w:r>
      <w:r>
        <w:rPr>
          <w:bCs/>
          <w:noProof/>
          <w:webHidden/>
        </w:rPr>
        <w:fldChar w:fldCharType="end"/>
      </w:r>
      <w:r>
        <w:rPr/>
        <w:fldChar w:fldCharType="end"/>
      </w:r>
    </w:p>
    <w:p>
      <w:pPr>
        <w:pStyle w:val="style20"/>
        <w:tabs>
          <w:tab w:val="right" w:leader="dot" w:pos="8210"/>
        </w:tabs>
        <w:spacing w:lineRule="auto" w:line="480"/>
        <w:ind w:left="0"/>
        <w:jc w:val="both"/>
        <w:rPr>
          <w:rFonts w:ascii="Calibri" w:cs="宋体" w:eastAsia="宋体" w:hAnsi="Calibri"/>
          <w:bCs/>
          <w:noProof/>
        </w:rPr>
      </w:pPr>
      <w:r>
        <w:rPr/>
        <w:fldChar w:fldCharType="begin"/>
      </w:r>
      <w:r>
        <w:instrText xml:space="preserve"> HYPERLINK \l "_Toc178076738" </w:instrText>
      </w:r>
      <w:r>
        <w:rPr/>
        <w:fldChar w:fldCharType="separate"/>
      </w:r>
      <w:r>
        <w:rPr>
          <w:rStyle w:val="style85"/>
          <w:rFonts w:ascii="Times New Roman" w:cs="Times New Roman" w:hAnsi="Times New Roman"/>
          <w:bCs/>
          <w:noProof/>
        </w:rPr>
        <w:t>4.3 Perceived effects of wood fuel consumption on the community</w:t>
      </w:r>
      <w:r>
        <w:rPr>
          <w:bCs/>
          <w:noProof/>
          <w:webHidden/>
        </w:rPr>
        <w:tab/>
      </w:r>
      <w:r>
        <w:rPr>
          <w:bCs/>
          <w:noProof/>
          <w:webHidden/>
        </w:rPr>
        <w:fldChar w:fldCharType="begin"/>
      </w:r>
      <w:r>
        <w:rPr>
          <w:bCs/>
          <w:noProof/>
          <w:webHidden/>
        </w:rPr>
        <w:instrText xml:space="preserve"> PAGEREF _Toc178076738 \h </w:instrText>
      </w:r>
      <w:r>
        <w:rPr>
          <w:bCs/>
          <w:noProof/>
          <w:webHidden/>
        </w:rPr>
        <w:fldChar w:fldCharType="separate"/>
      </w:r>
      <w:r>
        <w:rPr>
          <w:bCs/>
          <w:noProof/>
          <w:webHidden/>
        </w:rPr>
        <w:t>32</w:t>
      </w:r>
      <w:r>
        <w:rPr>
          <w:bCs/>
          <w:noProof/>
          <w:webHidden/>
        </w:rPr>
        <w:fldChar w:fldCharType="end"/>
      </w:r>
      <w:r>
        <w:rPr/>
        <w:fldChar w:fldCharType="end"/>
      </w:r>
    </w:p>
    <w:p>
      <w:pPr>
        <w:pStyle w:val="style20"/>
        <w:tabs>
          <w:tab w:val="right" w:leader="dot" w:pos="8210"/>
        </w:tabs>
        <w:spacing w:lineRule="auto" w:line="480"/>
        <w:ind w:left="0"/>
        <w:jc w:val="both"/>
        <w:rPr>
          <w:rFonts w:ascii="Calibri" w:cs="宋体" w:eastAsia="宋体" w:hAnsi="Calibri"/>
          <w:bCs/>
          <w:noProof/>
        </w:rPr>
      </w:pPr>
      <w:r>
        <w:rPr/>
        <w:fldChar w:fldCharType="begin"/>
      </w:r>
      <w:r>
        <w:instrText xml:space="preserve"> HYPERLINK \l "_Toc178076739" </w:instrText>
      </w:r>
      <w:r>
        <w:rPr/>
        <w:fldChar w:fldCharType="separate"/>
      </w:r>
      <w:r>
        <w:rPr>
          <w:rStyle w:val="style85"/>
          <w:rFonts w:ascii="Times New Roman" w:cs="Times New Roman" w:hAnsi="Times New Roman"/>
          <w:bCs/>
          <w:noProof/>
        </w:rPr>
        <w:t>4.3.1 Health impacts</w:t>
      </w:r>
      <w:r>
        <w:rPr>
          <w:bCs/>
          <w:noProof/>
          <w:webHidden/>
        </w:rPr>
        <w:tab/>
      </w:r>
      <w:r>
        <w:rPr>
          <w:bCs/>
          <w:noProof/>
          <w:webHidden/>
        </w:rPr>
        <w:fldChar w:fldCharType="begin"/>
      </w:r>
      <w:r>
        <w:rPr>
          <w:bCs/>
          <w:noProof/>
          <w:webHidden/>
        </w:rPr>
        <w:instrText xml:space="preserve"> PAGEREF _Toc178076739 \h </w:instrText>
      </w:r>
      <w:r>
        <w:rPr>
          <w:bCs/>
          <w:noProof/>
          <w:webHidden/>
        </w:rPr>
        <w:fldChar w:fldCharType="separate"/>
      </w:r>
      <w:r>
        <w:rPr>
          <w:bCs/>
          <w:noProof/>
          <w:webHidden/>
        </w:rPr>
        <w:t>32</w:t>
      </w:r>
      <w:r>
        <w:rPr>
          <w:bCs/>
          <w:noProof/>
          <w:webHidden/>
        </w:rPr>
        <w:fldChar w:fldCharType="end"/>
      </w:r>
      <w:r>
        <w:rPr/>
        <w:fldChar w:fldCharType="end"/>
      </w:r>
    </w:p>
    <w:p>
      <w:pPr>
        <w:pStyle w:val="style20"/>
        <w:tabs>
          <w:tab w:val="right" w:leader="dot" w:pos="8210"/>
        </w:tabs>
        <w:spacing w:lineRule="auto" w:line="480"/>
        <w:ind w:left="0"/>
        <w:jc w:val="both"/>
        <w:rPr>
          <w:rFonts w:ascii="Calibri" w:cs="宋体" w:eastAsia="宋体" w:hAnsi="Calibri"/>
          <w:bCs/>
          <w:noProof/>
        </w:rPr>
      </w:pPr>
      <w:r>
        <w:rPr/>
        <w:fldChar w:fldCharType="begin"/>
      </w:r>
      <w:r>
        <w:instrText xml:space="preserve"> HYPERLINK \l "_Toc178076740" </w:instrText>
      </w:r>
      <w:r>
        <w:rPr/>
        <w:fldChar w:fldCharType="separate"/>
      </w:r>
      <w:r>
        <w:rPr>
          <w:rStyle w:val="style85"/>
          <w:rFonts w:ascii="Times New Roman" w:cs="Times New Roman" w:hAnsi="Times New Roman"/>
          <w:bCs/>
          <w:noProof/>
        </w:rPr>
        <w:t>4.3.2 Social impacts</w:t>
      </w:r>
      <w:r>
        <w:rPr>
          <w:bCs/>
          <w:noProof/>
          <w:webHidden/>
        </w:rPr>
        <w:tab/>
      </w:r>
      <w:r>
        <w:rPr>
          <w:bCs/>
          <w:noProof/>
          <w:webHidden/>
        </w:rPr>
        <w:fldChar w:fldCharType="begin"/>
      </w:r>
      <w:r>
        <w:rPr>
          <w:bCs/>
          <w:noProof/>
          <w:webHidden/>
        </w:rPr>
        <w:instrText xml:space="preserve"> PAGEREF _Toc178076740 \h </w:instrText>
      </w:r>
      <w:r>
        <w:rPr>
          <w:bCs/>
          <w:noProof/>
          <w:webHidden/>
        </w:rPr>
        <w:fldChar w:fldCharType="separate"/>
      </w:r>
      <w:r>
        <w:rPr>
          <w:bCs/>
          <w:noProof/>
          <w:webHidden/>
        </w:rPr>
        <w:t>34</w:t>
      </w:r>
      <w:r>
        <w:rPr>
          <w:bCs/>
          <w:noProof/>
          <w:webHidden/>
        </w:rPr>
        <w:fldChar w:fldCharType="end"/>
      </w:r>
      <w:r>
        <w:rPr/>
        <w:fldChar w:fldCharType="end"/>
      </w:r>
    </w:p>
    <w:p>
      <w:pPr>
        <w:pStyle w:val="style20"/>
        <w:tabs>
          <w:tab w:val="right" w:leader="dot" w:pos="8210"/>
        </w:tabs>
        <w:spacing w:lineRule="auto" w:line="480"/>
        <w:ind w:left="0"/>
        <w:jc w:val="both"/>
        <w:rPr>
          <w:rFonts w:ascii="Calibri" w:cs="宋体" w:eastAsia="宋体" w:hAnsi="Calibri"/>
          <w:bCs/>
          <w:noProof/>
        </w:rPr>
      </w:pPr>
      <w:r>
        <w:rPr/>
        <w:fldChar w:fldCharType="begin"/>
      </w:r>
      <w:r>
        <w:instrText xml:space="preserve"> HYPERLINK \l "_Toc178076741" </w:instrText>
      </w:r>
      <w:r>
        <w:rPr/>
        <w:fldChar w:fldCharType="separate"/>
      </w:r>
      <w:r>
        <w:rPr>
          <w:rStyle w:val="style85"/>
          <w:rFonts w:ascii="Times New Roman" w:cs="Times New Roman" w:hAnsi="Times New Roman"/>
          <w:bCs/>
          <w:noProof/>
        </w:rPr>
        <w:t>4.3.3 Economic effects</w:t>
      </w:r>
      <w:r>
        <w:rPr>
          <w:bCs/>
          <w:noProof/>
          <w:webHidden/>
        </w:rPr>
        <w:tab/>
      </w:r>
      <w:r>
        <w:rPr>
          <w:bCs/>
          <w:noProof/>
          <w:webHidden/>
        </w:rPr>
        <w:fldChar w:fldCharType="begin"/>
      </w:r>
      <w:r>
        <w:rPr>
          <w:bCs/>
          <w:noProof/>
          <w:webHidden/>
        </w:rPr>
        <w:instrText xml:space="preserve"> PAGEREF _Toc178076741 \h </w:instrText>
      </w:r>
      <w:r>
        <w:rPr>
          <w:bCs/>
          <w:noProof/>
          <w:webHidden/>
        </w:rPr>
        <w:fldChar w:fldCharType="separate"/>
      </w:r>
      <w:r>
        <w:rPr>
          <w:bCs/>
          <w:noProof/>
          <w:webHidden/>
        </w:rPr>
        <w:t>36</w:t>
      </w:r>
      <w:r>
        <w:rPr>
          <w:bCs/>
          <w:noProof/>
          <w:webHidden/>
        </w:rPr>
        <w:fldChar w:fldCharType="end"/>
      </w:r>
      <w:r>
        <w:rPr/>
        <w:fldChar w:fldCharType="end"/>
      </w:r>
    </w:p>
    <w:p>
      <w:pPr>
        <w:pStyle w:val="style20"/>
        <w:tabs>
          <w:tab w:val="right" w:leader="dot" w:pos="8210"/>
        </w:tabs>
        <w:spacing w:lineRule="auto" w:line="480"/>
        <w:ind w:left="0"/>
        <w:jc w:val="both"/>
        <w:rPr>
          <w:rFonts w:ascii="Calibri" w:cs="宋体" w:eastAsia="宋体" w:hAnsi="Calibri"/>
          <w:bCs/>
          <w:noProof/>
        </w:rPr>
      </w:pPr>
      <w:r>
        <w:rPr/>
        <w:fldChar w:fldCharType="begin"/>
      </w:r>
      <w:r>
        <w:instrText xml:space="preserve"> HYPERLINK \l "_Toc178076742" </w:instrText>
      </w:r>
      <w:r>
        <w:rPr/>
        <w:fldChar w:fldCharType="separate"/>
      </w:r>
      <w:r>
        <w:rPr>
          <w:rStyle w:val="style85"/>
          <w:rFonts w:ascii="Times New Roman" w:cs="Times New Roman" w:hAnsi="Times New Roman"/>
          <w:bCs/>
          <w:noProof/>
        </w:rPr>
        <w:t>4.3.4 Environmental effects</w:t>
      </w:r>
      <w:r>
        <w:rPr>
          <w:bCs/>
          <w:noProof/>
          <w:webHidden/>
        </w:rPr>
        <w:tab/>
      </w:r>
      <w:r>
        <w:rPr>
          <w:bCs/>
          <w:noProof/>
          <w:webHidden/>
        </w:rPr>
        <w:fldChar w:fldCharType="begin"/>
      </w:r>
      <w:r>
        <w:rPr>
          <w:bCs/>
          <w:noProof/>
          <w:webHidden/>
        </w:rPr>
        <w:instrText xml:space="preserve"> PAGEREF _Toc178076742 \h </w:instrText>
      </w:r>
      <w:r>
        <w:rPr>
          <w:bCs/>
          <w:noProof/>
          <w:webHidden/>
        </w:rPr>
        <w:fldChar w:fldCharType="separate"/>
      </w:r>
      <w:r>
        <w:rPr>
          <w:bCs/>
          <w:noProof/>
          <w:webHidden/>
        </w:rPr>
        <w:t>38</w:t>
      </w:r>
      <w:r>
        <w:rPr>
          <w:bCs/>
          <w:noProof/>
          <w:webHidden/>
        </w:rPr>
        <w:fldChar w:fldCharType="end"/>
      </w:r>
      <w:r>
        <w:rPr/>
        <w:fldChar w:fldCharType="end"/>
      </w:r>
    </w:p>
    <w:p>
      <w:pPr>
        <w:pStyle w:val="style20"/>
        <w:tabs>
          <w:tab w:val="right" w:leader="dot" w:pos="8210"/>
        </w:tabs>
        <w:spacing w:lineRule="auto" w:line="480"/>
        <w:ind w:left="0"/>
        <w:jc w:val="both"/>
        <w:rPr>
          <w:rFonts w:ascii="Calibri" w:cs="宋体" w:eastAsia="宋体" w:hAnsi="Calibri"/>
          <w:bCs/>
          <w:noProof/>
        </w:rPr>
      </w:pPr>
      <w:r>
        <w:rPr/>
        <w:fldChar w:fldCharType="begin"/>
      </w:r>
      <w:r>
        <w:instrText xml:space="preserve"> HYPERLINK \l "_Toc178076743" </w:instrText>
      </w:r>
      <w:r>
        <w:rPr/>
        <w:fldChar w:fldCharType="separate"/>
      </w:r>
      <w:r>
        <w:rPr>
          <w:rStyle w:val="style85"/>
          <w:rFonts w:ascii="Times New Roman" w:cs="Times New Roman" w:hAnsi="Times New Roman"/>
          <w:bCs/>
          <w:noProof/>
        </w:rPr>
        <w:t>4.4 Coping strategies on the use of wood fuel</w:t>
      </w:r>
      <w:r>
        <w:rPr>
          <w:bCs/>
          <w:noProof/>
          <w:webHidden/>
        </w:rPr>
        <w:tab/>
      </w:r>
      <w:r>
        <w:rPr>
          <w:bCs/>
          <w:noProof/>
          <w:webHidden/>
        </w:rPr>
        <w:fldChar w:fldCharType="begin"/>
      </w:r>
      <w:r>
        <w:rPr>
          <w:bCs/>
          <w:noProof/>
          <w:webHidden/>
        </w:rPr>
        <w:instrText xml:space="preserve"> PAGEREF _Toc178076743 \h </w:instrText>
      </w:r>
      <w:r>
        <w:rPr>
          <w:bCs/>
          <w:noProof/>
          <w:webHidden/>
        </w:rPr>
        <w:fldChar w:fldCharType="separate"/>
      </w:r>
      <w:r>
        <w:rPr>
          <w:bCs/>
          <w:noProof/>
          <w:webHidden/>
        </w:rPr>
        <w:t>39</w:t>
      </w:r>
      <w:r>
        <w:rPr>
          <w:bCs/>
          <w:noProof/>
          <w:webHidden/>
        </w:rPr>
        <w:fldChar w:fldCharType="end"/>
      </w:r>
      <w:r>
        <w:rPr/>
        <w:fldChar w:fldCharType="end"/>
      </w:r>
    </w:p>
    <w:p>
      <w:pPr>
        <w:pStyle w:val="style19"/>
        <w:tabs>
          <w:tab w:val="right" w:leader="dot" w:pos="8210"/>
        </w:tabs>
        <w:spacing w:lineRule="auto" w:line="480"/>
        <w:jc w:val="both"/>
        <w:rPr>
          <w:rFonts w:ascii="Calibri" w:cs="宋体" w:eastAsia="宋体" w:hAnsi="Calibri"/>
          <w:b w:val="false"/>
          <w:bCs/>
          <w:noProof/>
          <w:sz w:val="22"/>
          <w:lang w:val="en-US"/>
        </w:rPr>
      </w:pPr>
      <w:r>
        <w:rPr/>
        <w:fldChar w:fldCharType="begin"/>
      </w:r>
      <w:r>
        <w:instrText xml:space="preserve"> HYPERLINK \l "_Toc178076744" </w:instrText>
      </w:r>
      <w:r>
        <w:rPr/>
        <w:fldChar w:fldCharType="separate"/>
      </w:r>
      <w:r>
        <w:rPr>
          <w:rStyle w:val="style85"/>
          <w:b w:val="false"/>
          <w:bCs/>
          <w:noProof/>
        </w:rPr>
        <w:t>CONCLUSIONS AND RECOMMENDATIONS</w:t>
      </w:r>
      <w:r>
        <w:rPr>
          <w:b w:val="false"/>
          <w:bCs/>
          <w:noProof/>
          <w:webHidden/>
        </w:rPr>
        <w:tab/>
      </w:r>
      <w:r>
        <w:rPr>
          <w:b w:val="false"/>
          <w:bCs/>
          <w:noProof/>
          <w:webHidden/>
        </w:rPr>
        <w:fldChar w:fldCharType="begin"/>
      </w:r>
      <w:r>
        <w:rPr>
          <w:b w:val="false"/>
          <w:bCs/>
          <w:noProof/>
          <w:webHidden/>
        </w:rPr>
        <w:instrText xml:space="preserve"> PAGEREF _Toc178076744 \h </w:instrText>
      </w:r>
      <w:r>
        <w:rPr>
          <w:b w:val="false"/>
          <w:bCs/>
          <w:noProof/>
          <w:webHidden/>
        </w:rPr>
        <w:fldChar w:fldCharType="separate"/>
      </w:r>
      <w:r>
        <w:rPr>
          <w:b w:val="false"/>
          <w:bCs/>
          <w:noProof/>
          <w:webHidden/>
        </w:rPr>
        <w:t>45</w:t>
      </w:r>
      <w:r>
        <w:rPr>
          <w:b w:val="false"/>
          <w:bCs/>
          <w:noProof/>
          <w:webHidden/>
        </w:rPr>
        <w:fldChar w:fldCharType="end"/>
      </w:r>
      <w:r>
        <w:rPr/>
        <w:fldChar w:fldCharType="end"/>
      </w:r>
    </w:p>
    <w:p>
      <w:pPr>
        <w:pStyle w:val="style20"/>
        <w:tabs>
          <w:tab w:val="right" w:leader="dot" w:pos="8210"/>
        </w:tabs>
        <w:spacing w:lineRule="auto" w:line="480"/>
        <w:ind w:left="0"/>
        <w:jc w:val="both"/>
        <w:rPr>
          <w:rFonts w:ascii="Calibri" w:cs="宋体" w:eastAsia="宋体" w:hAnsi="Calibri"/>
          <w:bCs/>
          <w:noProof/>
        </w:rPr>
      </w:pPr>
      <w:r>
        <w:rPr/>
        <w:fldChar w:fldCharType="begin"/>
      </w:r>
      <w:r>
        <w:instrText xml:space="preserve"> HYPERLINK \l "_Toc178076745" </w:instrText>
      </w:r>
      <w:r>
        <w:rPr/>
        <w:fldChar w:fldCharType="separate"/>
      </w:r>
      <w:r>
        <w:rPr>
          <w:rStyle w:val="style85"/>
          <w:rFonts w:ascii="Times New Roman" w:cs="Times New Roman" w:hAnsi="Times New Roman"/>
          <w:bCs/>
          <w:noProof/>
        </w:rPr>
        <w:t>5.1 Conclusion</w:t>
      </w:r>
      <w:r>
        <w:rPr>
          <w:bCs/>
          <w:noProof/>
          <w:webHidden/>
        </w:rPr>
        <w:tab/>
      </w:r>
      <w:r>
        <w:rPr>
          <w:bCs/>
          <w:noProof/>
          <w:webHidden/>
        </w:rPr>
        <w:fldChar w:fldCharType="begin"/>
      </w:r>
      <w:r>
        <w:rPr>
          <w:bCs/>
          <w:noProof/>
          <w:webHidden/>
        </w:rPr>
        <w:instrText xml:space="preserve"> PAGEREF _Toc178076745 \h </w:instrText>
      </w:r>
      <w:r>
        <w:rPr>
          <w:bCs/>
          <w:noProof/>
          <w:webHidden/>
        </w:rPr>
        <w:fldChar w:fldCharType="separate"/>
      </w:r>
      <w:r>
        <w:rPr>
          <w:bCs/>
          <w:noProof/>
          <w:webHidden/>
        </w:rPr>
        <w:t>45</w:t>
      </w:r>
      <w:r>
        <w:rPr>
          <w:bCs/>
          <w:noProof/>
          <w:webHidden/>
        </w:rPr>
        <w:fldChar w:fldCharType="end"/>
      </w:r>
      <w:r>
        <w:rPr/>
        <w:fldChar w:fldCharType="end"/>
      </w:r>
    </w:p>
    <w:p>
      <w:pPr>
        <w:pStyle w:val="style20"/>
        <w:tabs>
          <w:tab w:val="right" w:leader="dot" w:pos="8210"/>
        </w:tabs>
        <w:spacing w:lineRule="auto" w:line="480"/>
        <w:ind w:left="0"/>
        <w:jc w:val="both"/>
        <w:rPr>
          <w:rFonts w:ascii="Calibri" w:cs="宋体" w:eastAsia="宋体" w:hAnsi="Calibri"/>
          <w:bCs/>
          <w:noProof/>
        </w:rPr>
      </w:pPr>
      <w:r>
        <w:rPr/>
        <w:fldChar w:fldCharType="begin"/>
      </w:r>
      <w:r>
        <w:instrText xml:space="preserve"> HYPERLINK \l "_Toc178076746" </w:instrText>
      </w:r>
      <w:r>
        <w:rPr/>
        <w:fldChar w:fldCharType="separate"/>
      </w:r>
      <w:r>
        <w:rPr>
          <w:rStyle w:val="style85"/>
          <w:rFonts w:ascii="Times New Roman" w:cs="Times New Roman" w:hAnsi="Times New Roman"/>
          <w:bCs/>
          <w:noProof/>
        </w:rPr>
        <w:t>5.2 Recommendations</w:t>
      </w:r>
      <w:r>
        <w:rPr>
          <w:bCs/>
          <w:noProof/>
          <w:webHidden/>
        </w:rPr>
        <w:tab/>
      </w:r>
      <w:r>
        <w:rPr>
          <w:bCs/>
          <w:noProof/>
          <w:webHidden/>
        </w:rPr>
        <w:fldChar w:fldCharType="begin"/>
      </w:r>
      <w:r>
        <w:rPr>
          <w:bCs/>
          <w:noProof/>
          <w:webHidden/>
        </w:rPr>
        <w:instrText xml:space="preserve"> PAGEREF _Toc178076746 \h </w:instrText>
      </w:r>
      <w:r>
        <w:rPr>
          <w:bCs/>
          <w:noProof/>
          <w:webHidden/>
        </w:rPr>
        <w:fldChar w:fldCharType="separate"/>
      </w:r>
      <w:r>
        <w:rPr>
          <w:bCs/>
          <w:noProof/>
          <w:webHidden/>
        </w:rPr>
        <w:t>46</w:t>
      </w:r>
      <w:r>
        <w:rPr>
          <w:bCs/>
          <w:noProof/>
          <w:webHidden/>
        </w:rPr>
        <w:fldChar w:fldCharType="end"/>
      </w:r>
      <w:r>
        <w:rPr/>
        <w:fldChar w:fldCharType="end"/>
      </w:r>
    </w:p>
    <w:p>
      <w:pPr>
        <w:pStyle w:val="style0"/>
        <w:tabs>
          <w:tab w:val="left" w:leader="none" w:pos="3240"/>
        </w:tabs>
        <w:spacing w:after="0" w:lineRule="auto" w:line="480"/>
        <w:rPr>
          <w:bCs/>
          <w:color w:val="000000"/>
        </w:rPr>
      </w:pPr>
      <w:r>
        <w:rPr>
          <w:bCs/>
          <w:noProof/>
          <w:color w:val="000000"/>
        </w:rPr>
        <w:fldChar w:fldCharType="end"/>
      </w:r>
    </w:p>
    <w:p>
      <w:pPr>
        <w:pStyle w:val="style1"/>
        <w:tabs>
          <w:tab w:val="left" w:leader="none" w:pos="3240"/>
        </w:tabs>
        <w:spacing w:before="0" w:lineRule="auto" w:line="480"/>
        <w:jc w:val="center"/>
        <w:rPr>
          <w:rFonts w:ascii="Times New Roman" w:cs="Times New Roman" w:hAnsi="Times New Roman"/>
          <w:b/>
          <w:bCs/>
          <w:color w:val="000000"/>
          <w:sz w:val="24"/>
          <w:szCs w:val="24"/>
        </w:rPr>
      </w:pPr>
      <w:r>
        <w:rPr>
          <w:rFonts w:ascii="Times New Roman" w:cs="Times New Roman" w:hAnsi="Times New Roman"/>
          <w:color w:val="000000"/>
          <w:sz w:val="24"/>
          <w:szCs w:val="24"/>
        </w:rPr>
        <w:br w:type="page"/>
      </w:r>
      <w:bookmarkStart w:id="6" w:name="_Toc178076704"/>
      <w:r>
        <w:rPr>
          <w:rFonts w:ascii="Times New Roman" w:cs="Times New Roman" w:hAnsi="Times New Roman"/>
          <w:b/>
          <w:bCs/>
          <w:color w:val="000000"/>
          <w:sz w:val="24"/>
          <w:szCs w:val="24"/>
        </w:rPr>
        <w:t>LIST OF TABLES</w:t>
      </w:r>
      <w:bookmarkEnd w:id="6"/>
    </w:p>
    <w:p>
      <w:pPr>
        <w:pStyle w:val="style35"/>
        <w:tabs>
          <w:tab w:val="right" w:leader="dot" w:pos="8210"/>
        </w:tabs>
        <w:spacing w:lineRule="auto" w:line="480"/>
        <w:jc w:val="both"/>
        <w:rPr>
          <w:rFonts w:ascii="Calibri" w:cs="宋体" w:eastAsia="宋体" w:hAnsi="Calibri"/>
          <w:bCs/>
          <w:noProof/>
          <w:sz w:val="24"/>
          <w:szCs w:val="24"/>
          <w:lang w:val="en-US"/>
        </w:rPr>
      </w:pPr>
      <w:r>
        <w:rPr>
          <w:rFonts w:eastAsia="Times New Roman"/>
          <w:bCs/>
          <w:color w:val="000000"/>
          <w:kern w:val="2"/>
          <w:sz w:val="24"/>
          <w:szCs w:val="24"/>
          <w:lang w:eastAsia="en-GB"/>
        </w:rPr>
        <w:fldChar w:fldCharType="begin"/>
      </w:r>
      <w:r>
        <w:rPr>
          <w:bCs/>
          <w:color w:val="000000"/>
          <w:sz w:val="24"/>
          <w:szCs w:val="24"/>
        </w:rPr>
        <w:instrText xml:space="preserve"> TOC \h \z \c "Table" </w:instrText>
      </w:r>
      <w:r>
        <w:rPr>
          <w:rFonts w:eastAsia="Times New Roman"/>
          <w:bCs/>
          <w:color w:val="000000"/>
          <w:kern w:val="2"/>
          <w:sz w:val="24"/>
          <w:szCs w:val="24"/>
          <w:lang w:eastAsia="en-GB"/>
        </w:rPr>
        <w:fldChar w:fldCharType="separate"/>
      </w:r>
      <w:r>
        <w:rPr/>
        <w:fldChar w:fldCharType="begin"/>
      </w:r>
      <w:r>
        <w:instrText xml:space="preserve"> HYPERLINK \l "_Toc177668536" </w:instrText>
      </w:r>
      <w:r>
        <w:rPr/>
        <w:fldChar w:fldCharType="separate"/>
      </w:r>
      <w:r>
        <w:rPr>
          <w:rStyle w:val="style85"/>
          <w:bCs/>
          <w:noProof/>
          <w:sz w:val="24"/>
          <w:szCs w:val="24"/>
        </w:rPr>
        <w:t>Table 1: Distribution of respondents</w:t>
      </w:r>
      <w:r>
        <w:rPr>
          <w:bCs/>
          <w:noProof/>
          <w:webHidden/>
          <w:sz w:val="24"/>
          <w:szCs w:val="24"/>
        </w:rPr>
        <w:tab/>
      </w:r>
      <w:r>
        <w:rPr>
          <w:bCs/>
          <w:noProof/>
          <w:webHidden/>
          <w:sz w:val="24"/>
          <w:szCs w:val="24"/>
        </w:rPr>
        <w:fldChar w:fldCharType="begin"/>
      </w:r>
      <w:r>
        <w:rPr>
          <w:bCs/>
          <w:noProof/>
          <w:webHidden/>
          <w:sz w:val="24"/>
          <w:szCs w:val="24"/>
        </w:rPr>
        <w:instrText xml:space="preserve"> PAGEREF _Toc177668536 \h </w:instrText>
      </w:r>
      <w:r>
        <w:rPr>
          <w:bCs/>
          <w:noProof/>
          <w:webHidden/>
          <w:sz w:val="24"/>
          <w:szCs w:val="24"/>
        </w:rPr>
        <w:fldChar w:fldCharType="separate"/>
      </w:r>
      <w:r>
        <w:rPr>
          <w:bCs/>
          <w:noProof/>
          <w:webHidden/>
          <w:sz w:val="24"/>
          <w:szCs w:val="24"/>
        </w:rPr>
        <w:t>20</w:t>
      </w:r>
      <w:r>
        <w:rPr>
          <w:bCs/>
          <w:noProof/>
          <w:webHidden/>
          <w:sz w:val="24"/>
          <w:szCs w:val="24"/>
        </w:rPr>
        <w:fldChar w:fldCharType="end"/>
      </w:r>
      <w:r>
        <w:rPr/>
        <w:fldChar w:fldCharType="end"/>
      </w:r>
    </w:p>
    <w:p>
      <w:pPr>
        <w:pStyle w:val="style35"/>
        <w:tabs>
          <w:tab w:val="right" w:leader="dot" w:pos="8210"/>
        </w:tabs>
        <w:spacing w:lineRule="auto" w:line="480"/>
        <w:jc w:val="both"/>
        <w:rPr>
          <w:rFonts w:ascii="Calibri" w:cs="宋体" w:eastAsia="宋体" w:hAnsi="Calibri"/>
          <w:bCs/>
          <w:noProof/>
          <w:sz w:val="24"/>
          <w:szCs w:val="24"/>
          <w:lang w:val="en-US"/>
        </w:rPr>
      </w:pPr>
      <w:r>
        <w:rPr/>
        <w:fldChar w:fldCharType="begin"/>
      </w:r>
      <w:r>
        <w:instrText xml:space="preserve"> HYPERLINK \l "_Toc177668537" </w:instrText>
      </w:r>
      <w:r>
        <w:rPr/>
        <w:fldChar w:fldCharType="separate"/>
      </w:r>
      <w:r>
        <w:rPr>
          <w:rStyle w:val="style85"/>
          <w:bCs/>
          <w:noProof/>
          <w:sz w:val="24"/>
          <w:szCs w:val="24"/>
        </w:rPr>
        <w:t>Table 2: Demographic information of the respondents</w:t>
      </w:r>
      <w:r>
        <w:rPr>
          <w:bCs/>
          <w:noProof/>
          <w:webHidden/>
          <w:sz w:val="24"/>
          <w:szCs w:val="24"/>
        </w:rPr>
        <w:tab/>
      </w:r>
      <w:r>
        <w:rPr>
          <w:bCs/>
          <w:noProof/>
          <w:webHidden/>
          <w:sz w:val="24"/>
          <w:szCs w:val="24"/>
        </w:rPr>
        <w:fldChar w:fldCharType="begin"/>
      </w:r>
      <w:r>
        <w:rPr>
          <w:bCs/>
          <w:noProof/>
          <w:webHidden/>
          <w:sz w:val="24"/>
          <w:szCs w:val="24"/>
        </w:rPr>
        <w:instrText xml:space="preserve"> PAGEREF _Toc177668537 \h </w:instrText>
      </w:r>
      <w:r>
        <w:rPr>
          <w:bCs/>
          <w:noProof/>
          <w:webHidden/>
          <w:sz w:val="24"/>
          <w:szCs w:val="24"/>
        </w:rPr>
        <w:fldChar w:fldCharType="separate"/>
      </w:r>
      <w:r>
        <w:rPr>
          <w:bCs/>
          <w:noProof/>
          <w:webHidden/>
          <w:sz w:val="24"/>
          <w:szCs w:val="24"/>
        </w:rPr>
        <w:t>25</w:t>
      </w:r>
      <w:r>
        <w:rPr>
          <w:bCs/>
          <w:noProof/>
          <w:webHidden/>
          <w:sz w:val="24"/>
          <w:szCs w:val="24"/>
        </w:rPr>
        <w:fldChar w:fldCharType="end"/>
      </w:r>
      <w:r>
        <w:rPr/>
        <w:fldChar w:fldCharType="end"/>
      </w:r>
    </w:p>
    <w:p>
      <w:pPr>
        <w:pStyle w:val="style35"/>
        <w:tabs>
          <w:tab w:val="right" w:leader="dot" w:pos="8210"/>
        </w:tabs>
        <w:spacing w:lineRule="auto" w:line="480"/>
        <w:jc w:val="both"/>
        <w:rPr>
          <w:rFonts w:ascii="Calibri" w:cs="宋体" w:eastAsia="宋体" w:hAnsi="Calibri"/>
          <w:bCs/>
          <w:noProof/>
          <w:sz w:val="24"/>
          <w:szCs w:val="24"/>
          <w:lang w:val="en-US"/>
        </w:rPr>
      </w:pPr>
      <w:r>
        <w:rPr/>
        <w:fldChar w:fldCharType="begin"/>
      </w:r>
      <w:r>
        <w:instrText xml:space="preserve"> HYPERLINK \l "_Toc177668538" </w:instrText>
      </w:r>
      <w:r>
        <w:rPr/>
        <w:fldChar w:fldCharType="separate"/>
      </w:r>
      <w:r>
        <w:rPr>
          <w:rStyle w:val="style85"/>
          <w:bCs/>
          <w:noProof/>
          <w:sz w:val="24"/>
          <w:szCs w:val="24"/>
        </w:rPr>
        <w:t>Table 3: Type of wood fuel (n = 99)</w:t>
      </w:r>
      <w:r>
        <w:rPr>
          <w:bCs/>
          <w:noProof/>
          <w:webHidden/>
          <w:sz w:val="24"/>
          <w:szCs w:val="24"/>
        </w:rPr>
        <w:tab/>
      </w:r>
      <w:r>
        <w:rPr>
          <w:bCs/>
          <w:noProof/>
          <w:webHidden/>
          <w:sz w:val="24"/>
          <w:szCs w:val="24"/>
        </w:rPr>
        <w:fldChar w:fldCharType="begin"/>
      </w:r>
      <w:r>
        <w:rPr>
          <w:bCs/>
          <w:noProof/>
          <w:webHidden/>
          <w:sz w:val="24"/>
          <w:szCs w:val="24"/>
        </w:rPr>
        <w:instrText xml:space="preserve"> PAGEREF _Toc177668538 \h </w:instrText>
      </w:r>
      <w:r>
        <w:rPr>
          <w:bCs/>
          <w:noProof/>
          <w:webHidden/>
          <w:sz w:val="24"/>
          <w:szCs w:val="24"/>
        </w:rPr>
        <w:fldChar w:fldCharType="separate"/>
      </w:r>
      <w:r>
        <w:rPr>
          <w:bCs/>
          <w:noProof/>
          <w:webHidden/>
          <w:sz w:val="24"/>
          <w:szCs w:val="24"/>
        </w:rPr>
        <w:t>26</w:t>
      </w:r>
      <w:r>
        <w:rPr>
          <w:bCs/>
          <w:noProof/>
          <w:webHidden/>
          <w:sz w:val="24"/>
          <w:szCs w:val="24"/>
        </w:rPr>
        <w:fldChar w:fldCharType="end"/>
      </w:r>
      <w:r>
        <w:rPr/>
        <w:fldChar w:fldCharType="end"/>
      </w:r>
    </w:p>
    <w:p>
      <w:pPr>
        <w:pStyle w:val="style35"/>
        <w:tabs>
          <w:tab w:val="right" w:leader="dot" w:pos="8210"/>
        </w:tabs>
        <w:spacing w:lineRule="auto" w:line="480"/>
        <w:jc w:val="both"/>
        <w:rPr>
          <w:rFonts w:ascii="Calibri" w:cs="宋体" w:eastAsia="宋体" w:hAnsi="Calibri"/>
          <w:bCs/>
          <w:noProof/>
          <w:sz w:val="24"/>
          <w:szCs w:val="24"/>
          <w:lang w:val="en-US"/>
        </w:rPr>
      </w:pPr>
      <w:r>
        <w:rPr/>
        <w:fldChar w:fldCharType="begin"/>
      </w:r>
      <w:r>
        <w:instrText xml:space="preserve"> HYPERLINK \l "_Toc177668539" </w:instrText>
      </w:r>
      <w:r>
        <w:rPr/>
        <w:fldChar w:fldCharType="separate"/>
      </w:r>
      <w:r>
        <w:rPr>
          <w:rStyle w:val="style85"/>
          <w:bCs/>
          <w:noProof/>
          <w:sz w:val="24"/>
          <w:szCs w:val="24"/>
        </w:rPr>
        <w:t>Table 4: Amount of wood fuel per each type (n = 99)</w:t>
      </w:r>
      <w:r>
        <w:rPr>
          <w:bCs/>
          <w:noProof/>
          <w:webHidden/>
          <w:sz w:val="24"/>
          <w:szCs w:val="24"/>
        </w:rPr>
        <w:tab/>
      </w:r>
      <w:r>
        <w:rPr>
          <w:bCs/>
          <w:noProof/>
          <w:webHidden/>
          <w:sz w:val="24"/>
          <w:szCs w:val="24"/>
        </w:rPr>
        <w:fldChar w:fldCharType="begin"/>
      </w:r>
      <w:r>
        <w:rPr>
          <w:bCs/>
          <w:noProof/>
          <w:webHidden/>
          <w:sz w:val="24"/>
          <w:szCs w:val="24"/>
        </w:rPr>
        <w:instrText xml:space="preserve"> PAGEREF _Toc177668539 \h </w:instrText>
      </w:r>
      <w:r>
        <w:rPr>
          <w:bCs/>
          <w:noProof/>
          <w:webHidden/>
          <w:sz w:val="24"/>
          <w:szCs w:val="24"/>
        </w:rPr>
        <w:fldChar w:fldCharType="separate"/>
      </w:r>
      <w:r>
        <w:rPr>
          <w:bCs/>
          <w:noProof/>
          <w:webHidden/>
          <w:sz w:val="24"/>
          <w:szCs w:val="24"/>
        </w:rPr>
        <w:t>29</w:t>
      </w:r>
      <w:r>
        <w:rPr>
          <w:bCs/>
          <w:noProof/>
          <w:webHidden/>
          <w:sz w:val="24"/>
          <w:szCs w:val="24"/>
        </w:rPr>
        <w:fldChar w:fldCharType="end"/>
      </w:r>
      <w:r>
        <w:rPr/>
        <w:fldChar w:fldCharType="end"/>
      </w:r>
    </w:p>
    <w:p>
      <w:pPr>
        <w:pStyle w:val="style35"/>
        <w:tabs>
          <w:tab w:val="right" w:leader="dot" w:pos="8210"/>
        </w:tabs>
        <w:spacing w:lineRule="auto" w:line="480"/>
        <w:jc w:val="both"/>
        <w:rPr>
          <w:rFonts w:ascii="Calibri" w:cs="宋体" w:eastAsia="宋体" w:hAnsi="Calibri"/>
          <w:bCs/>
          <w:noProof/>
          <w:sz w:val="24"/>
          <w:szCs w:val="24"/>
          <w:lang w:val="en-US"/>
        </w:rPr>
      </w:pPr>
      <w:r>
        <w:rPr/>
        <w:fldChar w:fldCharType="begin"/>
      </w:r>
      <w:r>
        <w:instrText xml:space="preserve"> HYPERLINK \l "_Toc177668540" </w:instrText>
      </w:r>
      <w:r>
        <w:rPr/>
        <w:fldChar w:fldCharType="separate"/>
      </w:r>
      <w:r>
        <w:rPr>
          <w:rStyle w:val="style85"/>
          <w:bCs/>
          <w:noProof/>
          <w:sz w:val="24"/>
          <w:szCs w:val="24"/>
        </w:rPr>
        <w:t>Table 5: Sources of wood fuel energy</w:t>
      </w:r>
      <w:r>
        <w:rPr>
          <w:bCs/>
          <w:noProof/>
          <w:webHidden/>
          <w:sz w:val="24"/>
          <w:szCs w:val="24"/>
        </w:rPr>
        <w:tab/>
      </w:r>
      <w:r>
        <w:rPr>
          <w:bCs/>
          <w:noProof/>
          <w:webHidden/>
          <w:sz w:val="24"/>
          <w:szCs w:val="24"/>
        </w:rPr>
        <w:fldChar w:fldCharType="begin"/>
      </w:r>
      <w:r>
        <w:rPr>
          <w:bCs/>
          <w:noProof/>
          <w:webHidden/>
          <w:sz w:val="24"/>
          <w:szCs w:val="24"/>
        </w:rPr>
        <w:instrText xml:space="preserve"> PAGEREF _Toc177668540 \h </w:instrText>
      </w:r>
      <w:r>
        <w:rPr>
          <w:bCs/>
          <w:noProof/>
          <w:webHidden/>
          <w:sz w:val="24"/>
          <w:szCs w:val="24"/>
        </w:rPr>
        <w:fldChar w:fldCharType="separate"/>
      </w:r>
      <w:r>
        <w:rPr>
          <w:bCs/>
          <w:noProof/>
          <w:webHidden/>
          <w:sz w:val="24"/>
          <w:szCs w:val="24"/>
        </w:rPr>
        <w:t>32</w:t>
      </w:r>
      <w:r>
        <w:rPr>
          <w:bCs/>
          <w:noProof/>
          <w:webHidden/>
          <w:sz w:val="24"/>
          <w:szCs w:val="24"/>
        </w:rPr>
        <w:fldChar w:fldCharType="end"/>
      </w:r>
      <w:r>
        <w:rPr/>
        <w:fldChar w:fldCharType="end"/>
      </w:r>
    </w:p>
    <w:p>
      <w:pPr>
        <w:pStyle w:val="style35"/>
        <w:tabs>
          <w:tab w:val="right" w:leader="dot" w:pos="8210"/>
        </w:tabs>
        <w:spacing w:lineRule="auto" w:line="480"/>
        <w:jc w:val="both"/>
        <w:rPr>
          <w:rFonts w:ascii="Calibri" w:cs="宋体" w:eastAsia="宋体" w:hAnsi="Calibri"/>
          <w:bCs/>
          <w:noProof/>
          <w:sz w:val="24"/>
          <w:szCs w:val="24"/>
          <w:lang w:val="en-US"/>
        </w:rPr>
      </w:pPr>
      <w:r>
        <w:rPr/>
        <w:fldChar w:fldCharType="begin"/>
      </w:r>
      <w:r>
        <w:instrText xml:space="preserve"> HYPERLINK \l "_Toc177668541" </w:instrText>
      </w:r>
      <w:r>
        <w:rPr/>
        <w:fldChar w:fldCharType="separate"/>
      </w:r>
      <w:r>
        <w:rPr>
          <w:rStyle w:val="style85"/>
          <w:bCs/>
          <w:noProof/>
          <w:sz w:val="24"/>
          <w:szCs w:val="24"/>
        </w:rPr>
        <w:t>Table 6: Agreement with Health Impacts of Wood fuel Consumption</w:t>
      </w:r>
      <w:r>
        <w:rPr>
          <w:bCs/>
          <w:noProof/>
          <w:webHidden/>
          <w:sz w:val="24"/>
          <w:szCs w:val="24"/>
        </w:rPr>
        <w:tab/>
      </w:r>
      <w:r>
        <w:rPr>
          <w:bCs/>
          <w:noProof/>
          <w:webHidden/>
          <w:sz w:val="24"/>
          <w:szCs w:val="24"/>
        </w:rPr>
        <w:fldChar w:fldCharType="begin"/>
      </w:r>
      <w:r>
        <w:rPr>
          <w:bCs/>
          <w:noProof/>
          <w:webHidden/>
          <w:sz w:val="24"/>
          <w:szCs w:val="24"/>
        </w:rPr>
        <w:instrText xml:space="preserve"> PAGEREF _Toc177668541 \h </w:instrText>
      </w:r>
      <w:r>
        <w:rPr>
          <w:bCs/>
          <w:noProof/>
          <w:webHidden/>
          <w:sz w:val="24"/>
          <w:szCs w:val="24"/>
        </w:rPr>
        <w:fldChar w:fldCharType="separate"/>
      </w:r>
      <w:r>
        <w:rPr>
          <w:bCs/>
          <w:noProof/>
          <w:webHidden/>
          <w:sz w:val="24"/>
          <w:szCs w:val="24"/>
        </w:rPr>
        <w:t>34</w:t>
      </w:r>
      <w:r>
        <w:rPr>
          <w:bCs/>
          <w:noProof/>
          <w:webHidden/>
          <w:sz w:val="24"/>
          <w:szCs w:val="24"/>
        </w:rPr>
        <w:fldChar w:fldCharType="end"/>
      </w:r>
      <w:r>
        <w:rPr/>
        <w:fldChar w:fldCharType="end"/>
      </w:r>
    </w:p>
    <w:p>
      <w:pPr>
        <w:pStyle w:val="style35"/>
        <w:tabs>
          <w:tab w:val="right" w:leader="dot" w:pos="8210"/>
        </w:tabs>
        <w:spacing w:lineRule="auto" w:line="480"/>
        <w:jc w:val="both"/>
        <w:rPr>
          <w:rFonts w:ascii="Calibri" w:cs="宋体" w:eastAsia="宋体" w:hAnsi="Calibri"/>
          <w:bCs/>
          <w:noProof/>
          <w:sz w:val="24"/>
          <w:szCs w:val="24"/>
          <w:lang w:val="en-US"/>
        </w:rPr>
      </w:pPr>
      <w:r>
        <w:rPr/>
        <w:fldChar w:fldCharType="begin"/>
      </w:r>
      <w:r>
        <w:instrText xml:space="preserve"> HYPERLINK \l "_Toc177668542" </w:instrText>
      </w:r>
      <w:r>
        <w:rPr/>
        <w:fldChar w:fldCharType="separate"/>
      </w:r>
      <w:r>
        <w:rPr>
          <w:rStyle w:val="style85"/>
          <w:bCs/>
          <w:noProof/>
          <w:sz w:val="24"/>
          <w:szCs w:val="24"/>
        </w:rPr>
        <w:t>Table 7: Social Dynamics of Wood fuel Consumption</w:t>
      </w:r>
      <w:r>
        <w:rPr>
          <w:bCs/>
          <w:noProof/>
          <w:webHidden/>
          <w:sz w:val="24"/>
          <w:szCs w:val="24"/>
        </w:rPr>
        <w:tab/>
      </w:r>
      <w:r>
        <w:rPr>
          <w:bCs/>
          <w:noProof/>
          <w:webHidden/>
          <w:sz w:val="24"/>
          <w:szCs w:val="24"/>
        </w:rPr>
        <w:fldChar w:fldCharType="begin"/>
      </w:r>
      <w:r>
        <w:rPr>
          <w:bCs/>
          <w:noProof/>
          <w:webHidden/>
          <w:sz w:val="24"/>
          <w:szCs w:val="24"/>
        </w:rPr>
        <w:instrText xml:space="preserve"> PAGEREF _Toc177668542 \h </w:instrText>
      </w:r>
      <w:r>
        <w:rPr>
          <w:bCs/>
          <w:noProof/>
          <w:webHidden/>
          <w:sz w:val="24"/>
          <w:szCs w:val="24"/>
        </w:rPr>
        <w:fldChar w:fldCharType="separate"/>
      </w:r>
      <w:r>
        <w:rPr>
          <w:bCs/>
          <w:noProof/>
          <w:webHidden/>
          <w:sz w:val="24"/>
          <w:szCs w:val="24"/>
        </w:rPr>
        <w:t>36</w:t>
      </w:r>
      <w:r>
        <w:rPr>
          <w:bCs/>
          <w:noProof/>
          <w:webHidden/>
          <w:sz w:val="24"/>
          <w:szCs w:val="24"/>
        </w:rPr>
        <w:fldChar w:fldCharType="end"/>
      </w:r>
      <w:r>
        <w:rPr/>
        <w:fldChar w:fldCharType="end"/>
      </w:r>
    </w:p>
    <w:p>
      <w:pPr>
        <w:pStyle w:val="style35"/>
        <w:tabs>
          <w:tab w:val="right" w:leader="dot" w:pos="8210"/>
        </w:tabs>
        <w:spacing w:lineRule="auto" w:line="480"/>
        <w:jc w:val="both"/>
        <w:rPr>
          <w:rFonts w:ascii="Calibri" w:cs="宋体" w:eastAsia="宋体" w:hAnsi="Calibri"/>
          <w:bCs/>
          <w:noProof/>
          <w:sz w:val="24"/>
          <w:szCs w:val="24"/>
          <w:lang w:val="en-US"/>
        </w:rPr>
      </w:pPr>
      <w:r>
        <w:rPr/>
        <w:fldChar w:fldCharType="begin"/>
      </w:r>
      <w:r>
        <w:instrText xml:space="preserve"> HYPERLINK \l "_Toc177668543" </w:instrText>
      </w:r>
      <w:r>
        <w:rPr/>
        <w:fldChar w:fldCharType="separate"/>
      </w:r>
      <w:r>
        <w:rPr>
          <w:rStyle w:val="style85"/>
          <w:bCs/>
          <w:noProof/>
          <w:sz w:val="24"/>
          <w:szCs w:val="24"/>
        </w:rPr>
        <w:t>Table 8: Economic Effects of Wood fuel Consumption</w:t>
      </w:r>
      <w:r>
        <w:rPr>
          <w:bCs/>
          <w:noProof/>
          <w:webHidden/>
          <w:sz w:val="24"/>
          <w:szCs w:val="24"/>
        </w:rPr>
        <w:tab/>
      </w:r>
      <w:r>
        <w:rPr>
          <w:bCs/>
          <w:noProof/>
          <w:webHidden/>
          <w:sz w:val="24"/>
          <w:szCs w:val="24"/>
        </w:rPr>
        <w:fldChar w:fldCharType="begin"/>
      </w:r>
      <w:r>
        <w:rPr>
          <w:bCs/>
          <w:noProof/>
          <w:webHidden/>
          <w:sz w:val="24"/>
          <w:szCs w:val="24"/>
        </w:rPr>
        <w:instrText xml:space="preserve"> PAGEREF _Toc177668543 \h </w:instrText>
      </w:r>
      <w:r>
        <w:rPr>
          <w:bCs/>
          <w:noProof/>
          <w:webHidden/>
          <w:sz w:val="24"/>
          <w:szCs w:val="24"/>
        </w:rPr>
        <w:fldChar w:fldCharType="separate"/>
      </w:r>
      <w:r>
        <w:rPr>
          <w:bCs/>
          <w:noProof/>
          <w:webHidden/>
          <w:sz w:val="24"/>
          <w:szCs w:val="24"/>
        </w:rPr>
        <w:t>38</w:t>
      </w:r>
      <w:r>
        <w:rPr>
          <w:bCs/>
          <w:noProof/>
          <w:webHidden/>
          <w:sz w:val="24"/>
          <w:szCs w:val="24"/>
        </w:rPr>
        <w:fldChar w:fldCharType="end"/>
      </w:r>
      <w:r>
        <w:rPr/>
        <w:fldChar w:fldCharType="end"/>
      </w:r>
    </w:p>
    <w:p>
      <w:pPr>
        <w:pStyle w:val="style35"/>
        <w:tabs>
          <w:tab w:val="right" w:leader="dot" w:pos="8210"/>
        </w:tabs>
        <w:spacing w:lineRule="auto" w:line="480"/>
        <w:jc w:val="both"/>
        <w:rPr>
          <w:rFonts w:ascii="Calibri" w:cs="宋体" w:eastAsia="宋体" w:hAnsi="Calibri"/>
          <w:bCs/>
          <w:noProof/>
          <w:sz w:val="24"/>
          <w:szCs w:val="24"/>
          <w:lang w:val="en-US"/>
        </w:rPr>
      </w:pPr>
      <w:r>
        <w:rPr/>
        <w:fldChar w:fldCharType="begin"/>
      </w:r>
      <w:r>
        <w:instrText xml:space="preserve"> HYPERLINK \l "_Toc177668544" </w:instrText>
      </w:r>
      <w:r>
        <w:rPr/>
        <w:fldChar w:fldCharType="separate"/>
      </w:r>
      <w:r>
        <w:rPr>
          <w:rStyle w:val="style85"/>
          <w:bCs/>
          <w:noProof/>
          <w:sz w:val="24"/>
          <w:szCs w:val="24"/>
        </w:rPr>
        <w:t>Table 9:  Perceived Effects of Wood fuel Consumption</w:t>
      </w:r>
      <w:r>
        <w:rPr>
          <w:bCs/>
          <w:noProof/>
          <w:webHidden/>
          <w:sz w:val="24"/>
          <w:szCs w:val="24"/>
        </w:rPr>
        <w:tab/>
      </w:r>
      <w:r>
        <w:rPr>
          <w:bCs/>
          <w:noProof/>
          <w:webHidden/>
          <w:sz w:val="24"/>
          <w:szCs w:val="24"/>
        </w:rPr>
        <w:fldChar w:fldCharType="begin"/>
      </w:r>
      <w:r>
        <w:rPr>
          <w:bCs/>
          <w:noProof/>
          <w:webHidden/>
          <w:sz w:val="24"/>
          <w:szCs w:val="24"/>
        </w:rPr>
        <w:instrText xml:space="preserve"> PAGEREF _Toc177668544 \h </w:instrText>
      </w:r>
      <w:r>
        <w:rPr>
          <w:bCs/>
          <w:noProof/>
          <w:webHidden/>
          <w:sz w:val="24"/>
          <w:szCs w:val="24"/>
        </w:rPr>
        <w:fldChar w:fldCharType="separate"/>
      </w:r>
      <w:r>
        <w:rPr>
          <w:bCs/>
          <w:noProof/>
          <w:webHidden/>
          <w:sz w:val="24"/>
          <w:szCs w:val="24"/>
        </w:rPr>
        <w:t>39</w:t>
      </w:r>
      <w:r>
        <w:rPr>
          <w:bCs/>
          <w:noProof/>
          <w:webHidden/>
          <w:sz w:val="24"/>
          <w:szCs w:val="24"/>
        </w:rPr>
        <w:fldChar w:fldCharType="end"/>
      </w:r>
      <w:r>
        <w:rPr/>
        <w:fldChar w:fldCharType="end"/>
      </w:r>
    </w:p>
    <w:p>
      <w:pPr>
        <w:pStyle w:val="style35"/>
        <w:tabs>
          <w:tab w:val="right" w:leader="dot" w:pos="8210"/>
        </w:tabs>
        <w:spacing w:lineRule="auto" w:line="480"/>
        <w:jc w:val="both"/>
        <w:rPr>
          <w:rFonts w:ascii="Calibri" w:cs="宋体" w:eastAsia="宋体" w:hAnsi="Calibri"/>
          <w:bCs/>
          <w:noProof/>
          <w:sz w:val="24"/>
          <w:szCs w:val="24"/>
          <w:lang w:val="en-US"/>
        </w:rPr>
      </w:pPr>
      <w:r>
        <w:rPr/>
        <w:fldChar w:fldCharType="begin"/>
      </w:r>
      <w:r>
        <w:instrText xml:space="preserve"> HYPERLINK \l "_Toc177668545" </w:instrText>
      </w:r>
      <w:r>
        <w:rPr/>
        <w:fldChar w:fldCharType="separate"/>
      </w:r>
      <w:r>
        <w:rPr>
          <w:rStyle w:val="style85"/>
          <w:bCs/>
          <w:noProof/>
          <w:sz w:val="24"/>
          <w:szCs w:val="24"/>
        </w:rPr>
        <w:t>Table 10: Tree planted in Mazingara ward</w:t>
      </w:r>
      <w:r>
        <w:rPr>
          <w:bCs/>
          <w:noProof/>
          <w:webHidden/>
          <w:sz w:val="24"/>
          <w:szCs w:val="24"/>
        </w:rPr>
        <w:tab/>
      </w:r>
      <w:r>
        <w:rPr>
          <w:bCs/>
          <w:noProof/>
          <w:webHidden/>
          <w:sz w:val="24"/>
          <w:szCs w:val="24"/>
        </w:rPr>
        <w:fldChar w:fldCharType="begin"/>
      </w:r>
      <w:r>
        <w:rPr>
          <w:bCs/>
          <w:noProof/>
          <w:webHidden/>
          <w:sz w:val="24"/>
          <w:szCs w:val="24"/>
        </w:rPr>
        <w:instrText xml:space="preserve"> PAGEREF _Toc177668545 \h </w:instrText>
      </w:r>
      <w:r>
        <w:rPr>
          <w:bCs/>
          <w:noProof/>
          <w:webHidden/>
          <w:sz w:val="24"/>
          <w:szCs w:val="24"/>
        </w:rPr>
        <w:fldChar w:fldCharType="separate"/>
      </w:r>
      <w:r>
        <w:rPr>
          <w:bCs/>
          <w:noProof/>
          <w:webHidden/>
          <w:sz w:val="24"/>
          <w:szCs w:val="24"/>
        </w:rPr>
        <w:t>41</w:t>
      </w:r>
      <w:r>
        <w:rPr>
          <w:bCs/>
          <w:noProof/>
          <w:webHidden/>
          <w:sz w:val="24"/>
          <w:szCs w:val="24"/>
        </w:rPr>
        <w:fldChar w:fldCharType="end"/>
      </w:r>
      <w:r>
        <w:rPr/>
        <w:fldChar w:fldCharType="end"/>
      </w:r>
    </w:p>
    <w:p>
      <w:pPr>
        <w:pStyle w:val="style35"/>
        <w:tabs>
          <w:tab w:val="right" w:leader="dot" w:pos="8210"/>
        </w:tabs>
        <w:spacing w:lineRule="auto" w:line="480"/>
        <w:jc w:val="both"/>
        <w:rPr>
          <w:rFonts w:ascii="Calibri" w:cs="宋体" w:eastAsia="宋体" w:hAnsi="Calibri"/>
          <w:bCs/>
          <w:noProof/>
          <w:sz w:val="24"/>
          <w:szCs w:val="24"/>
          <w:lang w:val="en-US"/>
        </w:rPr>
      </w:pPr>
      <w:r>
        <w:rPr/>
        <w:fldChar w:fldCharType="begin"/>
      </w:r>
      <w:r>
        <w:instrText xml:space="preserve"> HYPERLINK \l "_Toc177668546" </w:instrText>
      </w:r>
      <w:r>
        <w:rPr/>
        <w:fldChar w:fldCharType="separate"/>
      </w:r>
      <w:r>
        <w:rPr>
          <w:rStyle w:val="style85"/>
          <w:bCs/>
          <w:noProof/>
          <w:sz w:val="24"/>
          <w:szCs w:val="24"/>
        </w:rPr>
        <w:t>Table 11: Use of Alternative Energy Sources</w:t>
      </w:r>
      <w:r>
        <w:rPr>
          <w:bCs/>
          <w:noProof/>
          <w:webHidden/>
          <w:sz w:val="24"/>
          <w:szCs w:val="24"/>
        </w:rPr>
        <w:tab/>
      </w:r>
      <w:r>
        <w:rPr>
          <w:bCs/>
          <w:noProof/>
          <w:webHidden/>
          <w:sz w:val="24"/>
          <w:szCs w:val="24"/>
        </w:rPr>
        <w:fldChar w:fldCharType="begin"/>
      </w:r>
      <w:r>
        <w:rPr>
          <w:bCs/>
          <w:noProof/>
          <w:webHidden/>
          <w:sz w:val="24"/>
          <w:szCs w:val="24"/>
        </w:rPr>
        <w:instrText xml:space="preserve"> PAGEREF _Toc177668546 \h </w:instrText>
      </w:r>
      <w:r>
        <w:rPr>
          <w:bCs/>
          <w:noProof/>
          <w:webHidden/>
          <w:sz w:val="24"/>
          <w:szCs w:val="24"/>
        </w:rPr>
        <w:fldChar w:fldCharType="separate"/>
      </w:r>
      <w:r>
        <w:rPr>
          <w:bCs/>
          <w:noProof/>
          <w:webHidden/>
          <w:sz w:val="24"/>
          <w:szCs w:val="24"/>
        </w:rPr>
        <w:t>44</w:t>
      </w:r>
      <w:r>
        <w:rPr>
          <w:bCs/>
          <w:noProof/>
          <w:webHidden/>
          <w:sz w:val="24"/>
          <w:szCs w:val="24"/>
        </w:rPr>
        <w:fldChar w:fldCharType="end"/>
      </w:r>
      <w:r>
        <w:rPr/>
        <w:fldChar w:fldCharType="end"/>
      </w:r>
    </w:p>
    <w:p>
      <w:pPr>
        <w:pStyle w:val="style0"/>
        <w:spacing w:lineRule="auto" w:line="480"/>
        <w:rPr>
          <w:bCs/>
          <w:color w:val="000000"/>
        </w:rPr>
      </w:pPr>
      <w:r>
        <w:rPr>
          <w:bCs/>
          <w:color w:val="000000"/>
        </w:rPr>
        <w:fldChar w:fldCharType="end"/>
      </w:r>
    </w:p>
    <w:p>
      <w:pPr>
        <w:pStyle w:val="style0"/>
        <w:rPr>
          <w:color w:val="000000"/>
        </w:rPr>
      </w:pPr>
    </w:p>
    <w:p>
      <w:pPr>
        <w:pStyle w:val="style0"/>
        <w:rPr>
          <w:color w:val="000000"/>
        </w:rPr>
      </w:pPr>
    </w:p>
    <w:p>
      <w:pPr>
        <w:pStyle w:val="style0"/>
        <w:rPr>
          <w:color w:val="000000"/>
        </w:rPr>
      </w:pPr>
    </w:p>
    <w:p>
      <w:pPr>
        <w:pStyle w:val="style0"/>
        <w:rPr>
          <w:color w:val="000000"/>
        </w:rPr>
      </w:pPr>
    </w:p>
    <w:p>
      <w:pPr>
        <w:pStyle w:val="style0"/>
        <w:rPr>
          <w:color w:val="000000"/>
        </w:rPr>
      </w:pPr>
    </w:p>
    <w:p>
      <w:pPr>
        <w:pStyle w:val="style0"/>
        <w:rPr>
          <w:color w:val="000000"/>
        </w:rPr>
      </w:pPr>
    </w:p>
    <w:p>
      <w:pPr>
        <w:pStyle w:val="style0"/>
        <w:rPr>
          <w:color w:val="000000"/>
        </w:rPr>
      </w:pPr>
    </w:p>
    <w:bookmarkStart w:id="7" w:name="_Toc178076705"/>
    <w:p>
      <w:pPr>
        <w:pStyle w:val="style1"/>
        <w:tabs>
          <w:tab w:val="left" w:leader="none" w:pos="3240"/>
        </w:tabs>
        <w:spacing w:before="0" w:lineRule="auto" w:line="480"/>
        <w:jc w:val="center"/>
        <w:rPr>
          <w:rFonts w:ascii="Times New Roman" w:cs="Times New Roman" w:hAnsi="Times New Roman"/>
          <w:b/>
          <w:bCs/>
          <w:color w:val="000000"/>
          <w:sz w:val="24"/>
          <w:szCs w:val="24"/>
        </w:rPr>
      </w:pPr>
      <w:r>
        <w:rPr>
          <w:rFonts w:ascii="Times New Roman" w:cs="Times New Roman" w:hAnsi="Times New Roman"/>
          <w:b/>
          <w:bCs/>
          <w:color w:val="000000"/>
          <w:sz w:val="24"/>
          <w:szCs w:val="24"/>
        </w:rPr>
        <w:t>LIST OF FIGURES</w:t>
      </w:r>
      <w:bookmarkEnd w:id="7"/>
    </w:p>
    <w:p>
      <w:pPr>
        <w:pStyle w:val="style35"/>
        <w:tabs>
          <w:tab w:val="right" w:leader="dot" w:pos="8210"/>
        </w:tabs>
        <w:spacing w:lineRule="auto" w:line="480"/>
        <w:jc w:val="both"/>
        <w:rPr>
          <w:rFonts w:ascii="Calibri" w:cs="宋体" w:eastAsia="宋体" w:hAnsi="Calibri"/>
          <w:noProof/>
          <w:sz w:val="24"/>
          <w:szCs w:val="24"/>
          <w:lang w:val="en-US"/>
        </w:rPr>
      </w:pPr>
      <w:r>
        <w:rPr>
          <w:rFonts w:eastAsia="Times New Roman"/>
          <w:bCs/>
          <w:color w:val="000000"/>
          <w:kern w:val="2"/>
          <w:sz w:val="24"/>
          <w:szCs w:val="24"/>
          <w:lang w:eastAsia="en-GB"/>
        </w:rPr>
        <w:fldChar w:fldCharType="begin"/>
      </w:r>
      <w:r>
        <w:rPr>
          <w:bCs/>
          <w:color w:val="000000"/>
          <w:sz w:val="24"/>
          <w:szCs w:val="24"/>
        </w:rPr>
        <w:instrText xml:space="preserve"> TOC \h \z \c "Figure" </w:instrText>
      </w:r>
      <w:r>
        <w:rPr>
          <w:rFonts w:eastAsia="Times New Roman"/>
          <w:bCs/>
          <w:color w:val="000000"/>
          <w:kern w:val="2"/>
          <w:sz w:val="24"/>
          <w:szCs w:val="24"/>
          <w:lang w:eastAsia="en-GB"/>
        </w:rPr>
        <w:fldChar w:fldCharType="separate"/>
      </w:r>
      <w:r>
        <w:rPr/>
        <w:fldChar w:fldCharType="begin"/>
      </w:r>
      <w:r>
        <w:instrText xml:space="preserve"> HYPERLINK \l "_Toc177668516" </w:instrText>
      </w:r>
      <w:r>
        <w:rPr/>
        <w:fldChar w:fldCharType="separate"/>
      </w:r>
      <w:r>
        <w:rPr>
          <w:rStyle w:val="style85"/>
          <w:noProof/>
          <w:sz w:val="24"/>
          <w:szCs w:val="24"/>
        </w:rPr>
        <w:t>Figure 1: Conceptual Framework</w:t>
      </w:r>
      <w:r>
        <w:rPr>
          <w:noProof/>
          <w:webHidden/>
          <w:sz w:val="24"/>
          <w:szCs w:val="24"/>
        </w:rPr>
        <w:tab/>
      </w:r>
      <w:r>
        <w:rPr>
          <w:noProof/>
          <w:webHidden/>
          <w:sz w:val="24"/>
          <w:szCs w:val="24"/>
        </w:rPr>
        <w:fldChar w:fldCharType="begin"/>
      </w:r>
      <w:r>
        <w:rPr>
          <w:noProof/>
          <w:webHidden/>
          <w:sz w:val="24"/>
          <w:szCs w:val="24"/>
        </w:rPr>
        <w:instrText xml:space="preserve"> PAGEREF _Toc177668516 \h </w:instrText>
      </w:r>
      <w:r>
        <w:rPr>
          <w:noProof/>
          <w:webHidden/>
          <w:sz w:val="24"/>
          <w:szCs w:val="24"/>
        </w:rPr>
        <w:fldChar w:fldCharType="separate"/>
      </w:r>
      <w:r>
        <w:rPr>
          <w:noProof/>
          <w:webHidden/>
          <w:sz w:val="24"/>
          <w:szCs w:val="24"/>
        </w:rPr>
        <w:t>12</w:t>
      </w:r>
      <w:r>
        <w:rPr>
          <w:noProof/>
          <w:webHidden/>
          <w:sz w:val="24"/>
          <w:szCs w:val="24"/>
        </w:rPr>
        <w:fldChar w:fldCharType="end"/>
      </w:r>
      <w:r>
        <w:rPr/>
        <w:fldChar w:fldCharType="end"/>
      </w:r>
    </w:p>
    <w:p>
      <w:pPr>
        <w:pStyle w:val="style35"/>
        <w:tabs>
          <w:tab w:val="right" w:leader="dot" w:pos="8210"/>
        </w:tabs>
        <w:spacing w:lineRule="auto" w:line="480"/>
        <w:jc w:val="both"/>
        <w:rPr>
          <w:rFonts w:ascii="Calibri" w:cs="宋体" w:eastAsia="宋体" w:hAnsi="Calibri"/>
          <w:noProof/>
          <w:sz w:val="24"/>
          <w:szCs w:val="24"/>
          <w:lang w:val="en-US"/>
        </w:rPr>
      </w:pPr>
      <w:r>
        <w:rPr/>
        <w:fldChar w:fldCharType="begin"/>
      </w:r>
      <w:r>
        <w:instrText xml:space="preserve"> HYPERLINK \l "_Toc177668517" </w:instrText>
      </w:r>
      <w:r>
        <w:rPr/>
        <w:fldChar w:fldCharType="separate"/>
      </w:r>
      <w:r>
        <w:rPr>
          <w:rStyle w:val="style85"/>
          <w:noProof/>
          <w:sz w:val="24"/>
          <w:szCs w:val="24"/>
        </w:rPr>
        <w:t>Figure 2: Location Map of Mazingara ward</w:t>
      </w:r>
      <w:r>
        <w:rPr>
          <w:noProof/>
          <w:webHidden/>
          <w:sz w:val="24"/>
          <w:szCs w:val="24"/>
        </w:rPr>
        <w:tab/>
      </w:r>
      <w:r>
        <w:rPr>
          <w:noProof/>
          <w:webHidden/>
          <w:sz w:val="24"/>
          <w:szCs w:val="24"/>
        </w:rPr>
        <w:fldChar w:fldCharType="begin"/>
      </w:r>
      <w:r>
        <w:rPr>
          <w:noProof/>
          <w:webHidden/>
          <w:sz w:val="24"/>
          <w:szCs w:val="24"/>
        </w:rPr>
        <w:instrText xml:space="preserve"> PAGEREF _Toc177668517 \h </w:instrText>
      </w:r>
      <w:r>
        <w:rPr>
          <w:noProof/>
          <w:webHidden/>
          <w:sz w:val="24"/>
          <w:szCs w:val="24"/>
        </w:rPr>
        <w:fldChar w:fldCharType="separate"/>
      </w:r>
      <w:r>
        <w:rPr>
          <w:noProof/>
          <w:webHidden/>
          <w:sz w:val="24"/>
          <w:szCs w:val="24"/>
        </w:rPr>
        <w:t>14</w:t>
      </w:r>
      <w:r>
        <w:rPr>
          <w:noProof/>
          <w:webHidden/>
          <w:sz w:val="24"/>
          <w:szCs w:val="24"/>
        </w:rPr>
        <w:fldChar w:fldCharType="end"/>
      </w:r>
      <w:r>
        <w:rPr/>
        <w:fldChar w:fldCharType="end"/>
      </w:r>
    </w:p>
    <w:p>
      <w:pPr>
        <w:pStyle w:val="style35"/>
        <w:tabs>
          <w:tab w:val="right" w:leader="dot" w:pos="8210"/>
        </w:tabs>
        <w:spacing w:lineRule="auto" w:line="480"/>
        <w:jc w:val="both"/>
        <w:rPr>
          <w:rFonts w:ascii="Calibri" w:cs="宋体" w:eastAsia="宋体" w:hAnsi="Calibri"/>
          <w:noProof/>
          <w:sz w:val="24"/>
          <w:szCs w:val="24"/>
          <w:lang w:val="en-US"/>
        </w:rPr>
      </w:pPr>
      <w:r>
        <w:rPr/>
        <w:fldChar w:fldCharType="begin"/>
      </w:r>
      <w:r>
        <w:instrText xml:space="preserve"> HYPERLINK \l "_Toc177668518" </w:instrText>
      </w:r>
      <w:r>
        <w:rPr/>
        <w:fldChar w:fldCharType="separate"/>
      </w:r>
      <w:r>
        <w:rPr>
          <w:rStyle w:val="style85"/>
          <w:noProof/>
          <w:sz w:val="24"/>
          <w:szCs w:val="24"/>
        </w:rPr>
        <w:t>Figure 3: Wood fuel consumption at Mazingara Ward for the last 10 years</w:t>
      </w:r>
      <w:r>
        <w:rPr>
          <w:noProof/>
          <w:webHidden/>
          <w:sz w:val="24"/>
          <w:szCs w:val="24"/>
        </w:rPr>
        <w:tab/>
      </w:r>
      <w:r>
        <w:rPr>
          <w:noProof/>
          <w:webHidden/>
          <w:sz w:val="24"/>
          <w:szCs w:val="24"/>
        </w:rPr>
        <w:fldChar w:fldCharType="begin"/>
      </w:r>
      <w:r>
        <w:rPr>
          <w:noProof/>
          <w:webHidden/>
          <w:sz w:val="24"/>
          <w:szCs w:val="24"/>
        </w:rPr>
        <w:instrText xml:space="preserve"> PAGEREF _Toc177668518 \h </w:instrText>
      </w:r>
      <w:r>
        <w:rPr>
          <w:noProof/>
          <w:webHidden/>
          <w:sz w:val="24"/>
          <w:szCs w:val="24"/>
        </w:rPr>
        <w:fldChar w:fldCharType="separate"/>
      </w:r>
      <w:r>
        <w:rPr>
          <w:noProof/>
          <w:webHidden/>
          <w:sz w:val="24"/>
          <w:szCs w:val="24"/>
        </w:rPr>
        <w:t>31</w:t>
      </w:r>
      <w:r>
        <w:rPr>
          <w:noProof/>
          <w:webHidden/>
          <w:sz w:val="24"/>
          <w:szCs w:val="24"/>
        </w:rPr>
        <w:fldChar w:fldCharType="end"/>
      </w:r>
      <w:r>
        <w:rPr/>
        <w:fldChar w:fldCharType="end"/>
      </w:r>
    </w:p>
    <w:p>
      <w:pPr>
        <w:pStyle w:val="style0"/>
        <w:tabs>
          <w:tab w:val="left" w:leader="none" w:pos="3240"/>
        </w:tabs>
        <w:spacing w:after="0" w:lineRule="auto" w:line="480"/>
        <w:rPr>
          <w:bCs/>
          <w:color w:val="000000"/>
        </w:rPr>
      </w:pPr>
      <w:r>
        <w:rPr>
          <w:bCs/>
          <w:color w:val="000000"/>
        </w:rPr>
        <w:fldChar w:fldCharType="end"/>
      </w:r>
    </w:p>
    <w:p>
      <w:pPr>
        <w:pStyle w:val="style0"/>
        <w:tabs>
          <w:tab w:val="left" w:leader="none" w:pos="3240"/>
        </w:tabs>
        <w:spacing w:after="0" w:lineRule="auto" w:line="480"/>
        <w:rPr>
          <w:bCs/>
          <w:color w:val="000000"/>
        </w:rPr>
      </w:pPr>
    </w:p>
    <w:p>
      <w:pPr>
        <w:pStyle w:val="style0"/>
        <w:tabs>
          <w:tab w:val="left" w:leader="none" w:pos="3240"/>
        </w:tabs>
        <w:spacing w:after="0" w:lineRule="auto" w:line="480"/>
        <w:rPr>
          <w:bCs/>
          <w:color w:val="000000"/>
        </w:rPr>
      </w:pPr>
    </w:p>
    <w:p>
      <w:pPr>
        <w:pStyle w:val="style0"/>
        <w:tabs>
          <w:tab w:val="left" w:leader="none" w:pos="3240"/>
        </w:tabs>
        <w:spacing w:after="0" w:lineRule="auto" w:line="480"/>
        <w:rPr>
          <w:bCs/>
          <w:color w:val="000000"/>
        </w:rPr>
      </w:pPr>
    </w:p>
    <w:p>
      <w:pPr>
        <w:pStyle w:val="style0"/>
        <w:tabs>
          <w:tab w:val="left" w:leader="none" w:pos="3240"/>
        </w:tabs>
        <w:spacing w:after="0" w:lineRule="auto" w:line="480"/>
        <w:rPr>
          <w:bCs/>
          <w:color w:val="000000"/>
        </w:rPr>
      </w:pPr>
    </w:p>
    <w:p>
      <w:pPr>
        <w:pStyle w:val="style0"/>
        <w:tabs>
          <w:tab w:val="left" w:leader="none" w:pos="3240"/>
        </w:tabs>
        <w:spacing w:after="0" w:lineRule="auto" w:line="480"/>
        <w:rPr>
          <w:bCs/>
          <w:color w:val="000000"/>
        </w:rPr>
      </w:pPr>
    </w:p>
    <w:p>
      <w:pPr>
        <w:pStyle w:val="style0"/>
        <w:tabs>
          <w:tab w:val="left" w:leader="none" w:pos="3240"/>
        </w:tabs>
        <w:spacing w:after="0" w:lineRule="auto" w:line="480"/>
        <w:rPr>
          <w:bCs/>
          <w:color w:val="000000"/>
        </w:rPr>
      </w:pPr>
    </w:p>
    <w:p>
      <w:pPr>
        <w:pStyle w:val="style0"/>
        <w:tabs>
          <w:tab w:val="left" w:leader="none" w:pos="3240"/>
        </w:tabs>
        <w:spacing w:after="0" w:lineRule="auto" w:line="480"/>
        <w:rPr>
          <w:bCs/>
          <w:color w:val="000000"/>
        </w:rPr>
      </w:pPr>
    </w:p>
    <w:p>
      <w:pPr>
        <w:pStyle w:val="style0"/>
        <w:tabs>
          <w:tab w:val="left" w:leader="none" w:pos="3240"/>
        </w:tabs>
        <w:spacing w:after="0" w:lineRule="auto" w:line="480"/>
        <w:rPr>
          <w:bCs/>
          <w:color w:val="000000"/>
        </w:rPr>
      </w:pPr>
    </w:p>
    <w:p>
      <w:pPr>
        <w:pStyle w:val="style0"/>
        <w:tabs>
          <w:tab w:val="left" w:leader="none" w:pos="3240"/>
        </w:tabs>
        <w:spacing w:after="0" w:lineRule="auto" w:line="480"/>
        <w:rPr>
          <w:bCs/>
          <w:color w:val="000000"/>
        </w:rPr>
      </w:pPr>
    </w:p>
    <w:p>
      <w:pPr>
        <w:pStyle w:val="style0"/>
        <w:tabs>
          <w:tab w:val="left" w:leader="none" w:pos="3240"/>
        </w:tabs>
        <w:spacing w:after="0" w:lineRule="auto" w:line="480"/>
        <w:rPr>
          <w:bCs/>
          <w:color w:val="000000"/>
        </w:rPr>
      </w:pPr>
    </w:p>
    <w:bookmarkStart w:id="8" w:name="_Toc178076706"/>
    <w:p>
      <w:pPr>
        <w:pStyle w:val="style1"/>
        <w:tabs>
          <w:tab w:val="left" w:leader="none" w:pos="3240"/>
        </w:tabs>
        <w:spacing w:before="0" w:lineRule="auto" w:line="480"/>
        <w:jc w:val="center"/>
        <w:rPr>
          <w:rFonts w:ascii="Times New Roman" w:cs="Times New Roman" w:hAnsi="Times New Roman"/>
          <w:b/>
          <w:bCs/>
          <w:color w:val="000000"/>
          <w:sz w:val="24"/>
          <w:szCs w:val="24"/>
        </w:rPr>
      </w:pPr>
      <w:r>
        <w:rPr>
          <w:rFonts w:ascii="Times New Roman" w:cs="Times New Roman" w:hAnsi="Times New Roman"/>
          <w:b/>
          <w:bCs/>
          <w:color w:val="000000"/>
          <w:sz w:val="24"/>
          <w:szCs w:val="24"/>
        </w:rPr>
        <w:t>LIST OF PLATES</w:t>
      </w:r>
      <w:bookmarkEnd w:id="8"/>
    </w:p>
    <w:p>
      <w:pPr>
        <w:pStyle w:val="style35"/>
        <w:tabs>
          <w:tab w:val="right" w:leader="dot" w:pos="8210"/>
        </w:tabs>
        <w:spacing w:lineRule="auto" w:line="480"/>
        <w:jc w:val="both"/>
        <w:rPr>
          <w:rFonts w:ascii="Calibri" w:cs="宋体" w:eastAsia="宋体" w:hAnsi="Calibri"/>
          <w:bCs/>
          <w:noProof/>
          <w:sz w:val="24"/>
          <w:szCs w:val="24"/>
          <w:lang w:val="en-US"/>
        </w:rPr>
      </w:pPr>
      <w:r>
        <w:rPr>
          <w:bCs/>
          <w:color w:val="000000"/>
          <w:sz w:val="24"/>
          <w:szCs w:val="24"/>
        </w:rPr>
        <w:fldChar w:fldCharType="begin"/>
      </w:r>
      <w:r>
        <w:rPr>
          <w:bCs/>
          <w:color w:val="000000"/>
          <w:sz w:val="24"/>
          <w:szCs w:val="24"/>
        </w:rPr>
        <w:instrText xml:space="preserve"> TOC \h \z \c "Plate" </w:instrText>
      </w:r>
      <w:r>
        <w:rPr>
          <w:bCs/>
          <w:color w:val="000000"/>
          <w:sz w:val="24"/>
          <w:szCs w:val="24"/>
        </w:rPr>
        <w:fldChar w:fldCharType="separate"/>
      </w:r>
      <w:r>
        <w:rPr/>
        <w:fldChar w:fldCharType="begin"/>
      </w:r>
      <w:r>
        <w:instrText xml:space="preserve"> HYPERLINK \l "_Toc177668498" </w:instrText>
      </w:r>
      <w:r>
        <w:rPr/>
        <w:fldChar w:fldCharType="separate"/>
      </w:r>
      <w:r>
        <w:rPr>
          <w:rStyle w:val="style85"/>
          <w:bCs/>
          <w:noProof/>
          <w:sz w:val="24"/>
          <w:szCs w:val="24"/>
        </w:rPr>
        <w:t>Plate 1: Three stones cooking stoves</w:t>
      </w:r>
      <w:r>
        <w:rPr>
          <w:bCs/>
          <w:noProof/>
          <w:webHidden/>
          <w:sz w:val="24"/>
          <w:szCs w:val="24"/>
        </w:rPr>
        <w:tab/>
      </w:r>
      <w:r>
        <w:rPr>
          <w:bCs/>
          <w:noProof/>
          <w:webHidden/>
          <w:sz w:val="24"/>
          <w:szCs w:val="24"/>
        </w:rPr>
        <w:fldChar w:fldCharType="begin"/>
      </w:r>
      <w:r>
        <w:rPr>
          <w:bCs/>
          <w:noProof/>
          <w:webHidden/>
          <w:sz w:val="24"/>
          <w:szCs w:val="24"/>
        </w:rPr>
        <w:instrText xml:space="preserve"> PAGEREF _Toc177668498 \h </w:instrText>
      </w:r>
      <w:r>
        <w:rPr>
          <w:bCs/>
          <w:noProof/>
          <w:webHidden/>
          <w:sz w:val="24"/>
          <w:szCs w:val="24"/>
        </w:rPr>
        <w:fldChar w:fldCharType="separate"/>
      </w:r>
      <w:r>
        <w:rPr>
          <w:bCs/>
          <w:noProof/>
          <w:webHidden/>
          <w:sz w:val="24"/>
          <w:szCs w:val="24"/>
        </w:rPr>
        <w:t>27</w:t>
      </w:r>
      <w:r>
        <w:rPr>
          <w:bCs/>
          <w:noProof/>
          <w:webHidden/>
          <w:sz w:val="24"/>
          <w:szCs w:val="24"/>
        </w:rPr>
        <w:fldChar w:fldCharType="end"/>
      </w:r>
      <w:r>
        <w:rPr/>
        <w:fldChar w:fldCharType="end"/>
      </w:r>
    </w:p>
    <w:p>
      <w:pPr>
        <w:pStyle w:val="style35"/>
        <w:tabs>
          <w:tab w:val="right" w:leader="dot" w:pos="8210"/>
        </w:tabs>
        <w:spacing w:lineRule="auto" w:line="480"/>
        <w:jc w:val="both"/>
        <w:rPr>
          <w:rFonts w:ascii="Calibri" w:cs="宋体" w:eastAsia="宋体" w:hAnsi="Calibri"/>
          <w:bCs/>
          <w:noProof/>
          <w:sz w:val="24"/>
          <w:szCs w:val="24"/>
          <w:lang w:val="en-US"/>
        </w:rPr>
      </w:pPr>
      <w:r>
        <w:rPr/>
        <w:fldChar w:fldCharType="begin"/>
      </w:r>
      <w:r>
        <w:instrText xml:space="preserve"> HYPERLINK \l "_Toc177668499" </w:instrText>
      </w:r>
      <w:r>
        <w:rPr/>
        <w:fldChar w:fldCharType="separate"/>
      </w:r>
      <w:r>
        <w:rPr>
          <w:rStyle w:val="style85"/>
          <w:bCs/>
          <w:noProof/>
          <w:sz w:val="24"/>
          <w:szCs w:val="24"/>
        </w:rPr>
        <w:t>Plate 2: Buckets of charcoal</w:t>
      </w:r>
      <w:r>
        <w:rPr>
          <w:bCs/>
          <w:noProof/>
          <w:webHidden/>
          <w:sz w:val="24"/>
          <w:szCs w:val="24"/>
        </w:rPr>
        <w:tab/>
      </w:r>
      <w:r>
        <w:rPr>
          <w:bCs/>
          <w:noProof/>
          <w:webHidden/>
          <w:sz w:val="24"/>
          <w:szCs w:val="24"/>
        </w:rPr>
        <w:fldChar w:fldCharType="begin"/>
      </w:r>
      <w:r>
        <w:rPr>
          <w:bCs/>
          <w:noProof/>
          <w:webHidden/>
          <w:sz w:val="24"/>
          <w:szCs w:val="24"/>
        </w:rPr>
        <w:instrText xml:space="preserve"> PAGEREF _Toc177668499 \h </w:instrText>
      </w:r>
      <w:r>
        <w:rPr>
          <w:bCs/>
          <w:noProof/>
          <w:webHidden/>
          <w:sz w:val="24"/>
          <w:szCs w:val="24"/>
        </w:rPr>
        <w:fldChar w:fldCharType="separate"/>
      </w:r>
      <w:r>
        <w:rPr>
          <w:bCs/>
          <w:noProof/>
          <w:webHidden/>
          <w:sz w:val="24"/>
          <w:szCs w:val="24"/>
        </w:rPr>
        <w:t>30</w:t>
      </w:r>
      <w:r>
        <w:rPr>
          <w:bCs/>
          <w:noProof/>
          <w:webHidden/>
          <w:sz w:val="24"/>
          <w:szCs w:val="24"/>
        </w:rPr>
        <w:fldChar w:fldCharType="end"/>
      </w:r>
      <w:r>
        <w:rPr/>
        <w:fldChar w:fldCharType="end"/>
      </w:r>
    </w:p>
    <w:p>
      <w:pPr>
        <w:pStyle w:val="style35"/>
        <w:tabs>
          <w:tab w:val="right" w:leader="dot" w:pos="8210"/>
        </w:tabs>
        <w:spacing w:lineRule="auto" w:line="480"/>
        <w:jc w:val="both"/>
        <w:rPr>
          <w:rFonts w:ascii="Calibri" w:cs="宋体" w:eastAsia="宋体" w:hAnsi="Calibri"/>
          <w:bCs/>
          <w:noProof/>
          <w:sz w:val="24"/>
          <w:szCs w:val="24"/>
          <w:lang w:val="en-US"/>
        </w:rPr>
      </w:pPr>
      <w:r>
        <w:rPr/>
        <w:fldChar w:fldCharType="begin"/>
      </w:r>
      <w:r>
        <w:instrText xml:space="preserve"> HYPERLINK \l "_Toc177668500" </w:instrText>
      </w:r>
      <w:r>
        <w:rPr/>
        <w:fldChar w:fldCharType="separate"/>
      </w:r>
      <w:r>
        <w:rPr>
          <w:rStyle w:val="style85"/>
          <w:bCs/>
          <w:noProof/>
          <w:sz w:val="24"/>
          <w:szCs w:val="24"/>
        </w:rPr>
        <w:t>Plate 3: Trees being cut for energy extraction</w:t>
      </w:r>
      <w:r>
        <w:rPr>
          <w:bCs/>
          <w:noProof/>
          <w:webHidden/>
          <w:sz w:val="24"/>
          <w:szCs w:val="24"/>
        </w:rPr>
        <w:tab/>
      </w:r>
      <w:r>
        <w:rPr>
          <w:bCs/>
          <w:noProof/>
          <w:webHidden/>
          <w:sz w:val="24"/>
          <w:szCs w:val="24"/>
        </w:rPr>
        <w:fldChar w:fldCharType="begin"/>
      </w:r>
      <w:r>
        <w:rPr>
          <w:bCs/>
          <w:noProof/>
          <w:webHidden/>
          <w:sz w:val="24"/>
          <w:szCs w:val="24"/>
        </w:rPr>
        <w:instrText xml:space="preserve"> PAGEREF _Toc177668500 \h </w:instrText>
      </w:r>
      <w:r>
        <w:rPr>
          <w:bCs/>
          <w:noProof/>
          <w:webHidden/>
          <w:sz w:val="24"/>
          <w:szCs w:val="24"/>
        </w:rPr>
        <w:fldChar w:fldCharType="separate"/>
      </w:r>
      <w:r>
        <w:rPr>
          <w:bCs/>
          <w:noProof/>
          <w:webHidden/>
          <w:sz w:val="24"/>
          <w:szCs w:val="24"/>
        </w:rPr>
        <w:t>39</w:t>
      </w:r>
      <w:r>
        <w:rPr>
          <w:bCs/>
          <w:noProof/>
          <w:webHidden/>
          <w:sz w:val="24"/>
          <w:szCs w:val="24"/>
        </w:rPr>
        <w:fldChar w:fldCharType="end"/>
      </w:r>
      <w:r>
        <w:rPr/>
        <w:fldChar w:fldCharType="end"/>
      </w:r>
    </w:p>
    <w:p>
      <w:pPr>
        <w:pStyle w:val="style35"/>
        <w:tabs>
          <w:tab w:val="right" w:leader="dot" w:pos="8210"/>
        </w:tabs>
        <w:spacing w:lineRule="auto" w:line="480"/>
        <w:jc w:val="both"/>
        <w:rPr>
          <w:rFonts w:ascii="Calibri" w:cs="宋体" w:eastAsia="宋体" w:hAnsi="Calibri"/>
          <w:bCs/>
          <w:noProof/>
          <w:sz w:val="24"/>
          <w:szCs w:val="24"/>
          <w:lang w:val="en-US"/>
        </w:rPr>
      </w:pPr>
      <w:r>
        <w:rPr/>
        <w:fldChar w:fldCharType="begin"/>
      </w:r>
      <w:r>
        <w:instrText xml:space="preserve"> HYPERLINK \l "_Toc177668501" </w:instrText>
      </w:r>
      <w:r>
        <w:rPr/>
        <w:fldChar w:fldCharType="separate"/>
      </w:r>
      <w:r>
        <w:rPr>
          <w:rStyle w:val="style85"/>
          <w:bCs/>
          <w:noProof/>
          <w:sz w:val="24"/>
          <w:szCs w:val="24"/>
        </w:rPr>
        <w:t>Plate 4: Neem plant tree</w:t>
      </w:r>
      <w:r>
        <w:rPr>
          <w:bCs/>
          <w:noProof/>
          <w:webHidden/>
          <w:sz w:val="24"/>
          <w:szCs w:val="24"/>
        </w:rPr>
        <w:tab/>
      </w:r>
      <w:r>
        <w:rPr>
          <w:bCs/>
          <w:noProof/>
          <w:webHidden/>
          <w:sz w:val="24"/>
          <w:szCs w:val="24"/>
        </w:rPr>
        <w:fldChar w:fldCharType="begin"/>
      </w:r>
      <w:r>
        <w:rPr>
          <w:bCs/>
          <w:noProof/>
          <w:webHidden/>
          <w:sz w:val="24"/>
          <w:szCs w:val="24"/>
        </w:rPr>
        <w:instrText xml:space="preserve"> PAGEREF _Toc177668501 \h </w:instrText>
      </w:r>
      <w:r>
        <w:rPr>
          <w:bCs/>
          <w:noProof/>
          <w:webHidden/>
          <w:sz w:val="24"/>
          <w:szCs w:val="24"/>
        </w:rPr>
        <w:fldChar w:fldCharType="separate"/>
      </w:r>
      <w:r>
        <w:rPr>
          <w:bCs/>
          <w:noProof/>
          <w:webHidden/>
          <w:sz w:val="24"/>
          <w:szCs w:val="24"/>
        </w:rPr>
        <w:t>41</w:t>
      </w:r>
      <w:r>
        <w:rPr>
          <w:bCs/>
          <w:noProof/>
          <w:webHidden/>
          <w:sz w:val="24"/>
          <w:szCs w:val="24"/>
        </w:rPr>
        <w:fldChar w:fldCharType="end"/>
      </w:r>
      <w:r>
        <w:rPr/>
        <w:fldChar w:fldCharType="end"/>
      </w:r>
    </w:p>
    <w:p>
      <w:pPr>
        <w:pStyle w:val="style35"/>
        <w:tabs>
          <w:tab w:val="right" w:leader="dot" w:pos="8210"/>
        </w:tabs>
        <w:spacing w:lineRule="auto" w:line="480"/>
        <w:jc w:val="both"/>
        <w:rPr>
          <w:rFonts w:ascii="Calibri" w:cs="宋体" w:eastAsia="宋体" w:hAnsi="Calibri"/>
          <w:bCs/>
          <w:noProof/>
          <w:sz w:val="24"/>
          <w:szCs w:val="24"/>
          <w:lang w:val="en-US"/>
        </w:rPr>
      </w:pPr>
      <w:r>
        <w:rPr/>
        <w:fldChar w:fldCharType="begin"/>
      </w:r>
      <w:r>
        <w:instrText xml:space="preserve"> HYPERLINK \l "_Toc177668502" </w:instrText>
      </w:r>
      <w:r>
        <w:rPr/>
        <w:fldChar w:fldCharType="separate"/>
      </w:r>
      <w:r>
        <w:rPr>
          <w:rStyle w:val="style85"/>
          <w:bCs/>
          <w:noProof/>
          <w:sz w:val="24"/>
          <w:szCs w:val="24"/>
        </w:rPr>
        <w:t>Plate 5: Grevillea trees</w:t>
      </w:r>
      <w:r>
        <w:rPr>
          <w:bCs/>
          <w:noProof/>
          <w:webHidden/>
          <w:sz w:val="24"/>
          <w:szCs w:val="24"/>
        </w:rPr>
        <w:tab/>
      </w:r>
      <w:r>
        <w:rPr>
          <w:bCs/>
          <w:noProof/>
          <w:webHidden/>
          <w:sz w:val="24"/>
          <w:szCs w:val="24"/>
        </w:rPr>
        <w:fldChar w:fldCharType="begin"/>
      </w:r>
      <w:r>
        <w:rPr>
          <w:bCs/>
          <w:noProof/>
          <w:webHidden/>
          <w:sz w:val="24"/>
          <w:szCs w:val="24"/>
        </w:rPr>
        <w:instrText xml:space="preserve"> PAGEREF _Toc177668502 \h </w:instrText>
      </w:r>
      <w:r>
        <w:rPr>
          <w:bCs/>
          <w:noProof/>
          <w:webHidden/>
          <w:sz w:val="24"/>
          <w:szCs w:val="24"/>
        </w:rPr>
        <w:fldChar w:fldCharType="separate"/>
      </w:r>
      <w:r>
        <w:rPr>
          <w:bCs/>
          <w:noProof/>
          <w:webHidden/>
          <w:sz w:val="24"/>
          <w:szCs w:val="24"/>
        </w:rPr>
        <w:t>42</w:t>
      </w:r>
      <w:r>
        <w:rPr>
          <w:bCs/>
          <w:noProof/>
          <w:webHidden/>
          <w:sz w:val="24"/>
          <w:szCs w:val="24"/>
        </w:rPr>
        <w:fldChar w:fldCharType="end"/>
      </w:r>
      <w:r>
        <w:rPr/>
        <w:fldChar w:fldCharType="end"/>
      </w:r>
    </w:p>
    <w:p>
      <w:pPr>
        <w:pStyle w:val="style0"/>
        <w:tabs>
          <w:tab w:val="left" w:leader="none" w:pos="3240"/>
        </w:tabs>
        <w:spacing w:after="0" w:lineRule="auto" w:line="480"/>
        <w:rPr>
          <w:bCs/>
          <w:color w:val="000000"/>
        </w:rPr>
      </w:pPr>
      <w:r>
        <w:rPr>
          <w:bCs/>
          <w:color w:val="000000"/>
        </w:rPr>
        <w:fldChar w:fldCharType="end"/>
      </w:r>
    </w:p>
    <w:p>
      <w:pPr>
        <w:pStyle w:val="style0"/>
        <w:tabs>
          <w:tab w:val="left" w:leader="none" w:pos="3240"/>
        </w:tabs>
        <w:spacing w:after="0" w:lineRule="auto" w:line="480"/>
        <w:rPr>
          <w:bCs/>
          <w:color w:val="000000"/>
        </w:rPr>
      </w:pPr>
    </w:p>
    <w:p>
      <w:pPr>
        <w:pStyle w:val="style0"/>
        <w:tabs>
          <w:tab w:val="left" w:leader="none" w:pos="3240"/>
        </w:tabs>
        <w:spacing w:after="0" w:lineRule="auto" w:line="480"/>
        <w:rPr>
          <w:b/>
          <w:color w:val="000000"/>
        </w:rPr>
      </w:pPr>
    </w:p>
    <w:p>
      <w:pPr>
        <w:pStyle w:val="style1"/>
        <w:tabs>
          <w:tab w:val="left" w:leader="none" w:pos="3240"/>
        </w:tabs>
        <w:spacing w:before="0" w:lineRule="auto" w:line="480"/>
        <w:jc w:val="center"/>
        <w:rPr>
          <w:rFonts w:ascii="Times New Roman" w:cs="Times New Roman" w:hAnsi="Times New Roman"/>
          <w:b/>
          <w:color w:val="000000"/>
          <w:sz w:val="24"/>
          <w:szCs w:val="24"/>
        </w:rPr>
      </w:pPr>
    </w:p>
    <w:p>
      <w:pPr>
        <w:pStyle w:val="style1"/>
        <w:tabs>
          <w:tab w:val="left" w:leader="none" w:pos="3240"/>
        </w:tabs>
        <w:spacing w:before="0" w:lineRule="auto" w:line="480"/>
        <w:jc w:val="center"/>
        <w:rPr>
          <w:rFonts w:ascii="Times New Roman" w:cs="Times New Roman" w:hAnsi="Times New Roman"/>
          <w:b/>
          <w:color w:val="000000"/>
          <w:sz w:val="24"/>
          <w:szCs w:val="24"/>
        </w:rPr>
      </w:pPr>
    </w:p>
    <w:p>
      <w:pPr>
        <w:pStyle w:val="style1"/>
        <w:tabs>
          <w:tab w:val="left" w:leader="none" w:pos="3240"/>
        </w:tabs>
        <w:spacing w:before="0" w:lineRule="auto" w:line="480"/>
        <w:jc w:val="center"/>
        <w:rPr>
          <w:rFonts w:ascii="Times New Roman" w:cs="Times New Roman" w:hAnsi="Times New Roman"/>
          <w:b/>
          <w:color w:val="000000"/>
          <w:sz w:val="24"/>
          <w:szCs w:val="24"/>
        </w:rPr>
      </w:pPr>
    </w:p>
    <w:p>
      <w:pPr>
        <w:pStyle w:val="style1"/>
        <w:tabs>
          <w:tab w:val="left" w:leader="none" w:pos="3240"/>
        </w:tabs>
        <w:spacing w:before="0" w:lineRule="auto" w:line="480"/>
        <w:jc w:val="center"/>
        <w:rPr>
          <w:rFonts w:ascii="Times New Roman" w:cs="Times New Roman" w:hAnsi="Times New Roman"/>
          <w:b/>
          <w:color w:val="000000"/>
          <w:sz w:val="24"/>
          <w:szCs w:val="24"/>
        </w:rPr>
      </w:pPr>
    </w:p>
    <w:p>
      <w:pPr>
        <w:pStyle w:val="style1"/>
        <w:tabs>
          <w:tab w:val="left" w:leader="none" w:pos="3240"/>
        </w:tabs>
        <w:spacing w:before="0" w:lineRule="auto" w:line="480"/>
        <w:jc w:val="center"/>
        <w:rPr>
          <w:rFonts w:ascii="Times New Roman" w:cs="Times New Roman" w:hAnsi="Times New Roman"/>
          <w:b/>
          <w:color w:val="000000"/>
          <w:sz w:val="24"/>
          <w:szCs w:val="24"/>
        </w:rPr>
      </w:pPr>
    </w:p>
    <w:p>
      <w:pPr>
        <w:pStyle w:val="style1"/>
        <w:tabs>
          <w:tab w:val="left" w:leader="none" w:pos="3240"/>
        </w:tabs>
        <w:spacing w:before="0" w:lineRule="auto" w:line="480"/>
        <w:jc w:val="center"/>
        <w:rPr>
          <w:rFonts w:ascii="Times New Roman" w:cs="Times New Roman" w:hAnsi="Times New Roman"/>
          <w:b/>
          <w:bCs/>
          <w:color w:val="000000"/>
          <w:sz w:val="24"/>
          <w:szCs w:val="24"/>
        </w:rPr>
      </w:pPr>
      <w:r>
        <w:rPr>
          <w:rFonts w:ascii="Times New Roman" w:cs="Times New Roman" w:hAnsi="Times New Roman"/>
          <w:b/>
          <w:color w:val="000000"/>
          <w:sz w:val="24"/>
          <w:szCs w:val="24"/>
        </w:rPr>
        <w:br w:type="page"/>
      </w:r>
      <w:bookmarkStart w:id="9" w:name="_Toc178076707"/>
      <w:r>
        <w:rPr>
          <w:rFonts w:ascii="Times New Roman" w:cs="Times New Roman" w:hAnsi="Times New Roman"/>
          <w:b/>
          <w:bCs/>
          <w:color w:val="000000"/>
          <w:sz w:val="24"/>
          <w:szCs w:val="24"/>
        </w:rPr>
        <w:t>LIST OF APPEND</w:t>
      </w:r>
      <w:r>
        <w:rPr>
          <w:rFonts w:ascii="Times New Roman" w:cs="Times New Roman" w:hAnsi="Times New Roman"/>
          <w:b/>
          <w:bCs/>
          <w:color w:val="000000"/>
          <w:sz w:val="24"/>
          <w:szCs w:val="24"/>
        </w:rPr>
        <w:t>ICES</w:t>
      </w:r>
      <w:bookmarkEnd w:id="9"/>
    </w:p>
    <w:p>
      <w:pPr>
        <w:pStyle w:val="style0"/>
        <w:tabs>
          <w:tab w:val="left" w:leader="none" w:pos="3240"/>
        </w:tabs>
        <w:spacing w:after="0" w:lineRule="auto" w:line="480"/>
        <w:rPr>
          <w:bCs/>
          <w:color w:val="000000"/>
        </w:rPr>
      </w:pPr>
      <w:r>
        <w:rPr>
          <w:bCs/>
          <w:color w:val="000000"/>
        </w:rPr>
        <w:t>Appendix I: Research Questionnaire</w:t>
      </w:r>
      <w:r>
        <w:rPr>
          <w:bCs/>
          <w:color w:val="000000"/>
        </w:rPr>
        <w:t>………………………………………………...58</w:t>
      </w:r>
    </w:p>
    <w:p>
      <w:pPr>
        <w:pStyle w:val="style0"/>
        <w:spacing w:lineRule="auto" w:line="480"/>
        <w:ind w:left="720" w:hanging="720"/>
        <w:rPr>
          <w:color w:val="000000"/>
        </w:rPr>
      </w:pPr>
      <w:r>
        <w:rPr>
          <w:color w:val="000000"/>
        </w:rPr>
        <w:t xml:space="preserve">APPENDIX II: </w:t>
      </w:r>
      <w:r>
        <w:rPr>
          <w:color w:val="000000"/>
        </w:rPr>
        <w:t>Key Informant Questionnaire……………………………………….59</w:t>
      </w:r>
    </w:p>
    <w:p>
      <w:pPr>
        <w:pStyle w:val="style0"/>
        <w:tabs>
          <w:tab w:val="left" w:leader="none" w:pos="3240"/>
        </w:tabs>
        <w:spacing w:after="0" w:lineRule="auto" w:line="480"/>
        <w:rPr>
          <w:bCs/>
          <w:color w:val="000000"/>
        </w:rPr>
      </w:pPr>
    </w:p>
    <w:p>
      <w:pPr>
        <w:pStyle w:val="style1"/>
        <w:tabs>
          <w:tab w:val="left" w:leader="none" w:pos="3240"/>
        </w:tabs>
        <w:spacing w:before="0" w:lineRule="auto" w:line="480"/>
        <w:jc w:val="center"/>
        <w:rPr>
          <w:rFonts w:ascii="Times New Roman" w:cs="Times New Roman" w:hAnsi="Times New Roman"/>
          <w:b/>
          <w:bCs/>
          <w:color w:val="000000"/>
          <w:sz w:val="24"/>
          <w:szCs w:val="24"/>
        </w:rPr>
      </w:pPr>
      <w:r>
        <w:rPr>
          <w:rFonts w:ascii="Times New Roman" w:cs="Times New Roman" w:hAnsi="Times New Roman"/>
          <w:b/>
          <w:color w:val="000000"/>
          <w:sz w:val="24"/>
          <w:szCs w:val="24"/>
        </w:rPr>
        <w:br w:type="page"/>
      </w:r>
      <w:bookmarkStart w:id="10" w:name="_Toc178076708"/>
      <w:r>
        <w:rPr>
          <w:rFonts w:ascii="Times New Roman" w:cs="Times New Roman" w:hAnsi="Times New Roman"/>
          <w:b/>
          <w:bCs/>
          <w:color w:val="000000"/>
          <w:sz w:val="24"/>
          <w:szCs w:val="24"/>
        </w:rPr>
        <w:t>LIST OF ABBREVIATIONS AND ACRONYMS</w:t>
      </w:r>
      <w:bookmarkEnd w:id="10"/>
    </w:p>
    <w:tbl>
      <w:tblPr>
        <w:tblW w:w="0" w:type="auto"/>
        <w:tblLook w:val="04A0" w:firstRow="1" w:lastRow="0" w:firstColumn="1" w:lastColumn="0" w:noHBand="0" w:noVBand="1"/>
      </w:tblPr>
      <w:tblGrid>
        <w:gridCol w:w="1080"/>
        <w:gridCol w:w="7130"/>
      </w:tblGrid>
      <w:tr>
        <w:trPr/>
        <w:tc>
          <w:tcPr>
            <w:tcW w:w="1080" w:type="dxa"/>
            <w:tcBorders/>
            <w:shd w:val="clear" w:color="auto" w:fill="auto"/>
          </w:tcPr>
          <w:p>
            <w:pPr>
              <w:pStyle w:val="style0"/>
              <w:tabs>
                <w:tab w:val="left" w:leader="none" w:pos="3240"/>
              </w:tabs>
              <w:spacing w:lineRule="auto" w:line="480"/>
              <w:rPr>
                <w:b/>
                <w:color w:val="000000"/>
              </w:rPr>
            </w:pPr>
            <w:r>
              <w:rPr>
                <w:b/>
                <w:color w:val="000000"/>
              </w:rPr>
              <w:t>IEA</w:t>
            </w:r>
          </w:p>
        </w:tc>
        <w:tc>
          <w:tcPr>
            <w:tcW w:w="7130" w:type="dxa"/>
            <w:tcBorders/>
            <w:shd w:val="clear" w:color="auto" w:fill="auto"/>
          </w:tcPr>
          <w:p>
            <w:pPr>
              <w:pStyle w:val="style0"/>
              <w:tabs>
                <w:tab w:val="left" w:leader="none" w:pos="3240"/>
              </w:tabs>
              <w:spacing w:lineRule="auto" w:line="480"/>
              <w:rPr>
                <w:bCs/>
                <w:color w:val="000000"/>
              </w:rPr>
            </w:pPr>
            <w:r>
              <w:rPr>
                <w:bCs/>
                <w:color w:val="000000"/>
              </w:rPr>
              <w:t>: International Energy Agency</w:t>
            </w:r>
          </w:p>
        </w:tc>
      </w:tr>
      <w:tr>
        <w:tblPrEx/>
        <w:trPr/>
        <w:tc>
          <w:tcPr>
            <w:tcW w:w="1080" w:type="dxa"/>
            <w:tcBorders/>
            <w:shd w:val="clear" w:color="auto" w:fill="auto"/>
          </w:tcPr>
          <w:p>
            <w:pPr>
              <w:pStyle w:val="style0"/>
              <w:tabs>
                <w:tab w:val="left" w:leader="none" w:pos="3240"/>
              </w:tabs>
              <w:spacing w:lineRule="auto" w:line="480"/>
              <w:rPr>
                <w:b/>
                <w:color w:val="000000"/>
              </w:rPr>
            </w:pPr>
            <w:r>
              <w:rPr>
                <w:b/>
                <w:color w:val="000000"/>
              </w:rPr>
              <w:t>UNEP</w:t>
            </w:r>
          </w:p>
        </w:tc>
        <w:tc>
          <w:tcPr>
            <w:tcW w:w="7130" w:type="dxa"/>
            <w:tcBorders/>
            <w:shd w:val="clear" w:color="auto" w:fill="auto"/>
          </w:tcPr>
          <w:p>
            <w:pPr>
              <w:pStyle w:val="style0"/>
              <w:tabs>
                <w:tab w:val="left" w:leader="none" w:pos="3240"/>
              </w:tabs>
              <w:spacing w:lineRule="auto" w:line="480"/>
              <w:rPr>
                <w:bCs/>
                <w:color w:val="000000"/>
              </w:rPr>
            </w:pPr>
            <w:r>
              <w:rPr>
                <w:bCs/>
                <w:color w:val="000000"/>
              </w:rPr>
              <w:t>: United Nations Environmental Programme</w:t>
            </w:r>
          </w:p>
        </w:tc>
      </w:tr>
      <w:tr>
        <w:tblPrEx/>
        <w:trPr/>
        <w:tc>
          <w:tcPr>
            <w:tcW w:w="1080" w:type="dxa"/>
            <w:tcBorders/>
            <w:shd w:val="clear" w:color="auto" w:fill="auto"/>
          </w:tcPr>
          <w:p>
            <w:pPr>
              <w:pStyle w:val="style0"/>
              <w:tabs>
                <w:tab w:val="left" w:leader="none" w:pos="3240"/>
              </w:tabs>
              <w:spacing w:lineRule="auto" w:line="480"/>
              <w:rPr>
                <w:b/>
                <w:color w:val="000000"/>
              </w:rPr>
            </w:pPr>
            <w:r>
              <w:rPr>
                <w:b/>
                <w:color w:val="000000"/>
              </w:rPr>
              <w:t>FAO</w:t>
            </w:r>
          </w:p>
        </w:tc>
        <w:tc>
          <w:tcPr>
            <w:tcW w:w="7130" w:type="dxa"/>
            <w:tcBorders/>
            <w:shd w:val="clear" w:color="auto" w:fill="auto"/>
          </w:tcPr>
          <w:p>
            <w:pPr>
              <w:pStyle w:val="style0"/>
              <w:tabs>
                <w:tab w:val="left" w:leader="none" w:pos="3240"/>
              </w:tabs>
              <w:spacing w:lineRule="auto" w:line="480"/>
              <w:rPr>
                <w:bCs/>
                <w:color w:val="000000"/>
              </w:rPr>
            </w:pPr>
            <w:r>
              <w:rPr>
                <w:bCs/>
                <w:color w:val="000000"/>
              </w:rPr>
              <w:t>: Food and Agricultural Organization</w:t>
            </w:r>
          </w:p>
        </w:tc>
      </w:tr>
      <w:tr>
        <w:tblPrEx/>
        <w:trPr/>
        <w:tc>
          <w:tcPr>
            <w:tcW w:w="1080" w:type="dxa"/>
            <w:tcBorders/>
            <w:shd w:val="clear" w:color="auto" w:fill="auto"/>
          </w:tcPr>
          <w:p>
            <w:pPr>
              <w:pStyle w:val="style0"/>
              <w:tabs>
                <w:tab w:val="left" w:leader="none" w:pos="3240"/>
              </w:tabs>
              <w:spacing w:lineRule="auto" w:line="480"/>
              <w:rPr>
                <w:b/>
                <w:color w:val="000000"/>
              </w:rPr>
            </w:pPr>
            <w:r>
              <w:rPr>
                <w:b/>
                <w:color w:val="000000"/>
              </w:rPr>
              <w:t>TFS</w:t>
            </w:r>
          </w:p>
        </w:tc>
        <w:tc>
          <w:tcPr>
            <w:tcW w:w="7130" w:type="dxa"/>
            <w:tcBorders/>
            <w:shd w:val="clear" w:color="auto" w:fill="auto"/>
          </w:tcPr>
          <w:p>
            <w:pPr>
              <w:pStyle w:val="style0"/>
              <w:tabs>
                <w:tab w:val="left" w:leader="none" w:pos="3240"/>
              </w:tabs>
              <w:spacing w:lineRule="auto" w:line="480"/>
              <w:rPr>
                <w:bCs/>
                <w:color w:val="000000"/>
              </w:rPr>
            </w:pPr>
            <w:r>
              <w:rPr>
                <w:bCs/>
                <w:color w:val="000000"/>
              </w:rPr>
              <w:t>: Tanzania Forest Services</w:t>
            </w:r>
          </w:p>
        </w:tc>
      </w:tr>
    </w:tbl>
    <w:p>
      <w:pPr>
        <w:pStyle w:val="style1"/>
        <w:tabs>
          <w:tab w:val="left" w:leader="none" w:pos="1149"/>
        </w:tabs>
        <w:spacing w:before="0" w:lineRule="auto" w:line="480"/>
        <w:jc w:val="left"/>
        <w:rPr>
          <w:rFonts w:ascii="Times New Roman" w:cs="Times New Roman" w:hAnsi="Times New Roman"/>
          <w:b/>
          <w:color w:val="000000"/>
          <w:sz w:val="24"/>
          <w:szCs w:val="24"/>
        </w:rPr>
      </w:pPr>
      <w:r>
        <w:rPr>
          <w:rFonts w:ascii="Times New Roman" w:cs="Times New Roman" w:hAnsi="Times New Roman"/>
          <w:b/>
          <w:color w:val="000000"/>
          <w:sz w:val="24"/>
          <w:szCs w:val="24"/>
        </w:rPr>
        <w:t xml:space="preserve">      </w:t>
      </w:r>
    </w:p>
    <w:p>
      <w:pPr>
        <w:pStyle w:val="style1"/>
        <w:tabs>
          <w:tab w:val="left" w:leader="none" w:pos="1149"/>
        </w:tabs>
        <w:spacing w:before="0" w:lineRule="auto" w:line="480"/>
        <w:jc w:val="left"/>
        <w:rPr>
          <w:rFonts w:ascii="Times New Roman" w:cs="Times New Roman" w:hAnsi="Times New Roman"/>
          <w:b/>
          <w:color w:val="000000"/>
          <w:sz w:val="24"/>
          <w:szCs w:val="24"/>
        </w:rPr>
      </w:pPr>
      <w:r>
        <w:rPr>
          <w:rFonts w:ascii="Times New Roman" w:cs="Times New Roman" w:hAnsi="Times New Roman"/>
          <w:b/>
          <w:color w:val="000000"/>
          <w:sz w:val="24"/>
          <w:szCs w:val="24"/>
        </w:rPr>
        <w:t xml:space="preserve">        </w:t>
      </w:r>
      <w:r>
        <w:rPr>
          <w:rFonts w:ascii="Times New Roman" w:cs="Times New Roman" w:hAnsi="Times New Roman"/>
          <w:b/>
          <w:color w:val="000000"/>
          <w:sz w:val="24"/>
          <w:szCs w:val="24"/>
        </w:rPr>
        <w:tab/>
      </w:r>
    </w:p>
    <w:p>
      <w:pPr>
        <w:pStyle w:val="style1"/>
        <w:tabs>
          <w:tab w:val="left" w:leader="none" w:pos="3240"/>
        </w:tabs>
        <w:spacing w:before="0" w:lineRule="auto" w:line="480"/>
        <w:jc w:val="center"/>
        <w:rPr>
          <w:rFonts w:ascii="Times New Roman" w:cs="Times New Roman" w:hAnsi="Times New Roman"/>
          <w:b/>
          <w:bCs/>
          <w:color w:val="000000"/>
          <w:sz w:val="24"/>
          <w:szCs w:val="24"/>
        </w:rPr>
      </w:pPr>
      <w:r>
        <w:br w:type="page"/>
      </w:r>
      <w:bookmarkStart w:id="11" w:name="_Toc178076709"/>
      <w:r>
        <w:rPr>
          <w:rFonts w:ascii="Times New Roman" w:cs="Times New Roman" w:hAnsi="Times New Roman"/>
          <w:b/>
          <w:bCs/>
          <w:color w:val="000000"/>
          <w:sz w:val="24"/>
          <w:szCs w:val="24"/>
        </w:rPr>
        <w:t>DEFINITIONS OF KEY TERMS</w:t>
      </w:r>
      <w:bookmarkEnd w:id="11"/>
    </w:p>
    <w:p>
      <w:pPr>
        <w:pStyle w:val="style0"/>
        <w:spacing w:before="0" w:beforeAutospacing="false" w:after="0" w:afterAutospacing="false" w:lineRule="auto" w:line="480"/>
        <w:rPr>
          <w:color w:val="000000"/>
        </w:rPr>
      </w:pPr>
      <w:r>
        <w:rPr>
          <w:b/>
          <w:bCs/>
          <w:color w:val="000000"/>
        </w:rPr>
        <w:t>Wood fuel</w:t>
      </w:r>
      <w:r>
        <w:rPr>
          <w:color w:val="000000"/>
        </w:rPr>
        <w:t xml:space="preserve"> (or </w:t>
      </w:r>
      <w:r>
        <w:rPr>
          <w:color w:val="000000"/>
        </w:rPr>
        <w:t>fuelwood</w:t>
      </w:r>
      <w:r>
        <w:rPr>
          <w:color w:val="000000"/>
        </w:rPr>
        <w:t xml:space="preserve">) is a fuel such as </w:t>
      </w:r>
      <w:r>
        <w:rPr/>
        <w:fldChar w:fldCharType="begin"/>
      </w:r>
      <w:r>
        <w:instrText xml:space="preserve"> HYPERLINK "https://en.wikipedia.org/wiki/Firewood" \o "Firewood" </w:instrText>
      </w:r>
      <w:r>
        <w:rPr/>
        <w:fldChar w:fldCharType="separate"/>
      </w:r>
      <w:r>
        <w:rPr>
          <w:rStyle w:val="style85"/>
          <w:color w:val="000000"/>
          <w:u w:val="none"/>
        </w:rPr>
        <w:t>firewood</w:t>
      </w:r>
      <w:r>
        <w:rPr/>
        <w:fldChar w:fldCharType="end"/>
      </w:r>
      <w:r>
        <w:rPr>
          <w:color w:val="000000"/>
        </w:rPr>
        <w:t xml:space="preserve">, </w:t>
      </w:r>
      <w:r>
        <w:rPr/>
        <w:fldChar w:fldCharType="begin"/>
      </w:r>
      <w:r>
        <w:instrText xml:space="preserve"> HYPERLINK "https://en.wikipedia.org/wiki/Charcoal" \o "Charcoal" </w:instrText>
      </w:r>
      <w:r>
        <w:rPr/>
        <w:fldChar w:fldCharType="separate"/>
      </w:r>
      <w:r>
        <w:rPr>
          <w:rStyle w:val="style85"/>
          <w:color w:val="000000"/>
          <w:u w:val="none"/>
        </w:rPr>
        <w:t>charcoal</w:t>
      </w:r>
      <w:r>
        <w:rPr/>
        <w:fldChar w:fldCharType="end"/>
      </w:r>
      <w:r>
        <w:rPr>
          <w:color w:val="000000"/>
        </w:rPr>
        <w:t xml:space="preserve">, </w:t>
      </w:r>
      <w:r>
        <w:rPr/>
        <w:fldChar w:fldCharType="begin"/>
      </w:r>
      <w:r>
        <w:instrText xml:space="preserve"> HYPERLINK "https://en.wikipedia.org/wiki/Woodchips" \o "Woodchips" </w:instrText>
      </w:r>
      <w:r>
        <w:rPr/>
        <w:fldChar w:fldCharType="separate"/>
      </w:r>
      <w:r>
        <w:rPr>
          <w:rStyle w:val="style85"/>
          <w:color w:val="000000"/>
          <w:u w:val="none"/>
        </w:rPr>
        <w:t>chips</w:t>
      </w:r>
      <w:r>
        <w:rPr/>
        <w:fldChar w:fldCharType="end"/>
      </w:r>
      <w:r>
        <w:rPr>
          <w:color w:val="000000"/>
        </w:rPr>
        <w:t xml:space="preserve">, sheets, </w:t>
      </w:r>
      <w:r>
        <w:rPr/>
        <w:fldChar w:fldCharType="begin"/>
      </w:r>
      <w:r>
        <w:instrText xml:space="preserve"> HYPERLINK "https://en.wikipedia.org/wiki/Wood_pellets" \o "Wood pellets" </w:instrText>
      </w:r>
      <w:r>
        <w:rPr/>
        <w:fldChar w:fldCharType="separate"/>
      </w:r>
      <w:r>
        <w:rPr>
          <w:rStyle w:val="style85"/>
          <w:color w:val="000000"/>
          <w:u w:val="none"/>
        </w:rPr>
        <w:t>pellets</w:t>
      </w:r>
      <w:r>
        <w:rPr/>
        <w:fldChar w:fldCharType="end"/>
      </w:r>
      <w:r>
        <w:rPr>
          <w:color w:val="000000"/>
        </w:rPr>
        <w:t xml:space="preserve">, and </w:t>
      </w:r>
      <w:r>
        <w:rPr/>
        <w:fldChar w:fldCharType="begin"/>
      </w:r>
      <w:r>
        <w:instrText xml:space="preserve"> HYPERLINK "https://en.wikipedia.org/wiki/Sawdust" \o "Sawdust" </w:instrText>
      </w:r>
      <w:r>
        <w:rPr/>
        <w:fldChar w:fldCharType="separate"/>
      </w:r>
      <w:r>
        <w:rPr>
          <w:rStyle w:val="style85"/>
          <w:color w:val="000000"/>
          <w:u w:val="none"/>
        </w:rPr>
        <w:t>sawdust</w:t>
      </w:r>
      <w:r>
        <w:rPr/>
        <w:fldChar w:fldCharType="end"/>
      </w:r>
      <w:r>
        <w:rPr>
          <w:color w:val="000000"/>
        </w:rPr>
        <w:t xml:space="preserve">. The particular form used depends upon factors such as source, quantity, quality and application </w:t>
      </w:r>
      <w:r>
        <w:rPr>
          <w:color w:val="000000"/>
        </w:rPr>
        <w:t xml:space="preserve">(Hall </w:t>
      </w:r>
      <w:r>
        <w:rPr>
          <w:i/>
          <w:iCs/>
          <w:color w:val="000000"/>
        </w:rPr>
        <w:t>et al</w:t>
      </w:r>
      <w:r>
        <w:rPr>
          <w:color w:val="000000"/>
        </w:rPr>
        <w:t xml:space="preserve">., 1993). This form of energy production is considered renewable as the organic materials used can be continuously replenished (Demirbas, 2009). </w:t>
      </w:r>
    </w:p>
    <w:p>
      <w:pPr>
        <w:pStyle w:val="style0"/>
        <w:spacing w:before="0" w:beforeAutospacing="false" w:after="0" w:afterAutospacing="false" w:lineRule="auto" w:line="480"/>
        <w:rPr>
          <w:color w:val="000000"/>
        </w:rPr>
      </w:pPr>
      <w:r>
        <w:rPr>
          <w:b/>
          <w:color w:val="000000"/>
        </w:rPr>
        <w:t>Environmental conservation</w:t>
      </w:r>
      <w:r>
        <w:rPr>
          <w:color w:val="000000"/>
        </w:rPr>
        <w:t xml:space="preserve"> involves the sustainable management and protection of the natural environment and its resources for present and future generations (IUCN, 1980). It aims to preserve ecosystems, biodiversity, and natural habitats, thereby ensuring the long-term stability of the environment (Stolton </w:t>
      </w:r>
      <w:r>
        <w:rPr>
          <w:i/>
          <w:iCs/>
          <w:color w:val="000000"/>
        </w:rPr>
        <w:t>et al</w:t>
      </w:r>
      <w:r>
        <w:rPr>
          <w:color w:val="000000"/>
        </w:rPr>
        <w:t>., 2017).</w:t>
      </w:r>
    </w:p>
    <w:p>
      <w:pPr>
        <w:pStyle w:val="style0"/>
        <w:spacing w:before="0" w:beforeAutospacing="false" w:after="0" w:afterAutospacing="false" w:lineRule="auto" w:line="480"/>
        <w:rPr>
          <w:color w:val="000000"/>
        </w:rPr>
      </w:pPr>
      <w:r>
        <w:rPr>
          <w:b/>
          <w:color w:val="000000"/>
        </w:rPr>
        <w:t>Perceived effects</w:t>
      </w:r>
      <w:r>
        <w:rPr>
          <w:color w:val="000000"/>
        </w:rPr>
        <w:t xml:space="preserve"> refer to the subjective interpretations and understandings of the impacts or consequences of a particular action, event, or phenomenon (Krosnic, 1991). These effects are based on individual or collective beliefs, attitudes, and experiences, and may not necessarily align with objective reality (Brewer, 1988).</w:t>
      </w:r>
    </w:p>
    <w:p>
      <w:pPr>
        <w:pStyle w:val="style0"/>
        <w:tabs>
          <w:tab w:val="left" w:leader="none" w:pos="3240"/>
        </w:tabs>
        <w:spacing w:lineRule="auto" w:line="480"/>
        <w:rPr>
          <w:b/>
          <w:color w:val="000000"/>
        </w:rPr>
      </w:pPr>
    </w:p>
    <w:p>
      <w:pPr>
        <w:pStyle w:val="style0"/>
        <w:spacing w:lineRule="auto" w:line="480"/>
        <w:rPr>
          <w:b/>
          <w:color w:val="000000"/>
        </w:rPr>
      </w:pPr>
    </w:p>
    <w:p>
      <w:pPr>
        <w:pStyle w:val="style0"/>
        <w:spacing w:before="0" w:beforeAutospacing="false" w:after="160" w:afterAutospacing="false" w:lineRule="auto" w:line="259"/>
        <w:jc w:val="left"/>
        <w:rPr>
          <w:b/>
          <w:color w:val="000000"/>
        </w:rPr>
        <w:sectPr>
          <w:pgSz w:w="11906" w:h="16838" w:orient="portrait" w:code="9"/>
          <w:pgMar w:top="2275" w:right="1411" w:bottom="1411" w:left="2275" w:header="720" w:footer="720" w:gutter="0"/>
          <w:pgNumType w:fmt="lowerRoman" w:start="1"/>
          <w:cols w:space="720"/>
          <w:docGrid w:linePitch="360"/>
        </w:sectPr>
      </w:pPr>
      <w:r>
        <w:rPr>
          <w:b/>
          <w:color w:val="000000"/>
        </w:rPr>
        <w:br w:type="page"/>
      </w:r>
    </w:p>
    <w:p>
      <w:pPr>
        <w:pStyle w:val="style0"/>
        <w:jc w:val="center"/>
        <w:rPr>
          <w:b/>
          <w:bCs/>
          <w:color w:val="000000"/>
        </w:rPr>
      </w:pPr>
      <w:r>
        <w:rPr>
          <w:b/>
          <w:bCs/>
          <w:color w:val="000000"/>
        </w:rPr>
        <w:t>CHAPTER ONE</w:t>
      </w:r>
    </w:p>
    <w:p>
      <w:pPr>
        <w:pStyle w:val="style0"/>
        <w:jc w:val="center"/>
        <w:rPr>
          <w:color w:val="000000"/>
        </w:rPr>
      </w:pPr>
      <w:r>
        <w:rPr>
          <w:b/>
          <w:bCs/>
          <w:color w:val="000000"/>
        </w:rPr>
        <w:t>INTRODUCTION</w:t>
      </w:r>
    </w:p>
    <w:bookmarkStart w:id="12" w:name="_Toc172658943"/>
    <w:bookmarkStart w:id="13" w:name="_Toc173633184"/>
    <w:bookmarkStart w:id="14" w:name="_Toc174202488"/>
    <w:bookmarkStart w:id="15" w:name="_Toc178076710"/>
    <w:p>
      <w:pPr>
        <w:pStyle w:val="style2"/>
        <w:tabs>
          <w:tab w:val="left" w:leader="none" w:pos="540"/>
          <w:tab w:val="left" w:leader="none" w:pos="3240"/>
        </w:tabs>
        <w:spacing w:lineRule="auto" w:line="480"/>
        <w:rPr>
          <w:rFonts w:ascii="Times New Roman" w:cs="Times New Roman" w:hAnsi="Times New Roman"/>
          <w:b/>
          <w:color w:val="000000"/>
          <w:sz w:val="24"/>
          <w:szCs w:val="24"/>
        </w:rPr>
      </w:pPr>
      <w:r>
        <w:rPr>
          <w:rFonts w:ascii="Times New Roman" w:cs="Times New Roman" w:hAnsi="Times New Roman"/>
          <w:b/>
          <w:color w:val="000000"/>
          <w:sz w:val="24"/>
          <w:szCs w:val="24"/>
        </w:rPr>
        <w:t>1.1 Background of the Problem</w:t>
      </w:r>
      <w:bookmarkEnd w:id="12"/>
      <w:bookmarkEnd w:id="13"/>
      <w:bookmarkEnd w:id="14"/>
      <w:bookmarkEnd w:id="15"/>
      <w:r>
        <w:rPr>
          <w:rFonts w:ascii="Times New Roman" w:cs="Times New Roman" w:hAnsi="Times New Roman"/>
          <w:b/>
          <w:color w:val="000000"/>
          <w:sz w:val="24"/>
          <w:szCs w:val="24"/>
        </w:rPr>
        <w:t xml:space="preserve"> </w:t>
      </w:r>
    </w:p>
    <w:p>
      <w:pPr>
        <w:pStyle w:val="style0"/>
        <w:spacing w:lineRule="auto" w:line="480"/>
        <w:rPr>
          <w:color w:val="000000"/>
        </w:rPr>
      </w:pPr>
      <w:r>
        <w:rPr>
          <w:color w:val="000000"/>
        </w:rPr>
        <w:t>Wood fuel</w:t>
      </w:r>
      <w:r>
        <w:rPr>
          <w:color w:val="000000"/>
        </w:rPr>
        <w:t xml:space="preserve"> utilization involves converting organic materials like wood, agricultural residues, and organic waste into energy through combustion, gasification, or biochemical processes,  that </w:t>
      </w:r>
      <w:r>
        <w:rPr>
          <w:color w:val="000000"/>
        </w:rPr>
        <w:t>offers</w:t>
      </w:r>
      <w:r>
        <w:rPr>
          <w:color w:val="000000"/>
        </w:rPr>
        <w:t xml:space="preserve"> a renewable and potentially sustainable alternative to fossil fuels however historically, </w:t>
      </w:r>
      <w:r>
        <w:rPr>
          <w:color w:val="000000"/>
        </w:rPr>
        <w:t>wood fuel</w:t>
      </w:r>
      <w:r>
        <w:rPr>
          <w:color w:val="000000"/>
        </w:rPr>
        <w:t xml:space="preserve"> has been used for heating and cooking, particularly in developing regions, but modern technologies have expanded its applications to electricity generation, heat production, and transportation fuels (Ravindranath &amp; Hall, 2015). The utilization of </w:t>
      </w:r>
      <w:r>
        <w:rPr>
          <w:color w:val="000000"/>
        </w:rPr>
        <w:t>wood fuel</w:t>
      </w:r>
      <w:r>
        <w:rPr>
          <w:color w:val="000000"/>
        </w:rPr>
        <w:t xml:space="preserve"> energy has gained attention in recent years due to its potential to reduce greenhouse gas emissions and contribute to energy security, particularly when sourced sustainably (Cherubini </w:t>
      </w:r>
      <w:r>
        <w:rPr>
          <w:i/>
          <w:iCs/>
          <w:color w:val="000000"/>
        </w:rPr>
        <w:t>et al</w:t>
      </w:r>
      <w:r>
        <w:rPr>
          <w:color w:val="000000"/>
        </w:rPr>
        <w:t xml:space="preserve">., 2015). The challenges remain is ensuring the sustainability of </w:t>
      </w:r>
      <w:r>
        <w:rPr>
          <w:color w:val="000000"/>
        </w:rPr>
        <w:t>wood fuel</w:t>
      </w:r>
      <w:r>
        <w:rPr>
          <w:color w:val="000000"/>
        </w:rPr>
        <w:t xml:space="preserve"> feedstock production, minimizing environmental impacts, and addressing concerns related to land-use change and competition with food production (Lehtikangas, 2015)</w:t>
      </w:r>
      <w:r>
        <w:rPr>
          <w:color w:val="000000"/>
        </w:rPr>
        <w:tab/>
      </w:r>
    </w:p>
    <w:p>
      <w:pPr>
        <w:pStyle w:val="style94"/>
        <w:spacing w:lineRule="auto" w:line="480"/>
        <w:rPr>
          <w:color w:val="000000"/>
        </w:rPr>
      </w:pPr>
      <w:r>
        <w:rPr>
          <w:color w:val="000000"/>
        </w:rPr>
        <w:t xml:space="preserve">The role in the energy mix, globally contributing to about 10% of the total primary energy supply (IEA, 2021). And 815 million people globally suffering from chronic undernourishment (FAO </w:t>
      </w:r>
      <w:r>
        <w:rPr>
          <w:i/>
          <w:iCs/>
          <w:color w:val="000000"/>
        </w:rPr>
        <w:t>et al</w:t>
      </w:r>
      <w:r>
        <w:rPr>
          <w:color w:val="000000"/>
        </w:rPr>
        <w:t xml:space="preserve">., 2020), It is considered renewable and has the potential to mitigate greenhouse gas emissions compared to fossil fuels. However, </w:t>
      </w:r>
      <w:r>
        <w:rPr>
          <w:color w:val="000000"/>
        </w:rPr>
        <w:t>wood fuel</w:t>
      </w:r>
      <w:r>
        <w:rPr>
          <w:color w:val="000000"/>
        </w:rPr>
        <w:t xml:space="preserve"> utilization also poses environmental challenges such as land use change, deforestation, and air pollution from combustion processes (FAO, 2020). Despite these challenges, </w:t>
      </w:r>
      <w:r>
        <w:rPr>
          <w:color w:val="000000"/>
        </w:rPr>
        <w:t>wood fuel</w:t>
      </w:r>
      <w:r>
        <w:rPr>
          <w:color w:val="000000"/>
        </w:rPr>
        <w:t xml:space="preserve"> remains an important component of the global energy transition, particularly in efforts to achieve climate change mitigation goals.</w:t>
      </w:r>
    </w:p>
    <w:p>
      <w:pPr>
        <w:pStyle w:val="style0"/>
        <w:spacing w:lineRule="auto" w:line="480"/>
        <w:rPr>
          <w:color w:val="000000"/>
        </w:rPr>
      </w:pPr>
      <w:r>
        <w:rPr>
          <w:color w:val="000000"/>
        </w:rPr>
        <w:t>Wood fuel</w:t>
      </w:r>
      <w:r>
        <w:rPr>
          <w:color w:val="000000"/>
        </w:rPr>
        <w:t xml:space="preserve"> is a critical source of energy for cooking and heating In Sub-Saharan Africa, particularly in rural areas where access to modern energy services is limited </w:t>
      </w:r>
      <w:r>
        <w:rPr>
          <w:color w:val="000000"/>
        </w:rPr>
        <w:t>and it</w:t>
      </w:r>
      <w:r>
        <w:rPr>
          <w:color w:val="000000"/>
        </w:rPr>
        <w:t xml:space="preserve"> estimated that over 80% of the population in Sub-Saharan Africa relies on </w:t>
      </w:r>
      <w:r>
        <w:rPr>
          <w:color w:val="000000"/>
        </w:rPr>
        <w:t>wood fuel</w:t>
      </w:r>
      <w:r>
        <w:rPr>
          <w:color w:val="000000"/>
        </w:rPr>
        <w:t xml:space="preserve"> for cooking (IEA, 2019). However, the reliance on traditional </w:t>
      </w:r>
      <w:r>
        <w:rPr>
          <w:color w:val="000000"/>
        </w:rPr>
        <w:t>wood fuel</w:t>
      </w:r>
      <w:r>
        <w:rPr>
          <w:color w:val="000000"/>
        </w:rPr>
        <w:t xml:space="preserve"> such as firewood and charcoal </w:t>
      </w:r>
      <w:r>
        <w:rPr>
          <w:color w:val="000000"/>
        </w:rPr>
        <w:t>have</w:t>
      </w:r>
      <w:r>
        <w:rPr>
          <w:color w:val="000000"/>
        </w:rPr>
        <w:t xml:space="preserve"> significant health implications due to indoor air pollution, leading to respiratory diseases, particularly among women and children (UNDP, 2018). Moreover, unsustainable </w:t>
      </w:r>
      <w:r>
        <w:rPr>
          <w:color w:val="000000"/>
        </w:rPr>
        <w:t>wood fuel</w:t>
      </w:r>
      <w:r>
        <w:rPr>
          <w:color w:val="000000"/>
        </w:rPr>
        <w:t xml:space="preserve"> harvesting practices contribute to land degradation and deforestation in the region (UNEP, 2017).</w:t>
      </w:r>
    </w:p>
    <w:p>
      <w:pPr>
        <w:pStyle w:val="style0"/>
        <w:spacing w:lineRule="auto" w:line="480"/>
        <w:rPr>
          <w:color w:val="000000"/>
        </w:rPr>
      </w:pPr>
      <w:r>
        <w:rPr>
          <w:color w:val="000000"/>
        </w:rPr>
        <w:t xml:space="preserve">The primary source of energy for cooking and heating in Tanzania is accounting for a significant portion of the </w:t>
      </w:r>
      <w:r>
        <w:rPr>
          <w:color w:val="000000"/>
        </w:rPr>
        <w:t>country energy</w:t>
      </w:r>
      <w:r>
        <w:rPr>
          <w:color w:val="000000"/>
        </w:rPr>
        <w:t xml:space="preserve"> consumption and it estimated </w:t>
      </w:r>
      <w:r>
        <w:rPr>
          <w:color w:val="000000"/>
        </w:rPr>
        <w:t>that wood</w:t>
      </w:r>
      <w:r>
        <w:rPr>
          <w:color w:val="000000"/>
        </w:rPr>
        <w:t xml:space="preserve"> fuel</w:t>
      </w:r>
      <w:r>
        <w:rPr>
          <w:color w:val="000000"/>
        </w:rPr>
        <w:t xml:space="preserve"> constitutes over 90% of total energy consumption in Tanzania, with firewood and charcoal being the most commonly used fuels (Tanzania Ministry of Energy, 2019). However, the widespread use of </w:t>
      </w:r>
      <w:r>
        <w:rPr>
          <w:color w:val="000000"/>
        </w:rPr>
        <w:t>wood fuel</w:t>
      </w:r>
      <w:r>
        <w:rPr>
          <w:color w:val="000000"/>
        </w:rPr>
        <w:t xml:space="preserve"> has led to environmental degradation, including deforestation and soil erosion, particularly in regions with high population density and limited access to alternative fuels.</w:t>
      </w:r>
    </w:p>
    <w:p>
      <w:pPr>
        <w:pStyle w:val="style0"/>
        <w:spacing w:lineRule="auto" w:line="480"/>
        <w:rPr>
          <w:color w:val="000000"/>
        </w:rPr>
      </w:pPr>
      <w:r>
        <w:rPr>
          <w:color w:val="000000"/>
        </w:rPr>
        <w:t xml:space="preserve">The Tanga region, located in northeastern Tanzania, is known for its rich biodiversity and forest resources, which are increasingly under pressure due to unsustainable </w:t>
      </w:r>
      <w:r>
        <w:rPr>
          <w:color w:val="000000"/>
        </w:rPr>
        <w:t>wood fuel</w:t>
      </w:r>
      <w:r>
        <w:rPr>
          <w:color w:val="000000"/>
        </w:rPr>
        <w:t xml:space="preserve"> harvesting practices (URT, 2018). Estimates suggest that the majority of households in the Tanga region rely on </w:t>
      </w:r>
      <w:r>
        <w:rPr>
          <w:color w:val="000000"/>
        </w:rPr>
        <w:t>wood fuel</w:t>
      </w:r>
      <w:r>
        <w:rPr>
          <w:color w:val="000000"/>
        </w:rPr>
        <w:t xml:space="preserve"> for cooking and heating, while </w:t>
      </w:r>
      <w:r>
        <w:rPr>
          <w:color w:val="000000"/>
        </w:rPr>
        <w:t xml:space="preserve">firewood and charcoal being the primary fuel source (URT, 2017). However, the overexploitation of forest resources for </w:t>
      </w:r>
      <w:r>
        <w:rPr>
          <w:color w:val="000000"/>
        </w:rPr>
        <w:t>wood fuel</w:t>
      </w:r>
      <w:r>
        <w:rPr>
          <w:color w:val="000000"/>
        </w:rPr>
        <w:t xml:space="preserve"> production has led to deforestation, habitat loss, and soil degradation, posing challenges to environmental conservation efforts in the region.</w:t>
      </w:r>
    </w:p>
    <w:bookmarkStart w:id="16" w:name="_Toc174202489"/>
    <w:bookmarkStart w:id="17" w:name="_Toc178076711"/>
    <w:p>
      <w:pPr>
        <w:pStyle w:val="style2"/>
        <w:tabs>
          <w:tab w:val="left" w:leader="none" w:pos="540"/>
          <w:tab w:val="left" w:leader="none" w:pos="3240"/>
        </w:tabs>
        <w:spacing w:before="200" w:lineRule="auto" w:line="480"/>
        <w:rPr>
          <w:rFonts w:ascii="Times New Roman" w:cs="Times New Roman" w:hAnsi="Times New Roman"/>
          <w:b/>
          <w:color w:val="000000"/>
          <w:sz w:val="24"/>
          <w:szCs w:val="24"/>
        </w:rPr>
      </w:pPr>
      <w:r>
        <w:rPr>
          <w:rFonts w:ascii="Times New Roman" w:cs="Times New Roman" w:hAnsi="Times New Roman"/>
          <w:b/>
          <w:color w:val="000000"/>
          <w:sz w:val="24"/>
          <w:szCs w:val="24"/>
        </w:rPr>
        <w:t>1.2 Statement of the Problem</w:t>
      </w:r>
      <w:bookmarkEnd w:id="16"/>
      <w:bookmarkEnd w:id="17"/>
    </w:p>
    <w:p>
      <w:pPr>
        <w:pStyle w:val="style0"/>
        <w:spacing w:lineRule="auto" w:line="480"/>
        <w:rPr>
          <w:color w:val="000000"/>
        </w:rPr>
      </w:pPr>
      <w:r>
        <w:rPr>
          <w:color w:val="000000"/>
        </w:rPr>
        <w:t xml:space="preserve">In </w:t>
      </w:r>
      <w:r>
        <w:rPr>
          <w:color w:val="000000"/>
        </w:rPr>
        <w:t xml:space="preserve">Mazingara ward </w:t>
      </w:r>
      <w:r>
        <w:rPr>
          <w:color w:val="000000"/>
        </w:rPr>
        <w:t>there are several</w:t>
      </w:r>
      <w:r>
        <w:rPr>
          <w:color w:val="000000"/>
        </w:rPr>
        <w:t xml:space="preserve"> energy sources such as solar, </w:t>
      </w:r>
      <w:r>
        <w:rPr>
          <w:color w:val="000000"/>
        </w:rPr>
        <w:t>wood fuel, and electricity</w:t>
      </w:r>
      <w:r>
        <w:rPr>
          <w:color w:val="000000"/>
        </w:rPr>
        <w:t xml:space="preserve"> (</w:t>
      </w:r>
      <w:r>
        <w:rPr>
          <w:color w:val="000000"/>
        </w:rPr>
        <w:t xml:space="preserve">Muhunza </w:t>
      </w:r>
      <w:r>
        <w:rPr>
          <w:i/>
          <w:iCs/>
          <w:color w:val="000000"/>
        </w:rPr>
        <w:t>et al</w:t>
      </w:r>
      <w:r>
        <w:rPr>
          <w:color w:val="000000"/>
        </w:rPr>
        <w:t>., 2013</w:t>
      </w:r>
      <w:r>
        <w:rPr>
          <w:color w:val="000000"/>
        </w:rPr>
        <w:t xml:space="preserve">). These sources are important for decentralized renewable energy technologies, which nurture the isolated nature of the settlements and are </w:t>
      </w:r>
      <w:r>
        <w:rPr>
          <w:color w:val="000000"/>
        </w:rPr>
        <w:t>environmentally</w:t>
      </w:r>
      <w:r>
        <w:rPr>
          <w:color w:val="000000"/>
        </w:rPr>
        <w:t xml:space="preserve"> friendly (Muhunza </w:t>
      </w:r>
      <w:r>
        <w:rPr>
          <w:i/>
          <w:iCs/>
          <w:color w:val="000000"/>
        </w:rPr>
        <w:t>et al</w:t>
      </w:r>
      <w:r>
        <w:rPr>
          <w:color w:val="000000"/>
        </w:rPr>
        <w:t xml:space="preserve">., 2013; Gain </w:t>
      </w:r>
      <w:r>
        <w:rPr>
          <w:i/>
          <w:iCs/>
          <w:color w:val="000000"/>
        </w:rPr>
        <w:t>et al</w:t>
      </w:r>
      <w:r>
        <w:rPr>
          <w:color w:val="000000"/>
        </w:rPr>
        <w:t>., 2017). They are important to users in local households in the countryside, where most people depend on the use of charcoal and firewood as their major sources of energy. This affects their health and contributes to climate change problems, which are alarming in developing countries</w:t>
      </w:r>
      <w:r>
        <w:rPr>
          <w:color w:val="000000"/>
        </w:rPr>
        <w:t xml:space="preserve"> (Gain </w:t>
      </w:r>
      <w:r>
        <w:rPr>
          <w:i/>
          <w:iCs/>
          <w:color w:val="000000"/>
        </w:rPr>
        <w:t>et al</w:t>
      </w:r>
      <w:r>
        <w:rPr>
          <w:color w:val="000000"/>
        </w:rPr>
        <w:t>., 2017)</w:t>
      </w:r>
      <w:r>
        <w:rPr>
          <w:color w:val="000000"/>
        </w:rPr>
        <w:t xml:space="preserve">. The utilization of </w:t>
      </w:r>
      <w:r>
        <w:rPr>
          <w:color w:val="000000"/>
        </w:rPr>
        <w:t>wood fuel</w:t>
      </w:r>
      <w:r>
        <w:rPr>
          <w:color w:val="000000"/>
        </w:rPr>
        <w:t xml:space="preserve"> in Mazingara Ward, Handeni District, presents significant challenges documented by various studies (Smith </w:t>
      </w:r>
      <w:r>
        <w:rPr>
          <w:i/>
          <w:iCs/>
          <w:color w:val="000000"/>
        </w:rPr>
        <w:t>et al</w:t>
      </w:r>
      <w:r>
        <w:rPr>
          <w:color w:val="000000"/>
        </w:rPr>
        <w:t xml:space="preserve">., 2014). Traditional </w:t>
      </w:r>
      <w:r>
        <w:rPr>
          <w:color w:val="000000"/>
        </w:rPr>
        <w:t>wood fuel</w:t>
      </w:r>
      <w:r>
        <w:rPr>
          <w:color w:val="000000"/>
        </w:rPr>
        <w:t xml:space="preserve"> combustion methods, such as open fires and rudimentary stoves, are known to contribute to indoor air pollution, which results in respiratory diseases and health issues (Smith </w:t>
      </w:r>
      <w:r>
        <w:rPr>
          <w:i/>
          <w:iCs/>
          <w:color w:val="000000"/>
        </w:rPr>
        <w:t>et al</w:t>
      </w:r>
      <w:r>
        <w:rPr>
          <w:color w:val="000000"/>
        </w:rPr>
        <w:t xml:space="preserve">., 2014). This heavy reliance on </w:t>
      </w:r>
      <w:r>
        <w:rPr>
          <w:color w:val="000000"/>
        </w:rPr>
        <w:t>wood fuel</w:t>
      </w:r>
      <w:r>
        <w:rPr>
          <w:color w:val="000000"/>
        </w:rPr>
        <w:t xml:space="preserve"> for cooking and heating purposes has been found to have detrimental effects on public health and the environment (United Republic of Tanzania, 2017). Furthermore, unsustainable </w:t>
      </w:r>
      <w:r>
        <w:rPr>
          <w:color w:val="000000"/>
        </w:rPr>
        <w:t>wood fuel</w:t>
      </w:r>
      <w:r>
        <w:rPr>
          <w:color w:val="000000"/>
        </w:rPr>
        <w:t xml:space="preserve"> harvesting has led to the degradation of forests, resulting in an estimated loss of around 2,000 hectares of forest out of an area of 3,000 hectares in the Mazingara Ward (United Republic of Tanzania, 2016</w:t>
      </w:r>
      <w:r>
        <w:rPr>
          <w:color w:val="000000"/>
        </w:rPr>
        <w:t>).</w:t>
      </w:r>
      <w:r>
        <w:rPr>
          <w:color w:val="000000"/>
        </w:rPr>
        <w:t xml:space="preserve"> Therefore, there </w:t>
      </w:r>
      <w:r>
        <w:rPr>
          <w:color w:val="000000"/>
        </w:rPr>
        <w:t>wa</w:t>
      </w:r>
      <w:r>
        <w:rPr>
          <w:color w:val="000000"/>
        </w:rPr>
        <w:t xml:space="preserve">s a need </w:t>
      </w:r>
      <w:r>
        <w:rPr>
          <w:color w:val="000000"/>
        </w:rPr>
        <w:t xml:space="preserve">to assess the perceived effects of </w:t>
      </w:r>
      <w:r>
        <w:rPr>
          <w:color w:val="000000"/>
        </w:rPr>
        <w:t>wood fuel</w:t>
      </w:r>
      <w:r>
        <w:rPr>
          <w:color w:val="000000"/>
        </w:rPr>
        <w:t xml:space="preserve"> use specifically in Mazingara Ward, Handeni District. This is in line with the World Health Organization (2018), which emphasizes the importance of understanding the impact of </w:t>
      </w:r>
      <w:r>
        <w:rPr>
          <w:color w:val="000000"/>
        </w:rPr>
        <w:t>wood fuel</w:t>
      </w:r>
      <w:r>
        <w:rPr>
          <w:color w:val="000000"/>
        </w:rPr>
        <w:t xml:space="preserve"> use on public health. </w:t>
      </w:r>
      <w:r>
        <w:rPr>
          <w:color w:val="000000"/>
        </w:rPr>
        <w:t>Therefore,</w:t>
      </w:r>
      <w:r>
        <w:rPr>
          <w:color w:val="000000"/>
        </w:rPr>
        <w:t xml:space="preserve"> this study aims at examining the perceived impacts of </w:t>
      </w:r>
      <w:r>
        <w:rPr>
          <w:color w:val="000000"/>
        </w:rPr>
        <w:t>wood fuel</w:t>
      </w:r>
      <w:r>
        <w:rPr>
          <w:color w:val="000000"/>
        </w:rPr>
        <w:t xml:space="preserve"> in Handeni district with a specific focus at Mazingara ward.</w:t>
      </w:r>
    </w:p>
    <w:p>
      <w:pPr>
        <w:pStyle w:val="style0"/>
        <w:spacing w:lineRule="auto" w:line="480"/>
        <w:rPr>
          <w:color w:val="000000"/>
        </w:rPr>
      </w:pPr>
      <w:r>
        <w:rPr>
          <w:rFonts w:eastAsia="Calibri"/>
          <w:b/>
          <w:bCs/>
          <w:color w:val="000000"/>
        </w:rPr>
        <w:t>1.3 Significance of the Study</w:t>
      </w:r>
    </w:p>
    <w:p>
      <w:pPr>
        <w:pStyle w:val="style0"/>
        <w:spacing w:lineRule="auto" w:line="480"/>
        <w:rPr>
          <w:color w:val="000000"/>
        </w:rPr>
      </w:pPr>
      <w:r>
        <w:rPr>
          <w:color w:val="000000"/>
        </w:rPr>
        <w:t>This study holds significant importance categories as following,</w:t>
      </w:r>
    </w:p>
    <w:p>
      <w:pPr>
        <w:pStyle w:val="style0"/>
        <w:spacing w:lineRule="auto" w:line="480"/>
        <w:rPr>
          <w:color w:val="000000"/>
        </w:rPr>
      </w:pPr>
      <w:r>
        <w:rPr>
          <w:color w:val="000000"/>
        </w:rPr>
        <w:t xml:space="preserve">Community, the research will increase the knowledge and understanding on how to mitigating and improve the impact of </w:t>
      </w:r>
      <w:r>
        <w:rPr>
          <w:color w:val="000000"/>
        </w:rPr>
        <w:t>wood fuel</w:t>
      </w:r>
      <w:r>
        <w:rPr>
          <w:color w:val="000000"/>
        </w:rPr>
        <w:t xml:space="preserve"> usage on public health and well-being. The findings will contribute to the development of targeted educational campaigns and interventions aimed at raising awareness and promoting healthier environments. </w:t>
      </w:r>
    </w:p>
    <w:p>
      <w:pPr>
        <w:pStyle w:val="style0"/>
        <w:spacing w:lineRule="auto" w:line="480"/>
        <w:rPr>
          <w:color w:val="000000"/>
        </w:rPr>
      </w:pPr>
      <w:r>
        <w:rPr>
          <w:color w:val="000000"/>
        </w:rPr>
        <w:t xml:space="preserve">Policymakers, the research can provide the outcomes that needed for regulations and guidelines to address air quality issues, ultimately leading to improved public health outcomes and reduced healthcare costs associated with </w:t>
      </w:r>
      <w:r>
        <w:rPr>
          <w:color w:val="000000"/>
        </w:rPr>
        <w:t>wood fuel</w:t>
      </w:r>
      <w:r>
        <w:rPr>
          <w:color w:val="000000"/>
        </w:rPr>
        <w:t xml:space="preserve"> use related illnesses.</w:t>
      </w:r>
    </w:p>
    <w:p>
      <w:pPr>
        <w:pStyle w:val="style0"/>
        <w:spacing w:lineRule="auto" w:line="480"/>
        <w:rPr>
          <w:color w:val="000000"/>
        </w:rPr>
      </w:pPr>
      <w:r>
        <w:rPr>
          <w:color w:val="000000"/>
        </w:rPr>
        <w:t xml:space="preserve">Researchers, the study contributed on knowledge increasing to the researchers and understanding the level of perceived effects and behaviors concerning </w:t>
      </w:r>
      <w:r>
        <w:rPr>
          <w:color w:val="000000"/>
        </w:rPr>
        <w:t>wood fuel</w:t>
      </w:r>
      <w:r>
        <w:rPr>
          <w:color w:val="000000"/>
        </w:rPr>
        <w:t xml:space="preserve"> use by conducting a detailed assessment. It will help other researchers to address research gaps for future studies related to </w:t>
      </w:r>
      <w:r>
        <w:rPr>
          <w:color w:val="000000"/>
        </w:rPr>
        <w:t>wood fuel</w:t>
      </w:r>
      <w:r>
        <w:rPr>
          <w:color w:val="000000"/>
        </w:rPr>
        <w:t xml:space="preserve"> use and its impacts on public health in a specific community or demographic group.</w:t>
      </w:r>
    </w:p>
    <w:bookmarkStart w:id="18" w:name="_Toc172658946"/>
    <w:bookmarkStart w:id="19" w:name="_Toc173633187"/>
    <w:bookmarkStart w:id="20" w:name="_Toc174202490"/>
    <w:bookmarkStart w:id="21" w:name="_Toc178076712"/>
    <w:p>
      <w:pPr>
        <w:pStyle w:val="style2"/>
        <w:tabs>
          <w:tab w:val="left" w:leader="none" w:pos="540"/>
          <w:tab w:val="left" w:leader="none" w:pos="3240"/>
        </w:tabs>
        <w:spacing w:before="200" w:lineRule="auto" w:line="480"/>
        <w:rPr>
          <w:rFonts w:ascii="Times New Roman" w:cs="Times New Roman" w:hAnsi="Times New Roman"/>
          <w:b/>
          <w:color w:val="000000"/>
          <w:sz w:val="24"/>
          <w:szCs w:val="24"/>
        </w:rPr>
      </w:pPr>
      <w:r>
        <w:rPr>
          <w:rFonts w:ascii="Times New Roman" w:cs="Times New Roman" w:hAnsi="Times New Roman"/>
          <w:b/>
          <w:color w:val="000000"/>
          <w:sz w:val="24"/>
          <w:szCs w:val="24"/>
        </w:rPr>
        <w:t>1.4 Objectives of the Study</w:t>
      </w:r>
      <w:bookmarkEnd w:id="18"/>
      <w:bookmarkEnd w:id="19"/>
      <w:bookmarkEnd w:id="20"/>
      <w:bookmarkEnd w:id="21"/>
    </w:p>
    <w:bookmarkStart w:id="22" w:name="_Toc174202491"/>
    <w:p>
      <w:pPr>
        <w:pStyle w:val="style0"/>
        <w:rPr>
          <w:color w:val="000000"/>
        </w:rPr>
      </w:pPr>
      <w:r>
        <w:rPr>
          <w:rFonts w:eastAsia="SimSun"/>
          <w:b/>
          <w:bCs/>
          <w:color w:val="000000"/>
        </w:rPr>
        <w:t>1.4.1 General Objective</w:t>
      </w:r>
      <w:bookmarkEnd w:id="22"/>
      <w:r>
        <w:rPr>
          <w:color w:val="000000"/>
        </w:rPr>
        <w:t xml:space="preserve"> </w:t>
      </w:r>
    </w:p>
    <w:p>
      <w:pPr>
        <w:pStyle w:val="style0"/>
        <w:spacing w:lineRule="auto" w:line="480"/>
        <w:rPr>
          <w:b/>
          <w:color w:val="000000"/>
        </w:rPr>
      </w:pPr>
      <w:r>
        <w:rPr>
          <w:color w:val="000000"/>
        </w:rPr>
        <w:t xml:space="preserve">To assess the perceived effects of </w:t>
      </w:r>
      <w:r>
        <w:rPr>
          <w:color w:val="000000"/>
        </w:rPr>
        <w:t>wood fuel</w:t>
      </w:r>
      <w:r>
        <w:rPr>
          <w:color w:val="000000"/>
        </w:rPr>
        <w:t xml:space="preserve"> use at Mazingara ward in Handeni </w:t>
      </w:r>
    </w:p>
    <w:bookmarkStart w:id="23" w:name="_Toc174202492"/>
    <w:bookmarkStart w:id="24" w:name="_Toc178076713"/>
    <w:p>
      <w:pPr>
        <w:pStyle w:val="style2"/>
        <w:tabs>
          <w:tab w:val="left" w:leader="none" w:pos="540"/>
          <w:tab w:val="left" w:leader="none" w:pos="3240"/>
        </w:tabs>
        <w:spacing w:before="200" w:lineRule="auto" w:line="480"/>
        <w:rPr>
          <w:rFonts w:ascii="Times New Roman" w:cs="Times New Roman" w:hAnsi="Times New Roman"/>
          <w:b/>
          <w:bCs/>
          <w:color w:val="000000"/>
          <w:sz w:val="24"/>
          <w:szCs w:val="24"/>
        </w:rPr>
      </w:pPr>
      <w:r>
        <w:rPr>
          <w:rFonts w:ascii="Times New Roman" w:cs="Times New Roman" w:hAnsi="Times New Roman"/>
          <w:bCs/>
          <w:color w:val="000000"/>
          <w:sz w:val="24"/>
          <w:szCs w:val="24"/>
        </w:rPr>
        <w:t>1.4.2 Specific Objectives</w:t>
      </w:r>
      <w:bookmarkEnd w:id="23"/>
      <w:bookmarkEnd w:id="24"/>
    </w:p>
    <w:p>
      <w:pPr>
        <w:pStyle w:val="style179"/>
        <w:numPr>
          <w:ilvl w:val="0"/>
          <w:numId w:val="1"/>
        </w:numPr>
        <w:spacing w:lineRule="auto" w:line="480"/>
        <w:rPr>
          <w:color w:val="000000"/>
        </w:rPr>
      </w:pPr>
      <w:r>
        <w:rPr>
          <w:color w:val="000000"/>
        </w:rPr>
        <w:t>To examine the</w:t>
      </w:r>
      <w:r>
        <w:rPr>
          <w:color w:val="000000"/>
        </w:rPr>
        <w:t xml:space="preserve"> current trend of wood fuel</w:t>
      </w:r>
      <w:r>
        <w:rPr>
          <w:color w:val="000000"/>
        </w:rPr>
        <w:t xml:space="preserve"> consumption for the last 10 years</w:t>
      </w:r>
    </w:p>
    <w:p>
      <w:pPr>
        <w:pStyle w:val="style179"/>
        <w:numPr>
          <w:ilvl w:val="0"/>
          <w:numId w:val="1"/>
        </w:numPr>
        <w:spacing w:lineRule="auto" w:line="480"/>
        <w:rPr>
          <w:color w:val="000000"/>
        </w:rPr>
      </w:pPr>
      <w:r>
        <w:rPr>
          <w:color w:val="000000"/>
        </w:rPr>
        <w:t xml:space="preserve">To determine </w:t>
      </w:r>
      <w:r>
        <w:rPr>
          <w:color w:val="000000"/>
        </w:rPr>
        <w:t xml:space="preserve">the </w:t>
      </w:r>
      <w:r>
        <w:rPr>
          <w:color w:val="000000"/>
        </w:rPr>
        <w:t>per</w:t>
      </w:r>
      <w:r>
        <w:rPr>
          <w:color w:val="000000"/>
        </w:rPr>
        <w:t>ceived effects of wood fuel</w:t>
      </w:r>
      <w:r>
        <w:rPr>
          <w:color w:val="000000"/>
        </w:rPr>
        <w:t xml:space="preserve"> consumption</w:t>
      </w:r>
    </w:p>
    <w:p>
      <w:pPr>
        <w:pStyle w:val="style179"/>
        <w:numPr>
          <w:ilvl w:val="0"/>
          <w:numId w:val="1"/>
        </w:numPr>
        <w:spacing w:lineRule="auto" w:line="480"/>
        <w:rPr>
          <w:color w:val="000000"/>
        </w:rPr>
      </w:pPr>
      <w:r>
        <w:rPr>
          <w:color w:val="000000"/>
        </w:rPr>
        <w:t xml:space="preserve">To examine coping </w:t>
      </w:r>
      <w:r>
        <w:rPr>
          <w:color w:val="000000"/>
        </w:rPr>
        <w:t>strategies on the use of wood fuel</w:t>
      </w:r>
    </w:p>
    <w:bookmarkStart w:id="25" w:name="_Toc174202493"/>
    <w:p>
      <w:pPr>
        <w:pStyle w:val="style0"/>
        <w:spacing w:lineRule="auto" w:line="480"/>
        <w:rPr>
          <w:b/>
          <w:color w:val="000000"/>
        </w:rPr>
      </w:pPr>
      <w:r>
        <w:rPr>
          <w:bCs/>
          <w:color w:val="000000"/>
        </w:rPr>
        <w:t>1.5 Research Questions</w:t>
      </w:r>
      <w:bookmarkEnd w:id="25"/>
    </w:p>
    <w:p>
      <w:pPr>
        <w:pStyle w:val="style0"/>
        <w:spacing w:lineRule="auto" w:line="480"/>
        <w:rPr>
          <w:color w:val="000000"/>
        </w:rPr>
      </w:pPr>
      <w:r>
        <w:rPr>
          <w:color w:val="000000"/>
        </w:rPr>
        <w:t xml:space="preserve"> 1.  What</w:t>
      </w:r>
      <w:r>
        <w:rPr>
          <w:color w:val="000000"/>
        </w:rPr>
        <w:t xml:space="preserve"> is the current trend of wood fuel</w:t>
      </w:r>
      <w:r>
        <w:rPr>
          <w:color w:val="000000"/>
        </w:rPr>
        <w:t xml:space="preserve"> consumption for the last 10 years?</w:t>
      </w:r>
    </w:p>
    <w:p>
      <w:pPr>
        <w:pStyle w:val="style0"/>
        <w:spacing w:lineRule="auto" w:line="480"/>
        <w:rPr>
          <w:color w:val="000000"/>
        </w:rPr>
      </w:pPr>
      <w:r>
        <w:rPr>
          <w:color w:val="000000"/>
        </w:rPr>
        <w:t xml:space="preserve">Variable </w:t>
      </w:r>
    </w:p>
    <w:p>
      <w:pPr>
        <w:pStyle w:val="style179"/>
        <w:numPr>
          <w:ilvl w:val="0"/>
          <w:numId w:val="2"/>
        </w:numPr>
        <w:spacing w:lineRule="auto" w:line="480"/>
        <w:rPr>
          <w:color w:val="000000"/>
        </w:rPr>
      </w:pPr>
      <w:r>
        <w:rPr>
          <w:color w:val="000000"/>
        </w:rPr>
        <w:t xml:space="preserve">Types of </w:t>
      </w:r>
      <w:r>
        <w:rPr>
          <w:color w:val="000000"/>
        </w:rPr>
        <w:t>wood fuel</w:t>
      </w:r>
      <w:r>
        <w:rPr>
          <w:color w:val="000000"/>
        </w:rPr>
        <w:t xml:space="preserve"> commonly used</w:t>
      </w:r>
    </w:p>
    <w:p>
      <w:pPr>
        <w:pStyle w:val="style179"/>
        <w:numPr>
          <w:ilvl w:val="0"/>
          <w:numId w:val="2"/>
        </w:numPr>
        <w:spacing w:lineRule="auto" w:line="480"/>
        <w:rPr>
          <w:color w:val="000000"/>
        </w:rPr>
      </w:pPr>
      <w:r>
        <w:rPr>
          <w:color w:val="000000"/>
        </w:rPr>
        <w:t>Amount per each type</w:t>
      </w:r>
    </w:p>
    <w:p>
      <w:pPr>
        <w:pStyle w:val="style179"/>
        <w:numPr>
          <w:ilvl w:val="0"/>
          <w:numId w:val="2"/>
        </w:numPr>
        <w:spacing w:lineRule="auto" w:line="480"/>
        <w:rPr>
          <w:color w:val="000000"/>
        </w:rPr>
      </w:pPr>
      <w:r>
        <w:rPr>
          <w:color w:val="000000"/>
        </w:rPr>
        <w:t xml:space="preserve">Source of </w:t>
      </w:r>
      <w:r>
        <w:rPr>
          <w:color w:val="000000"/>
        </w:rPr>
        <w:t>wood fuel</w:t>
      </w:r>
      <w:r>
        <w:rPr>
          <w:color w:val="000000"/>
        </w:rPr>
        <w:t xml:space="preserve"> </w:t>
      </w:r>
    </w:p>
    <w:p>
      <w:pPr>
        <w:pStyle w:val="style0"/>
        <w:spacing w:lineRule="auto" w:line="480"/>
        <w:rPr>
          <w:color w:val="000000"/>
        </w:rPr>
      </w:pPr>
      <w:r>
        <w:rPr>
          <w:color w:val="000000"/>
        </w:rPr>
        <w:t xml:space="preserve">2:  What are the </w:t>
      </w:r>
      <w:r>
        <w:rPr>
          <w:color w:val="000000"/>
        </w:rPr>
        <w:t>perceived effects of wood fuel</w:t>
      </w:r>
      <w:r>
        <w:rPr>
          <w:color w:val="000000"/>
        </w:rPr>
        <w:t xml:space="preserve"> consumption on the community?</w:t>
      </w:r>
    </w:p>
    <w:p>
      <w:pPr>
        <w:pStyle w:val="style0"/>
        <w:spacing w:lineRule="auto" w:line="480"/>
        <w:rPr>
          <w:color w:val="000000"/>
        </w:rPr>
      </w:pPr>
      <w:r>
        <w:rPr>
          <w:color w:val="000000"/>
        </w:rPr>
        <w:t>Variables</w:t>
      </w:r>
    </w:p>
    <w:p>
      <w:pPr>
        <w:pStyle w:val="style179"/>
        <w:numPr>
          <w:ilvl w:val="0"/>
          <w:numId w:val="3"/>
        </w:numPr>
        <w:spacing w:lineRule="auto" w:line="480"/>
        <w:rPr>
          <w:color w:val="000000"/>
        </w:rPr>
      </w:pPr>
      <w:r>
        <w:rPr>
          <w:color w:val="000000"/>
        </w:rPr>
        <w:t>Health impacts</w:t>
      </w:r>
    </w:p>
    <w:p>
      <w:pPr>
        <w:pStyle w:val="style179"/>
        <w:numPr>
          <w:ilvl w:val="0"/>
          <w:numId w:val="3"/>
        </w:numPr>
        <w:spacing w:lineRule="auto" w:line="480"/>
        <w:rPr>
          <w:color w:val="000000"/>
        </w:rPr>
      </w:pPr>
      <w:r>
        <w:rPr>
          <w:color w:val="000000"/>
        </w:rPr>
        <w:t>Social impacts</w:t>
      </w:r>
    </w:p>
    <w:p>
      <w:pPr>
        <w:pStyle w:val="style179"/>
        <w:numPr>
          <w:ilvl w:val="0"/>
          <w:numId w:val="3"/>
        </w:numPr>
        <w:spacing w:lineRule="auto" w:line="480"/>
        <w:rPr>
          <w:color w:val="000000"/>
        </w:rPr>
      </w:pPr>
      <w:r>
        <w:rPr>
          <w:color w:val="000000"/>
        </w:rPr>
        <w:t xml:space="preserve">Economic </w:t>
      </w:r>
      <w:r>
        <w:rPr>
          <w:color w:val="000000"/>
        </w:rPr>
        <w:t xml:space="preserve">effects </w:t>
      </w:r>
    </w:p>
    <w:p>
      <w:pPr>
        <w:pStyle w:val="style179"/>
        <w:numPr>
          <w:ilvl w:val="0"/>
          <w:numId w:val="3"/>
        </w:numPr>
        <w:spacing w:lineRule="auto" w:line="480"/>
        <w:rPr>
          <w:color w:val="000000"/>
        </w:rPr>
      </w:pPr>
      <w:r>
        <w:rPr>
          <w:color w:val="000000"/>
        </w:rPr>
        <w:t xml:space="preserve"> Environmental effects </w:t>
      </w:r>
    </w:p>
    <w:p>
      <w:pPr>
        <w:pStyle w:val="style0"/>
        <w:spacing w:lineRule="auto" w:line="480"/>
        <w:rPr>
          <w:color w:val="000000"/>
        </w:rPr>
      </w:pPr>
      <w:r>
        <w:rPr>
          <w:color w:val="000000"/>
        </w:rPr>
        <w:t xml:space="preserve"> 3:  What are the coping s</w:t>
      </w:r>
      <w:r>
        <w:rPr>
          <w:color w:val="000000"/>
        </w:rPr>
        <w:t>trategies on the use of wood fuel?</w:t>
      </w:r>
    </w:p>
    <w:p>
      <w:pPr>
        <w:pStyle w:val="style0"/>
        <w:spacing w:lineRule="auto" w:line="480"/>
        <w:rPr>
          <w:color w:val="000000"/>
        </w:rPr>
      </w:pPr>
      <w:r>
        <w:rPr>
          <w:color w:val="000000"/>
        </w:rPr>
        <w:t>Variables</w:t>
      </w:r>
    </w:p>
    <w:bookmarkStart w:id="26" w:name="_Toc174202494"/>
    <w:p>
      <w:pPr>
        <w:pStyle w:val="style179"/>
        <w:numPr>
          <w:ilvl w:val="0"/>
          <w:numId w:val="3"/>
        </w:numPr>
        <w:spacing w:lineRule="auto" w:line="480"/>
        <w:rPr>
          <w:color w:val="000000"/>
        </w:rPr>
      </w:pPr>
      <w:r>
        <w:rPr>
          <w:color w:val="000000"/>
        </w:rPr>
        <w:t>Management of harvested areas</w:t>
      </w:r>
    </w:p>
    <w:p>
      <w:pPr>
        <w:pStyle w:val="style179"/>
        <w:numPr>
          <w:ilvl w:val="0"/>
          <w:numId w:val="3"/>
        </w:numPr>
        <w:spacing w:lineRule="auto" w:line="480"/>
        <w:rPr>
          <w:color w:val="000000"/>
        </w:rPr>
      </w:pPr>
      <w:r>
        <w:rPr>
          <w:color w:val="000000"/>
        </w:rPr>
        <w:t>Checkpoints improvements</w:t>
      </w:r>
    </w:p>
    <w:p>
      <w:pPr>
        <w:pStyle w:val="style179"/>
        <w:numPr>
          <w:ilvl w:val="0"/>
          <w:numId w:val="3"/>
        </w:numPr>
        <w:spacing w:lineRule="auto" w:line="480"/>
        <w:rPr>
          <w:color w:val="000000"/>
        </w:rPr>
      </w:pPr>
      <w:r>
        <w:rPr>
          <w:color w:val="000000"/>
        </w:rPr>
        <w:t>Use of alternative energy</w:t>
      </w:r>
    </w:p>
    <w:p>
      <w:pPr>
        <w:pStyle w:val="style0"/>
        <w:rPr>
          <w:rFonts w:eastAsia="SimSun"/>
          <w:b/>
          <w:bCs/>
          <w:color w:val="000000"/>
        </w:rPr>
      </w:pPr>
      <w:r>
        <w:rPr>
          <w:rFonts w:eastAsia="SimSun"/>
          <w:b/>
          <w:bCs/>
          <w:color w:val="000000"/>
        </w:rPr>
        <w:t>1. 6 Scope of the Study</w:t>
      </w:r>
      <w:bookmarkEnd w:id="26"/>
    </w:p>
    <w:p>
      <w:pPr>
        <w:pStyle w:val="style0"/>
        <w:spacing w:lineRule="auto" w:line="480"/>
        <w:rPr>
          <w:color w:val="000000"/>
        </w:rPr>
      </w:pPr>
      <w:r>
        <w:rPr>
          <w:color w:val="000000"/>
        </w:rPr>
        <w:t xml:space="preserve">The scope of the study on the perceived effects of </w:t>
      </w:r>
      <w:r>
        <w:rPr>
          <w:color w:val="000000"/>
        </w:rPr>
        <w:t>wood fuel</w:t>
      </w:r>
      <w:r>
        <w:rPr>
          <w:color w:val="000000"/>
        </w:rPr>
        <w:t xml:space="preserve"> use in Handeni district is limited to the Mazingara ward. The study focuses on the perceived effects of </w:t>
      </w:r>
      <w:r>
        <w:rPr>
          <w:color w:val="000000"/>
        </w:rPr>
        <w:t>wood fuel</w:t>
      </w:r>
      <w:r>
        <w:rPr>
          <w:color w:val="000000"/>
        </w:rPr>
        <w:t xml:space="preserve"> use. The study examined the current trend of </w:t>
      </w:r>
      <w:r>
        <w:rPr>
          <w:color w:val="000000"/>
        </w:rPr>
        <w:t>wood fuel</w:t>
      </w:r>
      <w:r>
        <w:rPr>
          <w:color w:val="000000"/>
        </w:rPr>
        <w:t xml:space="preserve"> consumption for the last 10 years in the Mazingara ward. The study will also determine perceived effects of </w:t>
      </w:r>
      <w:r>
        <w:rPr>
          <w:color w:val="000000"/>
        </w:rPr>
        <w:t>wood fuel</w:t>
      </w:r>
      <w:r>
        <w:rPr>
          <w:color w:val="000000"/>
        </w:rPr>
        <w:t xml:space="preserve"> consumption. And lastly, the study examine</w:t>
      </w:r>
      <w:r>
        <w:rPr>
          <w:color w:val="000000"/>
        </w:rPr>
        <w:t>d</w:t>
      </w:r>
      <w:r>
        <w:rPr>
          <w:color w:val="000000"/>
        </w:rPr>
        <w:t xml:space="preserve"> coping strategies on the use of </w:t>
      </w:r>
      <w:r>
        <w:rPr>
          <w:color w:val="000000"/>
        </w:rPr>
        <w:t>wood fuel</w:t>
      </w:r>
      <w:r>
        <w:rPr>
          <w:color w:val="000000"/>
        </w:rPr>
        <w:t xml:space="preserve">. The study </w:t>
      </w:r>
      <w:r>
        <w:rPr>
          <w:color w:val="000000"/>
        </w:rPr>
        <w:t>did</w:t>
      </w:r>
      <w:r>
        <w:rPr>
          <w:color w:val="000000"/>
        </w:rPr>
        <w:t xml:space="preserve"> not cover other areas outside Mazingara ward.</w:t>
      </w:r>
    </w:p>
    <w:p>
      <w:pPr>
        <w:pStyle w:val="style0"/>
        <w:spacing w:lineRule="auto" w:line="480"/>
        <w:rPr>
          <w:color w:val="000000"/>
        </w:rPr>
      </w:pPr>
    </w:p>
    <w:p>
      <w:pPr>
        <w:pStyle w:val="style0"/>
        <w:spacing w:lineRule="auto" w:line="480"/>
        <w:rPr>
          <w:color w:val="000000"/>
        </w:rPr>
      </w:pPr>
    </w:p>
    <w:p>
      <w:pPr>
        <w:pStyle w:val="style0"/>
        <w:spacing w:lineRule="auto" w:line="480"/>
        <w:rPr>
          <w:color w:val="000000"/>
        </w:rPr>
      </w:pPr>
    </w:p>
    <w:bookmarkStart w:id="27" w:name="_Toc172658951"/>
    <w:bookmarkStart w:id="28" w:name="_Toc173633192"/>
    <w:bookmarkStart w:id="29" w:name="_Toc174202495"/>
    <w:bookmarkStart w:id="30" w:name="_Toc178076714"/>
    <w:p>
      <w:pPr>
        <w:pStyle w:val="style1"/>
        <w:tabs>
          <w:tab w:val="left" w:leader="none" w:pos="3240"/>
        </w:tabs>
        <w:spacing w:lineRule="auto" w:line="480"/>
        <w:jc w:val="center"/>
        <w:rPr>
          <w:rFonts w:ascii="Times New Roman" w:cs="Times New Roman" w:hAnsi="Times New Roman"/>
          <w:b/>
          <w:bCs/>
          <w:color w:val="000000"/>
          <w:sz w:val="24"/>
          <w:szCs w:val="24"/>
        </w:rPr>
      </w:pPr>
      <w:r>
        <w:rPr>
          <w:rFonts w:ascii="Times New Roman" w:cs="Times New Roman" w:hAnsi="Times New Roman"/>
          <w:b/>
          <w:bCs/>
          <w:color w:val="000000"/>
          <w:sz w:val="24"/>
          <w:szCs w:val="24"/>
        </w:rPr>
        <w:t>CHAPTER TWO</w:t>
      </w:r>
      <w:bookmarkEnd w:id="27"/>
      <w:bookmarkEnd w:id="28"/>
      <w:bookmarkEnd w:id="29"/>
      <w:bookmarkEnd w:id="30"/>
    </w:p>
    <w:bookmarkStart w:id="31" w:name="_Toc172658952"/>
    <w:bookmarkStart w:id="32" w:name="_Toc173633193"/>
    <w:bookmarkStart w:id="33" w:name="_Toc174202496"/>
    <w:bookmarkStart w:id="34" w:name="_Toc178076715"/>
    <w:p>
      <w:pPr>
        <w:pStyle w:val="style1"/>
        <w:tabs>
          <w:tab w:val="left" w:leader="none" w:pos="3240"/>
        </w:tabs>
        <w:spacing w:lineRule="auto" w:line="480"/>
        <w:jc w:val="center"/>
        <w:rPr>
          <w:rFonts w:ascii="Times New Roman" w:cs="Times New Roman" w:hAnsi="Times New Roman"/>
          <w:b/>
          <w:bCs/>
          <w:color w:val="000000"/>
          <w:sz w:val="24"/>
          <w:szCs w:val="24"/>
        </w:rPr>
      </w:pPr>
      <w:r>
        <w:rPr>
          <w:rFonts w:ascii="Times New Roman" w:cs="Times New Roman" w:hAnsi="Times New Roman"/>
          <w:b/>
          <w:bCs/>
          <w:color w:val="000000"/>
          <w:sz w:val="24"/>
          <w:szCs w:val="24"/>
        </w:rPr>
        <w:t>LITERATURE REVIEW</w:t>
      </w:r>
      <w:bookmarkEnd w:id="31"/>
      <w:bookmarkEnd w:id="32"/>
      <w:bookmarkEnd w:id="33"/>
      <w:bookmarkEnd w:id="34"/>
    </w:p>
    <w:bookmarkStart w:id="35" w:name="_Toc172658953"/>
    <w:bookmarkStart w:id="36" w:name="_Toc173633194"/>
    <w:bookmarkStart w:id="37" w:name="_Toc174202497"/>
    <w:bookmarkStart w:id="38" w:name="_Toc178076716"/>
    <w:p>
      <w:pPr>
        <w:pStyle w:val="style2"/>
        <w:tabs>
          <w:tab w:val="left" w:leader="none" w:pos="540"/>
          <w:tab w:val="left" w:leader="none" w:pos="3240"/>
        </w:tabs>
        <w:spacing w:before="200" w:lineRule="auto" w:line="480"/>
        <w:rPr>
          <w:rFonts w:ascii="Times New Roman" w:cs="Times New Roman" w:hAnsi="Times New Roman"/>
          <w:b/>
          <w:color w:val="000000"/>
          <w:sz w:val="24"/>
          <w:szCs w:val="24"/>
        </w:rPr>
      </w:pPr>
      <w:r>
        <w:rPr>
          <w:rFonts w:ascii="Times New Roman" w:cs="Times New Roman" w:hAnsi="Times New Roman"/>
          <w:b/>
          <w:color w:val="000000"/>
          <w:sz w:val="24"/>
          <w:szCs w:val="24"/>
        </w:rPr>
        <w:t>2.1 Theoretical Literature Review</w:t>
      </w:r>
      <w:bookmarkEnd w:id="35"/>
      <w:bookmarkEnd w:id="36"/>
      <w:bookmarkEnd w:id="37"/>
      <w:bookmarkEnd w:id="38"/>
      <w:r>
        <w:rPr>
          <w:rFonts w:ascii="Times New Roman" w:cs="Times New Roman" w:hAnsi="Times New Roman"/>
          <w:b/>
          <w:color w:val="000000"/>
          <w:sz w:val="24"/>
          <w:szCs w:val="24"/>
        </w:rPr>
        <w:t xml:space="preserve"> </w:t>
      </w:r>
    </w:p>
    <w:p>
      <w:pPr>
        <w:pStyle w:val="style0"/>
        <w:spacing w:lineRule="auto" w:line="480"/>
        <w:rPr>
          <w:b/>
          <w:color w:val="000000"/>
        </w:rPr>
      </w:pPr>
      <w:r>
        <w:rPr>
          <w:b/>
          <w:color w:val="000000"/>
        </w:rPr>
        <w:t>2.1.1 Biochemical Conversion Theory</w:t>
      </w:r>
    </w:p>
    <w:p>
      <w:pPr>
        <w:pStyle w:val="style0"/>
        <w:spacing w:lineRule="auto" w:line="480"/>
        <w:rPr>
          <w:color w:val="000000"/>
        </w:rPr>
      </w:pPr>
      <w:r>
        <w:rPr>
          <w:color w:val="000000"/>
        </w:rPr>
        <w:t xml:space="preserve"> Conversion of </w:t>
      </w:r>
      <w:r>
        <w:rPr>
          <w:color w:val="000000"/>
        </w:rPr>
        <w:t>wood fuel</w:t>
      </w:r>
      <w:r>
        <w:rPr>
          <w:color w:val="000000"/>
        </w:rPr>
        <w:t xml:space="preserve"> into energy through biological processes such as fermentation and anaerobic digestion whereby microorganisms break down organic material to produce energy-rich compounds example the production of biogas through the anaerobic digestion of organic waste in the absence of oxygen. (Malik </w:t>
      </w:r>
      <w:r>
        <w:rPr>
          <w:i/>
          <w:iCs/>
          <w:color w:val="000000"/>
        </w:rPr>
        <w:t>et al</w:t>
      </w:r>
      <w:r>
        <w:rPr>
          <w:color w:val="000000"/>
        </w:rPr>
        <w:t xml:space="preserve">., 2021). In the content of </w:t>
      </w:r>
      <w:r>
        <w:rPr>
          <w:color w:val="000000"/>
        </w:rPr>
        <w:t>wood fuel</w:t>
      </w:r>
      <w:r>
        <w:rPr>
          <w:color w:val="000000"/>
        </w:rPr>
        <w:t xml:space="preserve"> use, this theory helps a researcher understand the process of optimize energy production and reduce wastes.</w:t>
      </w:r>
    </w:p>
    <w:p>
      <w:pPr>
        <w:pStyle w:val="style0"/>
        <w:spacing w:lineRule="auto" w:line="480"/>
        <w:rPr>
          <w:b/>
          <w:color w:val="000000"/>
        </w:rPr>
      </w:pPr>
      <w:r>
        <w:rPr>
          <w:b/>
          <w:color w:val="000000"/>
        </w:rPr>
        <w:t xml:space="preserve">2.1.2 Sustainable </w:t>
      </w:r>
      <w:r>
        <w:rPr>
          <w:b/>
          <w:color w:val="000000"/>
        </w:rPr>
        <w:t>Wood fuel</w:t>
      </w:r>
      <w:r>
        <w:rPr>
          <w:b/>
          <w:color w:val="000000"/>
        </w:rPr>
        <w:t xml:space="preserve"> Production Theory</w:t>
      </w:r>
    </w:p>
    <w:p>
      <w:pPr>
        <w:pStyle w:val="style0"/>
        <w:spacing w:lineRule="auto" w:line="480"/>
        <w:rPr>
          <w:color w:val="000000"/>
        </w:rPr>
      </w:pPr>
      <w:r>
        <w:rPr>
          <w:color w:val="000000"/>
        </w:rPr>
        <w:t xml:space="preserve">This theory focuses on the sustainable cultivation and harvesting of </w:t>
      </w:r>
      <w:r>
        <w:rPr>
          <w:color w:val="000000"/>
        </w:rPr>
        <w:t>wood fuel</w:t>
      </w:r>
      <w:r>
        <w:rPr>
          <w:color w:val="000000"/>
        </w:rPr>
        <w:t xml:space="preserve"> feedstock to ensure that </w:t>
      </w:r>
      <w:r>
        <w:rPr>
          <w:color w:val="000000"/>
        </w:rPr>
        <w:t>wood fuel</w:t>
      </w:r>
      <w:r>
        <w:rPr>
          <w:color w:val="000000"/>
        </w:rPr>
        <w:t xml:space="preserve"> production does not deplete natural resources or harm ecosystems by involves the principles such as crop rotation, agroforestry, and the use of marginal lands to reduce competition with food production and maintain biodiversity (Berndes, </w:t>
      </w:r>
      <w:r>
        <w:rPr>
          <w:i/>
          <w:iCs/>
          <w:color w:val="000000"/>
        </w:rPr>
        <w:t>et al</w:t>
      </w:r>
      <w:r>
        <w:rPr>
          <w:color w:val="000000"/>
        </w:rPr>
        <w:t xml:space="preserve">., 2003). The theory will enable the researchers to think about development of new technologies and practices that enhance sustainability by adopting best practices to the </w:t>
      </w:r>
      <w:r>
        <w:rPr>
          <w:color w:val="000000"/>
        </w:rPr>
        <w:t>wood fuel</w:t>
      </w:r>
      <w:r>
        <w:rPr>
          <w:color w:val="000000"/>
        </w:rPr>
        <w:t xml:space="preserve"> industries to improve environmental and social impacts</w:t>
      </w:r>
    </w:p>
    <w:bookmarkStart w:id="39" w:name="_Toc172658957"/>
    <w:bookmarkStart w:id="40" w:name="_Toc173633195"/>
    <w:p>
      <w:pPr>
        <w:pStyle w:val="style0"/>
        <w:tabs>
          <w:tab w:val="left" w:leader="none" w:pos="2817"/>
          <w:tab w:val="left" w:leader="none" w:pos="3240"/>
        </w:tabs>
        <w:spacing w:before="240" w:lineRule="auto" w:line="480"/>
        <w:contextualSpacing/>
        <w:rPr>
          <w:b/>
          <w:bCs/>
          <w:color w:val="000000"/>
        </w:rPr>
      </w:pPr>
      <w:r>
        <w:rPr>
          <w:b/>
          <w:bCs/>
          <w:color w:val="000000"/>
        </w:rPr>
        <w:t>2.2 Empirical Literature Review</w:t>
      </w:r>
      <w:bookmarkEnd w:id="39"/>
      <w:bookmarkEnd w:id="40"/>
    </w:p>
    <w:p>
      <w:pPr>
        <w:pStyle w:val="style0"/>
        <w:spacing w:lineRule="auto" w:line="480"/>
        <w:rPr>
          <w:color w:val="000000"/>
        </w:rPr>
      </w:pPr>
      <w:r>
        <w:rPr>
          <w:rFonts w:eastAsia="SimSun"/>
          <w:b/>
          <w:color w:val="000000"/>
          <w:lang w:eastAsia="zh-CN"/>
        </w:rPr>
        <w:t xml:space="preserve">2.2.1 </w:t>
      </w:r>
      <w:r>
        <w:rPr>
          <w:b/>
          <w:color w:val="000000"/>
        </w:rPr>
        <w:t>Wood fuel</w:t>
      </w:r>
      <w:r>
        <w:rPr>
          <w:b/>
          <w:color w:val="000000"/>
        </w:rPr>
        <w:t xml:space="preserve"> energy consumption</w:t>
      </w:r>
    </w:p>
    <w:p>
      <w:pPr>
        <w:pStyle w:val="style0"/>
        <w:spacing w:lineRule="auto" w:line="480"/>
        <w:rPr>
          <w:color w:val="000000"/>
        </w:rPr>
      </w:pPr>
      <w:r>
        <w:rPr>
          <w:color w:val="000000"/>
        </w:rPr>
        <w:t xml:space="preserve">In Tanzania, </w:t>
      </w:r>
      <w:r>
        <w:rPr>
          <w:color w:val="000000"/>
        </w:rPr>
        <w:t>wood fuel</w:t>
      </w:r>
      <w:r>
        <w:rPr>
          <w:color w:val="000000"/>
        </w:rPr>
        <w:t xml:space="preserve"> is the largest energy source (Martin </w:t>
      </w:r>
      <w:r>
        <w:rPr>
          <w:i/>
          <w:iCs/>
          <w:color w:val="000000"/>
        </w:rPr>
        <w:t>et al</w:t>
      </w:r>
      <w:r>
        <w:rPr>
          <w:color w:val="000000"/>
        </w:rPr>
        <w:t xml:space="preserve">., 2009). It is predominantly utilized in the domestic sector. More than 1 million people engage in charcoal production and supply. Demand for firewood and charcoal is dominated by the countryside and urban areas, respectively. For instance, Dar es Salaam city and other urban centers remain the largest charcoal consumers. A lot of </w:t>
      </w:r>
      <w:r>
        <w:rPr>
          <w:color w:val="000000"/>
        </w:rPr>
        <w:t>wood fuel</w:t>
      </w:r>
      <w:r>
        <w:rPr>
          <w:color w:val="000000"/>
        </w:rPr>
        <w:t xml:space="preserve"> is from forests that are harvested traditionally and unsustainably due to factors such as weak law enforcement, low awareness, and high poverty levels (Muhunza </w:t>
      </w:r>
      <w:r>
        <w:rPr>
          <w:i/>
          <w:iCs/>
          <w:color w:val="000000"/>
        </w:rPr>
        <w:t>et al</w:t>
      </w:r>
      <w:r>
        <w:rPr>
          <w:color w:val="000000"/>
        </w:rPr>
        <w:t xml:space="preserve">., 2013; Gain </w:t>
      </w:r>
      <w:r>
        <w:rPr>
          <w:i/>
          <w:iCs/>
          <w:color w:val="000000"/>
        </w:rPr>
        <w:t>et al</w:t>
      </w:r>
      <w:r>
        <w:rPr>
          <w:color w:val="000000"/>
        </w:rPr>
        <w:t xml:space="preserve">., 2017). In Tanzania, most of the </w:t>
      </w:r>
      <w:r>
        <w:rPr>
          <w:color w:val="000000"/>
        </w:rPr>
        <w:t>wood fuel</w:t>
      </w:r>
      <w:r>
        <w:rPr>
          <w:color w:val="000000"/>
        </w:rPr>
        <w:t xml:space="preserve"> is frequently derived from forests, agricultural residue, animal dung, and solid industrial waste. According to the UN Food and Agriculture Organization under Global Forests Resources Assessment project, Tanzania has 33 million hectares of forests and woodland but loses over 400,000 hectares of forests each year. Around 75% of wood harvested is not accounted in the government budget systems, which leads to a loss of revenue collection (Smith, 2015). Households consume an average of 46.4 kg of charcoal per month. Residents of urban Tanzania consume an average of 93.6 to 180 kg of charcoal per person per year. However, the number is predicted to increase to 2.8 million hectares by 2030 because of high population growth (Msuya </w:t>
      </w:r>
      <w:r>
        <w:rPr>
          <w:i/>
          <w:iCs/>
          <w:color w:val="000000"/>
        </w:rPr>
        <w:t>et al</w:t>
      </w:r>
      <w:r>
        <w:rPr>
          <w:color w:val="000000"/>
        </w:rPr>
        <w:t xml:space="preserve">., 2011). The government loses about US$100 million in revenue annually. Currently, about 18 MW of grid power is generated from </w:t>
      </w:r>
      <w:r>
        <w:rPr>
          <w:color w:val="000000"/>
        </w:rPr>
        <w:t>wood fuel</w:t>
      </w:r>
      <w:r>
        <w:rPr>
          <w:color w:val="000000"/>
        </w:rPr>
        <w:t xml:space="preserve">, whereby the agro-industry is estimated to generate its own electric power of 58 MW. Currently, there is an upsurge in modern </w:t>
      </w:r>
      <w:r>
        <w:rPr>
          <w:color w:val="000000"/>
        </w:rPr>
        <w:t>wood fuel</w:t>
      </w:r>
      <w:r>
        <w:rPr>
          <w:color w:val="000000"/>
        </w:rPr>
        <w:t xml:space="preserve"> </w:t>
      </w:r>
      <w:r>
        <w:rPr>
          <w:color w:val="000000"/>
        </w:rPr>
        <w:t xml:space="preserve">utilization. The raw materials available such as municipal solid waste, forest residue, sugar bagasse, rice husk, sisal, and coffee can used to generate power (Terrapon-Pfaff </w:t>
      </w:r>
      <w:r>
        <w:rPr>
          <w:i/>
          <w:iCs/>
          <w:color w:val="000000"/>
        </w:rPr>
        <w:t>et al</w:t>
      </w:r>
      <w:r>
        <w:rPr>
          <w:color w:val="000000"/>
        </w:rPr>
        <w:t>.,2012).</w:t>
      </w:r>
    </w:p>
    <w:p>
      <w:pPr>
        <w:pStyle w:val="style0"/>
        <w:spacing w:lineRule="auto" w:line="480"/>
        <w:rPr>
          <w:color w:val="000000"/>
        </w:rPr>
      </w:pPr>
      <w:r>
        <w:rPr>
          <w:rFonts w:eastAsia="SimSun"/>
          <w:b/>
          <w:color w:val="000000"/>
          <w:lang w:eastAsia="zh-CN"/>
        </w:rPr>
        <w:t xml:space="preserve">2.2.2 </w:t>
      </w:r>
      <w:r>
        <w:rPr>
          <w:b/>
          <w:color w:val="000000"/>
        </w:rPr>
        <w:t xml:space="preserve">Effects of </w:t>
      </w:r>
      <w:r>
        <w:rPr>
          <w:b/>
          <w:color w:val="000000"/>
        </w:rPr>
        <w:t>wood fuel</w:t>
      </w:r>
      <w:r>
        <w:rPr>
          <w:b/>
          <w:color w:val="000000"/>
        </w:rPr>
        <w:t xml:space="preserve"> energy consumption</w:t>
      </w:r>
    </w:p>
    <w:p>
      <w:pPr>
        <w:pStyle w:val="style0"/>
        <w:spacing w:lineRule="auto" w:line="480"/>
        <w:rPr>
          <w:color w:val="000000"/>
        </w:rPr>
      </w:pPr>
      <w:r>
        <w:rPr>
          <w:color w:val="000000"/>
        </w:rPr>
        <w:t xml:space="preserve">In the conversion processes, environmental, economic, and social challenges cannot be ignored (Boyle, 2004). Burning </w:t>
      </w:r>
      <w:r>
        <w:rPr>
          <w:color w:val="000000"/>
        </w:rPr>
        <w:t>wood fuel</w:t>
      </w:r>
      <w:r>
        <w:rPr>
          <w:color w:val="000000"/>
        </w:rPr>
        <w:t xml:space="preserve"> can lead to respiratory issues and other health problems due to the emissions it produces, similar to those given out when burning fossil fuels (Oladeji, 2011). However, growing </w:t>
      </w:r>
      <w:r>
        <w:rPr>
          <w:color w:val="000000"/>
        </w:rPr>
        <w:t>wood fuel</w:t>
      </w:r>
      <w:r>
        <w:rPr>
          <w:color w:val="000000"/>
        </w:rPr>
        <w:t xml:space="preserve"> helps capture carbon dioxide out of the air, reducing the net contribution to global atmospheric carbon dioxide levels and potentially improving air quality and public health (Ogwo </w:t>
      </w:r>
      <w:r>
        <w:rPr>
          <w:i/>
          <w:iCs/>
          <w:color w:val="000000"/>
        </w:rPr>
        <w:t>et al</w:t>
      </w:r>
      <w:r>
        <w:rPr>
          <w:color w:val="000000"/>
        </w:rPr>
        <w:t xml:space="preserve">., 2012). On a social level, the process of growing </w:t>
      </w:r>
      <w:r>
        <w:rPr>
          <w:color w:val="000000"/>
        </w:rPr>
        <w:t>wood fuel</w:t>
      </w:r>
      <w:r>
        <w:rPr>
          <w:color w:val="000000"/>
        </w:rPr>
        <w:t xml:space="preserve"> raises concerns about land use, as it requires significant amounts of land, fertilizers, and pesticides, impacting local communities and agricultural practices (Solinas </w:t>
      </w:r>
      <w:r>
        <w:rPr>
          <w:i/>
          <w:iCs/>
          <w:color w:val="000000"/>
        </w:rPr>
        <w:t>et al</w:t>
      </w:r>
      <w:r>
        <w:rPr>
          <w:color w:val="000000"/>
        </w:rPr>
        <w:t xml:space="preserve">., 2019). Economically, while </w:t>
      </w:r>
      <w:r>
        <w:rPr>
          <w:color w:val="000000"/>
        </w:rPr>
        <w:t>wood fuel</w:t>
      </w:r>
      <w:r>
        <w:rPr>
          <w:color w:val="000000"/>
        </w:rPr>
        <w:t xml:space="preserve"> from agricultural byproducts offers advantages, such as acting as a natural fertilizer when returned to the soil, it still requires careful management to ensure its sustainable and cost-effective production (Buonocore </w:t>
      </w:r>
      <w:r>
        <w:rPr>
          <w:i/>
          <w:iCs/>
          <w:color w:val="000000"/>
        </w:rPr>
        <w:t>et al</w:t>
      </w:r>
      <w:r>
        <w:rPr>
          <w:color w:val="000000"/>
        </w:rPr>
        <w:t>., 2019).</w:t>
      </w:r>
    </w:p>
    <w:p>
      <w:pPr>
        <w:pStyle w:val="style0"/>
        <w:spacing w:lineRule="auto" w:line="480"/>
        <w:rPr>
          <w:b/>
          <w:color w:val="000000"/>
        </w:rPr>
      </w:pPr>
      <w:r>
        <w:rPr>
          <w:rFonts w:eastAsia="SimSun"/>
          <w:b/>
          <w:color w:val="000000"/>
          <w:lang w:eastAsia="zh-CN"/>
        </w:rPr>
        <w:t xml:space="preserve">2.2.3 </w:t>
      </w:r>
      <w:r>
        <w:rPr>
          <w:b/>
          <w:color w:val="000000"/>
        </w:rPr>
        <w:t xml:space="preserve">Strategies for the use of </w:t>
      </w:r>
      <w:r>
        <w:rPr>
          <w:b/>
          <w:color w:val="000000"/>
        </w:rPr>
        <w:t>wood fuel</w:t>
      </w:r>
    </w:p>
    <w:p>
      <w:pPr>
        <w:pStyle w:val="style0"/>
        <w:spacing w:lineRule="auto" w:line="480"/>
        <w:rPr>
          <w:color w:val="000000"/>
        </w:rPr>
      </w:pPr>
      <w:r>
        <w:rPr>
          <w:color w:val="000000"/>
        </w:rPr>
        <w:t xml:space="preserve">One major focus is on </w:t>
      </w:r>
      <w:r>
        <w:rPr>
          <w:color w:val="000000"/>
        </w:rPr>
        <w:t>wood fuel</w:t>
      </w:r>
      <w:r>
        <w:rPr>
          <w:color w:val="000000"/>
        </w:rPr>
        <w:t xml:space="preserve"> utilization in the domestic sector, where over 1 million people are involved in charcoal production and supply, catering mainly to urban areas, with Dar es Salaam being a significant consumer (Muhunza </w:t>
      </w:r>
      <w:r>
        <w:rPr>
          <w:i/>
          <w:iCs/>
          <w:color w:val="000000"/>
        </w:rPr>
        <w:t>et al</w:t>
      </w:r>
      <w:r>
        <w:rPr>
          <w:color w:val="000000"/>
        </w:rPr>
        <w:t xml:space="preserve">., 2013). Moreover, there is a growing trend in the employment of modern </w:t>
      </w:r>
      <w:r>
        <w:rPr>
          <w:color w:val="000000"/>
        </w:rPr>
        <w:t>wood fuel</w:t>
      </w:r>
      <w:r>
        <w:rPr>
          <w:color w:val="000000"/>
        </w:rPr>
        <w:t xml:space="preserve">, using </w:t>
      </w:r>
      <w:r>
        <w:rPr>
          <w:color w:val="000000"/>
        </w:rPr>
        <w:t xml:space="preserve">materials such as municipal solid waste, forest residue, and agricultural byproducts for power generation. However, the </w:t>
      </w:r>
      <w:r>
        <w:rPr>
          <w:color w:val="000000"/>
        </w:rPr>
        <w:t>wood fuel</w:t>
      </w:r>
      <w:r>
        <w:rPr>
          <w:color w:val="000000"/>
        </w:rPr>
        <w:t xml:space="preserve"> sector encounters challenges like weak law enforcement, low awareness, and high poverty levels, resulting in unsustainable harvesting practices (Gain </w:t>
      </w:r>
      <w:r>
        <w:rPr>
          <w:i/>
          <w:iCs/>
          <w:color w:val="000000"/>
        </w:rPr>
        <w:t>et al</w:t>
      </w:r>
      <w:r>
        <w:rPr>
          <w:color w:val="000000"/>
        </w:rPr>
        <w:t xml:space="preserve">., 2017). To address these issues, the government has introduced various initiatives, programs, and partnerships to support the </w:t>
      </w:r>
      <w:r>
        <w:rPr>
          <w:color w:val="000000"/>
        </w:rPr>
        <w:t>wood fuel</w:t>
      </w:r>
      <w:r>
        <w:rPr>
          <w:color w:val="000000"/>
        </w:rPr>
        <w:t xml:space="preserve"> energy sector, aiming to ensure sustainable energy supply and enhance environmental conservation (Muhunza </w:t>
      </w:r>
      <w:r>
        <w:rPr>
          <w:i/>
          <w:iCs/>
          <w:color w:val="000000"/>
        </w:rPr>
        <w:t>et al</w:t>
      </w:r>
      <w:r>
        <w:rPr>
          <w:color w:val="000000"/>
        </w:rPr>
        <w:t>., 2013). These efforts are integral to Tanzania's broader agenda of renewable energy development and the attainment of sustainable development goals.</w:t>
      </w:r>
    </w:p>
    <w:bookmarkStart w:id="41" w:name="_Toc174202498"/>
    <w:bookmarkStart w:id="42" w:name="_Toc178076717"/>
    <w:p>
      <w:pPr>
        <w:pStyle w:val="style2"/>
        <w:tabs>
          <w:tab w:val="left" w:leader="none" w:pos="3240"/>
        </w:tabs>
        <w:spacing w:lineRule="auto" w:line="480"/>
        <w:rPr>
          <w:rFonts w:ascii="Times New Roman" w:cs="Times New Roman" w:eastAsia="Times New Roman" w:hAnsi="Times New Roman"/>
          <w:b/>
          <w:color w:val="000000"/>
          <w:sz w:val="24"/>
          <w:szCs w:val="24"/>
        </w:rPr>
      </w:pPr>
      <w:r>
        <w:rPr>
          <w:rFonts w:ascii="Times New Roman" w:cs="Times New Roman" w:eastAsia="Times New Roman" w:hAnsi="Times New Roman"/>
          <w:b/>
          <w:color w:val="000000"/>
          <w:sz w:val="24"/>
          <w:szCs w:val="24"/>
        </w:rPr>
        <w:t>2.3 Information Gap</w:t>
      </w:r>
      <w:bookmarkEnd w:id="41"/>
      <w:bookmarkEnd w:id="42"/>
    </w:p>
    <w:p>
      <w:pPr>
        <w:pStyle w:val="style0"/>
        <w:spacing w:lineRule="auto" w:line="480"/>
        <w:rPr>
          <w:color w:val="000000"/>
        </w:rPr>
      </w:pPr>
      <w:r>
        <w:rPr>
          <w:color w:val="000000"/>
        </w:rPr>
        <w:t>Tanzania has great potential to develop renewable energy. However, exploration efforts have largely emphasized hydropower projects, and other renewable energy such as solar, thermal, wind,</w:t>
      </w:r>
      <w:r>
        <w:rPr>
          <w:color w:val="000000"/>
        </w:rPr>
        <w:t xml:space="preserve"> </w:t>
      </w:r>
      <w:r>
        <w:rPr>
          <w:color w:val="000000"/>
        </w:rPr>
        <w:t xml:space="preserve">and biogas are under-utilized due to different socioeconomic and political reasons, as explained by Muhunza </w:t>
      </w:r>
      <w:r>
        <w:rPr>
          <w:i/>
          <w:iCs/>
          <w:color w:val="000000"/>
        </w:rPr>
        <w:t>et al</w:t>
      </w:r>
      <w:r>
        <w:rPr>
          <w:color w:val="000000"/>
        </w:rPr>
        <w:t xml:space="preserve"> (2013). The government, along with other renewable energy stakeholders, have </w:t>
      </w:r>
      <w:r>
        <w:rPr>
          <w:color w:val="000000"/>
        </w:rPr>
        <w:t>tried</w:t>
      </w:r>
      <w:r>
        <w:rPr>
          <w:color w:val="000000"/>
        </w:rPr>
        <w:t xml:space="preserve"> to complement existing policies and strategies to address issues related to renewable energy development to ensure timely and sustainable utilization of the available resources (Gain </w:t>
      </w:r>
      <w:r>
        <w:rPr>
          <w:i/>
          <w:iCs/>
          <w:color w:val="000000"/>
        </w:rPr>
        <w:t>et al</w:t>
      </w:r>
      <w:r>
        <w:rPr>
          <w:color w:val="000000"/>
        </w:rPr>
        <w:t xml:space="preserve">., 2017). Also, there is the need to provide a sound business and investment environment to local and foreign people who can provide capital towards renewable energy technologies and development. There should be more training and awareness made available to the public about how to invest and use renewable energy. Moreover, there is a gap in understanding the role of government policies and </w:t>
      </w:r>
      <w:r>
        <w:rPr>
          <w:color w:val="000000"/>
        </w:rPr>
        <w:t xml:space="preserve">interventions in addressing the disparities in </w:t>
      </w:r>
      <w:r>
        <w:rPr>
          <w:color w:val="000000"/>
        </w:rPr>
        <w:t>wood fuel</w:t>
      </w:r>
      <w:r>
        <w:rPr>
          <w:color w:val="000000"/>
        </w:rPr>
        <w:t xml:space="preserve"> usage and its impact on public health within these communities. Due to insufficient studies regarding to the </w:t>
      </w:r>
      <w:r>
        <w:rPr>
          <w:color w:val="000000"/>
        </w:rPr>
        <w:t>wood fuel</w:t>
      </w:r>
      <w:r>
        <w:rPr>
          <w:color w:val="000000"/>
        </w:rPr>
        <w:t xml:space="preserve"> usage there is a need to conduct more studies on the effects of </w:t>
      </w:r>
      <w:r>
        <w:rPr>
          <w:color w:val="000000"/>
        </w:rPr>
        <w:t>wood fuel</w:t>
      </w:r>
      <w:r>
        <w:rPr>
          <w:color w:val="000000"/>
        </w:rPr>
        <w:t xml:space="preserve"> to the environment (Gain </w:t>
      </w:r>
      <w:r>
        <w:rPr>
          <w:i/>
          <w:iCs/>
          <w:color w:val="000000"/>
        </w:rPr>
        <w:t>et al</w:t>
      </w:r>
      <w:r>
        <w:rPr>
          <w:color w:val="000000"/>
        </w:rPr>
        <w:t xml:space="preserve">., 2017).  </w:t>
      </w:r>
      <w:r>
        <w:rPr>
          <w:color w:val="000000"/>
        </w:rPr>
        <w:t>Also,</w:t>
      </w:r>
      <w:r>
        <w:rPr>
          <w:color w:val="000000"/>
        </w:rPr>
        <w:t xml:space="preserve"> there is a lack of focus on the specific socio-economic effects on marginalized communities (Muhunza </w:t>
      </w:r>
      <w:r>
        <w:rPr>
          <w:i/>
          <w:iCs/>
          <w:color w:val="000000"/>
        </w:rPr>
        <w:t>et al</w:t>
      </w:r>
      <w:r>
        <w:rPr>
          <w:color w:val="000000"/>
        </w:rPr>
        <w:t>., 2013).</w:t>
      </w:r>
    </w:p>
    <w:bookmarkStart w:id="43" w:name="_Toc174202499"/>
    <w:bookmarkStart w:id="44" w:name="_Toc178076718"/>
    <w:p>
      <w:pPr>
        <w:pStyle w:val="style2"/>
        <w:tabs>
          <w:tab w:val="left" w:leader="none" w:pos="540"/>
          <w:tab w:val="left" w:leader="none" w:pos="3240"/>
        </w:tabs>
        <w:spacing w:before="200" w:lineRule="auto" w:line="480"/>
        <w:rPr>
          <w:rFonts w:ascii="Times New Roman" w:cs="Times New Roman" w:hAnsi="Times New Roman"/>
          <w:b/>
          <w:color w:val="000000"/>
          <w:sz w:val="24"/>
          <w:szCs w:val="24"/>
        </w:rPr>
      </w:pPr>
      <w:r>
        <w:rPr>
          <w:rFonts w:ascii="Times New Roman" w:cs="Times New Roman" w:hAnsi="Times New Roman"/>
          <w:b/>
          <w:color w:val="000000"/>
          <w:sz w:val="24"/>
          <w:szCs w:val="24"/>
        </w:rPr>
        <w:t>2.4 Conceptual Framework</w:t>
      </w:r>
      <w:bookmarkStart w:id="45" w:name="_Toc83023501"/>
      <w:bookmarkEnd w:id="43"/>
      <w:bookmarkEnd w:id="44"/>
    </w:p>
    <w:bookmarkEnd w:id="45"/>
    <w:p>
      <w:pPr>
        <w:pStyle w:val="style0"/>
        <w:spacing w:lineRule="auto" w:line="480"/>
        <w:rPr>
          <w:color w:val="000000"/>
        </w:rPr>
      </w:pPr>
      <w:r>
        <w:rPr>
          <w:color w:val="000000"/>
        </w:rPr>
        <w:t xml:space="preserve">According to Kothari (2004), the conceptual framework gives the relationships between the dependent and independent variables.  Where by independent variables </w:t>
      </w:r>
      <w:r>
        <w:rPr>
          <w:color w:val="000000"/>
        </w:rPr>
        <w:t>includes in</w:t>
      </w:r>
      <w:r>
        <w:rPr>
          <w:color w:val="000000"/>
        </w:rPr>
        <w:t xml:space="preserve"> the study area, impacts of </w:t>
      </w:r>
      <w:r>
        <w:rPr>
          <w:color w:val="000000"/>
        </w:rPr>
        <w:t>wood fuel</w:t>
      </w:r>
      <w:r>
        <w:rPr>
          <w:color w:val="000000"/>
        </w:rPr>
        <w:t xml:space="preserve"> consumption, and challenges facing </w:t>
      </w:r>
      <w:r>
        <w:rPr>
          <w:color w:val="000000"/>
        </w:rPr>
        <w:t>wood fuel</w:t>
      </w:r>
      <w:r>
        <w:rPr>
          <w:color w:val="000000"/>
        </w:rPr>
        <w:t xml:space="preserve"> in the study area, as dependent variable include </w:t>
      </w:r>
      <w:r>
        <w:rPr>
          <w:color w:val="000000"/>
        </w:rPr>
        <w:t>wood fuel</w:t>
      </w:r>
      <w:r>
        <w:rPr>
          <w:color w:val="000000"/>
        </w:rPr>
        <w:t xml:space="preserve"> use</w:t>
      </w:r>
      <w:r>
        <w:rPr>
          <w:color w:val="000000"/>
        </w:rPr>
        <w:t xml:space="preserve"> (Fig. 1)</w:t>
      </w:r>
    </w:p>
    <w:p>
      <w:pPr>
        <w:pStyle w:val="style0"/>
        <w:spacing w:lineRule="auto" w:line="480"/>
        <w:rPr>
          <w:color w:val="000000"/>
        </w:rPr>
      </w:pPr>
    </w:p>
    <w:p>
      <w:pPr>
        <w:pStyle w:val="style0"/>
        <w:spacing w:lineRule="auto" w:line="480"/>
        <w:rPr>
          <w:color w:val="000000"/>
        </w:rPr>
      </w:pPr>
    </w:p>
    <w:p>
      <w:pPr>
        <w:pStyle w:val="style0"/>
        <w:spacing w:lineRule="auto" w:line="480"/>
        <w:rPr>
          <w:color w:val="000000"/>
        </w:rPr>
      </w:pPr>
    </w:p>
    <w:p>
      <w:pPr>
        <w:pStyle w:val="style0"/>
        <w:spacing w:lineRule="auto" w:line="480"/>
        <w:rPr>
          <w:color w:val="000000"/>
        </w:rPr>
      </w:pPr>
    </w:p>
    <w:p>
      <w:pPr>
        <w:pStyle w:val="style0"/>
        <w:spacing w:lineRule="auto" w:line="480"/>
        <w:rPr>
          <w:color w:val="000000"/>
        </w:rPr>
      </w:pPr>
    </w:p>
    <w:p>
      <w:pPr>
        <w:pStyle w:val="style0"/>
        <w:spacing w:lineRule="auto" w:line="480"/>
        <w:rPr>
          <w:color w:val="000000"/>
        </w:rPr>
      </w:pPr>
    </w:p>
    <w:p>
      <w:pPr>
        <w:pStyle w:val="style0"/>
        <w:spacing w:lineRule="auto" w:line="480"/>
        <w:rPr>
          <w:color w:val="000000"/>
        </w:rPr>
      </w:pPr>
    </w:p>
    <w:p>
      <w:pPr>
        <w:pStyle w:val="style0"/>
        <w:spacing w:lineRule="auto" w:line="480"/>
        <w:rPr>
          <w:color w:val="000000"/>
        </w:rPr>
      </w:pPr>
    </w:p>
    <w:p>
      <w:pPr>
        <w:pStyle w:val="style0"/>
        <w:spacing w:lineRule="auto" w:line="480"/>
        <w:rPr>
          <w:color w:val="000000"/>
        </w:rPr>
      </w:pPr>
      <w:r>
        <w:rPr>
          <w:b/>
          <w:noProof/>
          <w:color w:val="000000"/>
        </w:rPr>
        <mc:AlternateContent>
          <mc:Choice Requires="wpg">
            <w:drawing>
              <wp:anchor distT="0" distB="0" distL="0" distR="0" simplePos="false" relativeHeight="2" behindDoc="false" locked="false" layoutInCell="true" allowOverlap="true">
                <wp:simplePos x="0" y="0"/>
                <wp:positionH relativeFrom="margin">
                  <wp:posOffset>-220509</wp:posOffset>
                </wp:positionH>
                <wp:positionV relativeFrom="paragraph">
                  <wp:posOffset>89207</wp:posOffset>
                </wp:positionV>
                <wp:extent cx="5097294" cy="4204010"/>
                <wp:effectExtent l="0" t="0" r="27305" b="25400"/>
                <wp:wrapNone/>
                <wp:docPr id="1027" name="Group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097294" cy="4204010"/>
                          <a:chOff x="0" y="0"/>
                          <a:chExt cx="6942482" cy="3728689"/>
                        </a:xfrm>
                      </wpg:grpSpPr>
                      <wps:wsp>
                        <wps:cNvSpPr/>
                        <wps:spPr>
                          <a:xfrm rot="0">
                            <a:off x="0" y="9525"/>
                            <a:ext cx="1971675" cy="399900"/>
                          </a:xfrm>
                          <a:prstGeom prst="rect"/>
                          <a:solidFill>
                            <a:srgbClr val="ffffff"/>
                          </a:solidFill>
                          <a:ln cmpd="sng" cap="flat" w="12700">
                            <a:solidFill>
                              <a:srgbClr val="000000"/>
                            </a:solidFill>
                            <a:prstDash val="solid"/>
                            <a:miter/>
                            <a:headEnd len="med" w="med" type="none"/>
                            <a:tailEnd len="med" w="med" type="none"/>
                          </a:ln>
                        </wps:spPr>
                        <wps:txbx id="1028">
                          <w:txbxContent>
                            <w:p>
                              <w:pPr>
                                <w:pStyle w:val="style0"/>
                                <w:spacing w:lineRule="auto" w:line="256"/>
                                <w:jc w:val="center"/>
                                <w:rPr>
                                  <w:color w:val="000000"/>
                                </w:rPr>
                              </w:pPr>
                              <w:r>
                                <w:rPr>
                                  <w:color w:val="000000"/>
                                </w:rPr>
                                <w:t>Independent variables</w:t>
                              </w:r>
                            </w:p>
                          </w:txbxContent>
                        </wps:txbx>
                        <wps:bodyPr lIns="91440" rIns="91440" tIns="45720" bIns="45720" vert="horz" anchor="ctr" wrap="square">
                          <a:prstTxWarp prst="textNoShape"/>
                          <a:noAutofit/>
                        </wps:bodyPr>
                      </wps:wsp>
                      <wps:wsp>
                        <wps:cNvSpPr/>
                        <wps:spPr>
                          <a:xfrm rot="0">
                            <a:off x="4942974" y="0"/>
                            <a:ext cx="1971675" cy="361950"/>
                          </a:xfrm>
                          <a:prstGeom prst="rect"/>
                          <a:solidFill>
                            <a:srgbClr val="ffffff"/>
                          </a:solidFill>
                          <a:ln cmpd="sng" cap="flat" w="12700">
                            <a:solidFill>
                              <a:srgbClr val="000000"/>
                            </a:solidFill>
                            <a:prstDash val="solid"/>
                            <a:miter/>
                            <a:headEnd len="med" w="med" type="none"/>
                            <a:tailEnd len="med" w="med" type="none"/>
                          </a:ln>
                        </wps:spPr>
                        <wps:txbx id="1029">
                          <w:txbxContent>
                            <w:p>
                              <w:pPr>
                                <w:pStyle w:val="style0"/>
                                <w:spacing w:lineRule="auto" w:line="256"/>
                                <w:jc w:val="center"/>
                                <w:rPr>
                                  <w:color w:val="000000"/>
                                </w:rPr>
                              </w:pPr>
                              <w:r>
                                <w:rPr>
                                  <w:color w:val="000000"/>
                                </w:rPr>
                                <w:t xml:space="preserve">Dependent variable </w:t>
                              </w:r>
                            </w:p>
                          </w:txbxContent>
                        </wps:txbx>
                        <wps:bodyPr lIns="91440" rIns="91440" tIns="45720" bIns="45720" vert="horz" anchor="ctr" wrap="square">
                          <a:prstTxWarp prst="textNoShape"/>
                          <a:noAutofit/>
                        </wps:bodyPr>
                      </wps:wsp>
                      <wps:wsp>
                        <wps:cNvSpPr/>
                        <wps:spPr>
                          <a:xfrm rot="0">
                            <a:off x="5546851" y="1676194"/>
                            <a:ext cx="1395631" cy="1307578"/>
                          </a:xfrm>
                          <a:prstGeom prst="rect"/>
                          <a:solidFill>
                            <a:srgbClr val="ffffff"/>
                          </a:solidFill>
                          <a:ln cmpd="sng" cap="flat" w="12700">
                            <a:solidFill>
                              <a:srgbClr val="000000"/>
                            </a:solidFill>
                            <a:prstDash val="solid"/>
                            <a:miter/>
                            <a:headEnd len="med" w="med" type="none"/>
                            <a:tailEnd len="med" w="med" type="none"/>
                          </a:ln>
                        </wps:spPr>
                        <wps:txbx id="1030">
                          <w:txbxContent>
                            <w:p>
                              <w:pPr>
                                <w:pStyle w:val="style0"/>
                                <w:spacing w:lineRule="auto" w:line="256"/>
                                <w:jc w:val="center"/>
                                <w:rPr>
                                  <w:color w:val="000000"/>
                                </w:rPr>
                              </w:pPr>
                              <w:r>
                                <w:t xml:space="preserve">Effects of </w:t>
                              </w:r>
                              <w:r>
                                <w:t>wood fuel</w:t>
                              </w:r>
                              <w:r>
                                <w:t xml:space="preserve"> energy use</w:t>
                              </w:r>
                            </w:p>
                          </w:txbxContent>
                        </wps:txbx>
                        <wps:bodyPr lIns="91440" rIns="91440" tIns="45720" bIns="45720" vert="horz" anchor="ctr" wrap="square">
                          <a:prstTxWarp prst="textNoShape"/>
                          <a:noAutofit/>
                        </wps:bodyPr>
                      </wps:wsp>
                      <wps:wsp>
                        <wps:cNvSpPr/>
                        <wps:spPr>
                          <a:xfrm rot="0">
                            <a:off x="19049" y="780742"/>
                            <a:ext cx="2533650" cy="2947947"/>
                          </a:xfrm>
                          <a:prstGeom prst="rect"/>
                          <a:solidFill>
                            <a:srgbClr val="ffffff"/>
                          </a:solidFill>
                          <a:ln cmpd="sng" cap="flat" w="12700">
                            <a:solidFill>
                              <a:srgbClr val="000000"/>
                            </a:solidFill>
                            <a:prstDash val="solid"/>
                            <a:miter/>
                            <a:headEnd len="med" w="med" type="none"/>
                            <a:tailEnd len="med" w="med" type="none"/>
                          </a:ln>
                        </wps:spPr>
                        <wps:txbx id="1031">
                          <w:txbxContent>
                            <w:p>
                              <w:pPr>
                                <w:pStyle w:val="style179"/>
                                <w:numPr>
                                  <w:ilvl w:val="0"/>
                                  <w:numId w:val="4"/>
                                </w:numPr>
                                <w:spacing w:before="0" w:beforeAutospacing="false" w:after="0" w:afterAutospacing="false" w:lineRule="auto" w:line="240"/>
                                <w:ind w:left="284"/>
                                <w:rPr/>
                              </w:pPr>
                              <w:r>
                                <w:t xml:space="preserve">Types of </w:t>
                              </w:r>
                              <w:r>
                                <w:t>wood fuel</w:t>
                              </w:r>
                              <w:r>
                                <w:t xml:space="preserve"> commonly used</w:t>
                              </w:r>
                            </w:p>
                            <w:p>
                              <w:pPr>
                                <w:pStyle w:val="style179"/>
                                <w:numPr>
                                  <w:ilvl w:val="0"/>
                                  <w:numId w:val="4"/>
                                </w:numPr>
                                <w:spacing w:before="0" w:beforeAutospacing="false" w:after="0" w:afterAutospacing="false" w:lineRule="auto" w:line="240"/>
                                <w:ind w:left="284"/>
                                <w:rPr/>
                              </w:pPr>
                              <w:r>
                                <w:t>Amount per each type</w:t>
                              </w:r>
                            </w:p>
                            <w:p>
                              <w:pPr>
                                <w:pStyle w:val="style179"/>
                                <w:numPr>
                                  <w:ilvl w:val="0"/>
                                  <w:numId w:val="4"/>
                                </w:numPr>
                                <w:spacing w:before="0" w:beforeAutospacing="false" w:after="0" w:afterAutospacing="false" w:lineRule="auto" w:line="240"/>
                                <w:ind w:left="284"/>
                                <w:rPr/>
                              </w:pPr>
                              <w:r>
                                <w:t xml:space="preserve">Source of </w:t>
                              </w:r>
                              <w:r>
                                <w:t>wood fuel</w:t>
                              </w:r>
                              <w:r>
                                <w:t xml:space="preserve"> energy</w:t>
                              </w:r>
                            </w:p>
                            <w:p>
                              <w:pPr>
                                <w:pStyle w:val="style179"/>
                                <w:numPr>
                                  <w:ilvl w:val="0"/>
                                  <w:numId w:val="4"/>
                                </w:numPr>
                                <w:spacing w:lineRule="auto" w:line="240"/>
                                <w:ind w:left="284"/>
                                <w:rPr/>
                              </w:pPr>
                              <w:r>
                                <w:t>Health impacts</w:t>
                              </w:r>
                            </w:p>
                            <w:p>
                              <w:pPr>
                                <w:pStyle w:val="style179"/>
                                <w:numPr>
                                  <w:ilvl w:val="0"/>
                                  <w:numId w:val="4"/>
                                </w:numPr>
                                <w:spacing w:lineRule="auto" w:line="240"/>
                                <w:ind w:left="284"/>
                                <w:rPr/>
                              </w:pPr>
                              <w:r>
                                <w:t>Social impacts</w:t>
                              </w:r>
                            </w:p>
                            <w:p>
                              <w:pPr>
                                <w:pStyle w:val="style179"/>
                                <w:numPr>
                                  <w:ilvl w:val="0"/>
                                  <w:numId w:val="4"/>
                                </w:numPr>
                                <w:spacing w:lineRule="auto" w:line="240"/>
                                <w:ind w:left="284"/>
                                <w:rPr/>
                              </w:pPr>
                              <w:r>
                                <w:t xml:space="preserve">economic effects </w:t>
                              </w:r>
                            </w:p>
                            <w:p>
                              <w:pPr>
                                <w:pStyle w:val="style179"/>
                                <w:numPr>
                                  <w:ilvl w:val="0"/>
                                  <w:numId w:val="4"/>
                                </w:numPr>
                                <w:spacing w:lineRule="auto" w:line="240"/>
                                <w:ind w:left="284"/>
                                <w:rPr/>
                              </w:pPr>
                              <w:r>
                                <w:t xml:space="preserve"> Environmental effects </w:t>
                              </w:r>
                            </w:p>
                            <w:p>
                              <w:pPr>
                                <w:pStyle w:val="style179"/>
                                <w:numPr>
                                  <w:ilvl w:val="0"/>
                                  <w:numId w:val="4"/>
                                </w:numPr>
                                <w:spacing w:before="0" w:beforeAutospacing="false" w:after="0" w:afterAutospacing="false" w:lineRule="auto" w:line="240"/>
                                <w:ind w:left="284"/>
                                <w:rPr/>
                              </w:pPr>
                              <w:r>
                                <w:t>Management of harvested areas</w:t>
                              </w:r>
                            </w:p>
                            <w:p>
                              <w:pPr>
                                <w:pStyle w:val="style179"/>
                                <w:numPr>
                                  <w:ilvl w:val="0"/>
                                  <w:numId w:val="4"/>
                                </w:numPr>
                                <w:spacing w:before="0" w:beforeAutospacing="false" w:after="0" w:afterAutospacing="false" w:lineRule="auto" w:line="240"/>
                                <w:ind w:left="284"/>
                                <w:rPr/>
                              </w:pPr>
                              <w:r>
                                <w:t>Checkpoints improvements</w:t>
                              </w:r>
                            </w:p>
                            <w:p>
                              <w:pPr>
                                <w:pStyle w:val="style179"/>
                                <w:numPr>
                                  <w:ilvl w:val="0"/>
                                  <w:numId w:val="4"/>
                                </w:numPr>
                                <w:spacing w:before="0" w:beforeAutospacing="false" w:after="0" w:afterAutospacing="false" w:lineRule="auto" w:line="240"/>
                                <w:ind w:left="284"/>
                                <w:rPr/>
                              </w:pPr>
                              <w:r>
                                <w:t>Use of alternative energy</w:t>
                              </w:r>
                              <w:r>
                                <w:t xml:space="preserve"> </w:t>
                              </w:r>
                            </w:p>
                          </w:txbxContent>
                        </wps:txbx>
                        <wps:bodyPr lIns="91440" rIns="91440" tIns="45720" bIns="45720" vert="horz" anchor="ctr" wrap="square">
                          <a:prstTxWarp prst="textNoShape"/>
                          <a:noAutofit/>
                        </wps:bodyPr>
                      </wps:wsp>
                      <wps:wsp>
                        <wps:cNvSpPr/>
                        <wps:spPr>
                          <a:xfrm rot="0">
                            <a:off x="1038225" y="381000"/>
                            <a:ext cx="0" cy="400050"/>
                          </a:xfrm>
                          <a:prstGeom prst="straightConnector1"/>
                          <a:ln cmpd="sng" cap="flat" w="6350">
                            <a:solidFill>
                              <a:srgbClr val="000000"/>
                            </a:solidFill>
                            <a:prstDash val="solid"/>
                            <a:miter/>
                            <a:headEnd len="med" w="med" type="none"/>
                            <a:tailEnd len="med" w="med" type="triangle"/>
                          </a:ln>
                        </wps:spPr>
                        <wps:bodyPr>
                          <a:prstTxWarp prst="textNoShape"/>
                        </wps:bodyPr>
                      </wps:wsp>
                      <wps:wsp>
                        <wps:cNvSpPr/>
                        <wps:spPr>
                          <a:xfrm rot="0">
                            <a:off x="5907427" y="361951"/>
                            <a:ext cx="45719" cy="1266825"/>
                          </a:xfrm>
                          <a:prstGeom prst="straightConnector1"/>
                          <a:ln cmpd="sng" cap="flat" w="6350">
                            <a:solidFill>
                              <a:srgbClr val="000000"/>
                            </a:solidFill>
                            <a:prstDash val="solid"/>
                            <a:miter/>
                            <a:headEnd len="med" w="med" type="none"/>
                            <a:tailEnd len="med" w="med" type="triangle"/>
                          </a:ln>
                        </wps:spPr>
                        <wps:bodyPr>
                          <a:prstTxWarp prst="textNoShape"/>
                        </wps:bodyPr>
                      </wps:wsp>
                      <wps:wsp>
                        <wps:cNvSpPr/>
                        <wps:spPr>
                          <a:xfrm rot="0">
                            <a:off x="3204038" y="1676266"/>
                            <a:ext cx="1611216" cy="894711"/>
                          </a:xfrm>
                          <a:prstGeom prst="rect"/>
                          <a:solidFill>
                            <a:srgbClr val="ffffff"/>
                          </a:solidFill>
                          <a:ln cmpd="sng" cap="flat" w="12700">
                            <a:solidFill>
                              <a:srgbClr val="000000"/>
                            </a:solidFill>
                            <a:prstDash val="solid"/>
                            <a:miter/>
                            <a:headEnd len="med" w="med" type="none"/>
                            <a:tailEnd len="med" w="med" type="none"/>
                          </a:ln>
                        </wps:spPr>
                        <wps:txbx id="1034">
                          <w:txbxContent>
                            <w:p>
                              <w:pPr>
                                <w:pStyle w:val="style0"/>
                                <w:spacing w:before="0" w:beforeAutospacing="false" w:after="200" w:afterAutospacing="false" w:lineRule="auto" w:line="256"/>
                                <w:jc w:val="center"/>
                                <w:rPr/>
                              </w:pPr>
                              <w:r>
                                <w:t>Government policies</w:t>
                              </w:r>
                            </w:p>
                          </w:txbxContent>
                        </wps:txbx>
                        <wps:bodyPr lIns="91440" rIns="91440" tIns="45720" bIns="45720" vert="horz" anchor="ctr" wrap="square">
                          <a:prstTxWarp prst="textNoShape"/>
                          <a:noAutofit/>
                        </wps:bodyPr>
                      </wps:wsp>
                      <wps:wsp>
                        <wps:cNvSpPr/>
                        <wps:spPr>
                          <a:xfrm rot="0">
                            <a:off x="4815113" y="2123335"/>
                            <a:ext cx="731576" cy="0"/>
                          </a:xfrm>
                          <a:prstGeom prst="straightConnector1"/>
                          <a:ln cmpd="sng" cap="flat" w="6350">
                            <a:solidFill>
                              <a:srgbClr val="000000"/>
                            </a:solidFill>
                            <a:prstDash val="solid"/>
                            <a:miter/>
                            <a:headEnd len="med" w="med" type="none"/>
                            <a:tailEnd len="med" w="med" type="triangle"/>
                          </a:ln>
                        </wps:spPr>
                        <wps:bodyPr>
                          <a:prstTxWarp prst="textNoShape"/>
                        </wps:bodyPr>
                      </wps:wsp>
                      <wps:wsp>
                        <wps:cNvSpPr/>
                        <wps:spPr>
                          <a:xfrm rot="0">
                            <a:off x="2606443" y="15702"/>
                            <a:ext cx="1971675" cy="393722"/>
                          </a:xfrm>
                          <a:prstGeom prst="rect"/>
                          <a:solidFill>
                            <a:srgbClr val="ffffff"/>
                          </a:solidFill>
                          <a:ln cmpd="sng" cap="flat" w="12700">
                            <a:solidFill>
                              <a:srgbClr val="000000"/>
                            </a:solidFill>
                            <a:prstDash val="solid"/>
                            <a:miter/>
                            <a:headEnd len="med" w="med" type="none"/>
                            <a:tailEnd len="med" w="med" type="none"/>
                          </a:ln>
                        </wps:spPr>
                        <wps:txbx id="1036">
                          <w:txbxContent>
                            <w:p>
                              <w:pPr>
                                <w:pStyle w:val="style0"/>
                                <w:spacing w:lineRule="auto" w:line="256"/>
                                <w:jc w:val="center"/>
                                <w:rPr>
                                  <w:color w:val="000000"/>
                                </w:rPr>
                              </w:pPr>
                              <w:r>
                                <w:rPr>
                                  <w:color w:val="000000"/>
                                </w:rPr>
                                <w:t xml:space="preserve">Intermediate variable </w:t>
                              </w:r>
                            </w:p>
                          </w:txbxContent>
                        </wps:txbx>
                        <wps:bodyPr lIns="91440" rIns="91440" tIns="45720" bIns="45720" vert="horz" anchor="ctr" wrap="square">
                          <a:prstTxWarp prst="textNoShape"/>
                          <a:noAutofit/>
                        </wps:bodyPr>
                      </wps:wsp>
                      <wps:wsp>
                        <wps:cNvSpPr/>
                        <wps:spPr>
                          <a:xfrm rot="0">
                            <a:off x="3927682" y="409438"/>
                            <a:ext cx="45719" cy="1266825"/>
                          </a:xfrm>
                          <a:prstGeom prst="straightConnector1"/>
                          <a:ln cmpd="sng" cap="flat" w="6350">
                            <a:solidFill>
                              <a:srgbClr val="000000"/>
                            </a:solidFill>
                            <a:prstDash val="solid"/>
                            <a:miter/>
                            <a:headEnd len="med" w="med" type="none"/>
                            <a:tailEnd len="med" w="med" type="triangle"/>
                          </a:ln>
                        </wps:spPr>
                        <wps:bodyPr>
                          <a:prstTxWarp prst="textNoShape"/>
                        </wps:bodyPr>
                      </wps:wsp>
                      <wps:wsp>
                        <wps:cNvSpPr/>
                        <wps:spPr>
                          <a:xfrm rot="0" flipV="1">
                            <a:off x="6256875" y="2983780"/>
                            <a:ext cx="0" cy="279971"/>
                          </a:xfrm>
                          <a:prstGeom prst="straightConnector1"/>
                          <a:ln cmpd="sng" cap="flat" w="6350">
                            <a:solidFill>
                              <a:srgbClr val="000000"/>
                            </a:solidFill>
                            <a:prstDash val="solid"/>
                            <a:miter/>
                            <a:headEnd len="med" w="med" type="none"/>
                            <a:tailEnd len="med" w="med" type="triangle"/>
                          </a:ln>
                        </wps:spPr>
                        <wps:bodyPr>
                          <a:prstTxWarp prst="textNoShape"/>
                        </wps:bodyPr>
                      </wps:wsp>
                      <wps:wsp>
                        <wps:cNvSpPr/>
                        <wps:spPr>
                          <a:xfrm rot="0" flipV="1">
                            <a:off x="2606291" y="3263510"/>
                            <a:ext cx="3650402" cy="16191"/>
                          </a:xfrm>
                          <a:prstGeom prst="straightConnector1"/>
                          <a:ln cmpd="sng" cap="flat" w="6350">
                            <a:solidFill>
                              <a:srgbClr val="000000"/>
                            </a:solidFill>
                            <a:prstDash val="solid"/>
                            <a:miter/>
                            <a:headEnd len="med" w="med" type="none"/>
                            <a:tailEnd len="med" w="med" type="triangle"/>
                          </a:ln>
                        </wps:spPr>
                        <wps:bodyPr>
                          <a:prstTxWarp prst="textNoShape"/>
                        </wps:bodyPr>
                      </wps:wsp>
                      <wps:wsp>
                        <wps:cNvSpPr/>
                        <wps:spPr>
                          <a:xfrm rot="0" flipH="1">
                            <a:off x="2547164" y="2166426"/>
                            <a:ext cx="656921" cy="0"/>
                          </a:xfrm>
                          <a:prstGeom prst="straightConnector1"/>
                          <a:ln cmpd="sng" cap="flat" w="6350">
                            <a:solidFill>
                              <a:srgbClr val="000000"/>
                            </a:solidFill>
                            <a:prstDash val="solid"/>
                            <a:miter/>
                            <a:headEnd len="med" w="med" type="none"/>
                            <a:tailEnd len="med" w="med" type="triangle"/>
                          </a:ln>
                        </wps:spPr>
                        <wps:bodyPr>
                          <a:prstTxWarp prst="textNoShape"/>
                        </wps:bodyPr>
                      </wps:wsp>
                    </wpg:wgp>
                  </a:graphicData>
                </a:graphic>
                <wp14:sizeRelH relativeFrom="margin">
                  <wp14:pctWidth>0</wp14:pctWidth>
                </wp14:sizeRelH>
                <wp14:sizeRelV relativeFrom="margin">
                  <wp14:pctHeight>0</wp14:pctHeight>
                </wp14:sizeRelV>
              </wp:anchor>
            </w:drawing>
          </mc:Choice>
          <mc:Fallback>
            <w:pict>
              <v:group id="1027" filled="f" stroked="f" style="position:absolute;margin-left:-17.36pt;margin-top:7.02pt;width:401.36pt;height:331.02pt;z-index:2;mso-position-horizontal-relative:margin;mso-position-vertical-relative:text;mso-width-percent:0;mso-height-percent:0;mso-width-relative:margin;mso-height-relative:margin;mso-wrap-distance-left:0.0pt;mso-wrap-distance-right:0.0pt;visibility:visible;" coordsize="6942482,3728689">
                <v:rect id="1028" fillcolor="white" stroked="t" style="position:absolute;left:0;top:9525;width:1971675;height:399900;z-index:2;mso-position-horizontal-relative:page;mso-position-vertical-relative:page;mso-width-relative:page;mso-height-relative:page;visibility:visible;v-text-anchor:middle;">
                  <v:stroke joinstyle="miter" weight="1.0pt"/>
                  <v:fill/>
                  <v:textbox inset="7.2pt,3.6pt,7.2pt,3.6pt">
                    <w:txbxContent>
                      <w:p>
                        <w:pPr>
                          <w:pStyle w:val="style0"/>
                          <w:spacing w:lineRule="auto" w:line="256"/>
                          <w:jc w:val="center"/>
                          <w:rPr>
                            <w:color w:val="000000"/>
                          </w:rPr>
                        </w:pPr>
                        <w:r>
                          <w:rPr>
                            <w:color w:val="000000"/>
                          </w:rPr>
                          <w:t>Independent variables</w:t>
                        </w:r>
                      </w:p>
                    </w:txbxContent>
                  </v:textbox>
                </v:rect>
                <v:rect id="1029" fillcolor="white" stroked="t" style="position:absolute;left:4942974;top:0;width:1971675;height:361950;z-index:3;mso-position-horizontal-relative:page;mso-position-vertical-relative:page;mso-width-relative:page;mso-height-relative:page;visibility:visible;v-text-anchor:middle;">
                  <v:stroke joinstyle="miter" weight="1.0pt"/>
                  <v:fill/>
                  <v:textbox inset="7.2pt,3.6pt,7.2pt,3.6pt">
                    <w:txbxContent>
                      <w:p>
                        <w:pPr>
                          <w:pStyle w:val="style0"/>
                          <w:spacing w:lineRule="auto" w:line="256"/>
                          <w:jc w:val="center"/>
                          <w:rPr>
                            <w:color w:val="000000"/>
                          </w:rPr>
                        </w:pPr>
                        <w:r>
                          <w:rPr>
                            <w:color w:val="000000"/>
                          </w:rPr>
                          <w:t xml:space="preserve">Dependent variable </w:t>
                        </w:r>
                      </w:p>
                    </w:txbxContent>
                  </v:textbox>
                </v:rect>
                <v:rect id="1030" fillcolor="white" stroked="t" style="position:absolute;left:5546851;top:1676194;width:1395631;height:1307578;z-index:4;mso-position-horizontal-relative:page;mso-position-vertical-relative:page;mso-width-relative:page;mso-height-relative:page;visibility:visible;v-text-anchor:middle;">
                  <v:stroke joinstyle="miter" weight="1.0pt"/>
                  <v:fill/>
                  <v:textbox inset="7.2pt,3.6pt,7.2pt,3.6pt">
                    <w:txbxContent>
                      <w:p>
                        <w:pPr>
                          <w:pStyle w:val="style0"/>
                          <w:spacing w:lineRule="auto" w:line="256"/>
                          <w:jc w:val="center"/>
                          <w:rPr>
                            <w:color w:val="000000"/>
                          </w:rPr>
                        </w:pPr>
                        <w:r>
                          <w:t xml:space="preserve">Effects of </w:t>
                        </w:r>
                        <w:r>
                          <w:t>wood fuel</w:t>
                        </w:r>
                        <w:r>
                          <w:t xml:space="preserve"> energy use</w:t>
                        </w:r>
                      </w:p>
                    </w:txbxContent>
                  </v:textbox>
                </v:rect>
                <v:rect id="1031" fillcolor="white" stroked="t" style="position:absolute;left:19049;top:780742;width:2533650;height:2947947;z-index:5;mso-position-horizontal-relative:page;mso-position-vertical-relative:page;mso-width-relative:page;mso-height-relative:page;visibility:visible;v-text-anchor:middle;">
                  <v:stroke joinstyle="miter" weight="1.0pt"/>
                  <v:fill/>
                  <v:textbox inset="7.2pt,3.6pt,7.2pt,3.6pt">
                    <w:txbxContent>
                      <w:p>
                        <w:pPr>
                          <w:pStyle w:val="style179"/>
                          <w:numPr>
                            <w:ilvl w:val="0"/>
                            <w:numId w:val="4"/>
                          </w:numPr>
                          <w:spacing w:before="0" w:beforeAutospacing="false" w:after="0" w:afterAutospacing="false" w:lineRule="auto" w:line="240"/>
                          <w:ind w:left="284"/>
                          <w:rPr/>
                        </w:pPr>
                        <w:r>
                          <w:t xml:space="preserve">Types of </w:t>
                        </w:r>
                        <w:r>
                          <w:t>wood fuel</w:t>
                        </w:r>
                        <w:r>
                          <w:t xml:space="preserve"> commonly used</w:t>
                        </w:r>
                      </w:p>
                      <w:p>
                        <w:pPr>
                          <w:pStyle w:val="style179"/>
                          <w:numPr>
                            <w:ilvl w:val="0"/>
                            <w:numId w:val="4"/>
                          </w:numPr>
                          <w:spacing w:before="0" w:beforeAutospacing="false" w:after="0" w:afterAutospacing="false" w:lineRule="auto" w:line="240"/>
                          <w:ind w:left="284"/>
                          <w:rPr/>
                        </w:pPr>
                        <w:r>
                          <w:t>Amount per each type</w:t>
                        </w:r>
                      </w:p>
                      <w:p>
                        <w:pPr>
                          <w:pStyle w:val="style179"/>
                          <w:numPr>
                            <w:ilvl w:val="0"/>
                            <w:numId w:val="4"/>
                          </w:numPr>
                          <w:spacing w:before="0" w:beforeAutospacing="false" w:after="0" w:afterAutospacing="false" w:lineRule="auto" w:line="240"/>
                          <w:ind w:left="284"/>
                          <w:rPr/>
                        </w:pPr>
                        <w:r>
                          <w:t xml:space="preserve">Source of </w:t>
                        </w:r>
                        <w:r>
                          <w:t>wood fuel</w:t>
                        </w:r>
                        <w:r>
                          <w:t xml:space="preserve"> energy</w:t>
                        </w:r>
                      </w:p>
                      <w:p>
                        <w:pPr>
                          <w:pStyle w:val="style179"/>
                          <w:numPr>
                            <w:ilvl w:val="0"/>
                            <w:numId w:val="4"/>
                          </w:numPr>
                          <w:spacing w:lineRule="auto" w:line="240"/>
                          <w:ind w:left="284"/>
                          <w:rPr/>
                        </w:pPr>
                        <w:r>
                          <w:t>Health impacts</w:t>
                        </w:r>
                      </w:p>
                      <w:p>
                        <w:pPr>
                          <w:pStyle w:val="style179"/>
                          <w:numPr>
                            <w:ilvl w:val="0"/>
                            <w:numId w:val="4"/>
                          </w:numPr>
                          <w:spacing w:lineRule="auto" w:line="240"/>
                          <w:ind w:left="284"/>
                          <w:rPr/>
                        </w:pPr>
                        <w:r>
                          <w:t>Social impacts</w:t>
                        </w:r>
                      </w:p>
                      <w:p>
                        <w:pPr>
                          <w:pStyle w:val="style179"/>
                          <w:numPr>
                            <w:ilvl w:val="0"/>
                            <w:numId w:val="4"/>
                          </w:numPr>
                          <w:spacing w:lineRule="auto" w:line="240"/>
                          <w:ind w:left="284"/>
                          <w:rPr/>
                        </w:pPr>
                        <w:r>
                          <w:t xml:space="preserve">economic effects </w:t>
                        </w:r>
                      </w:p>
                      <w:p>
                        <w:pPr>
                          <w:pStyle w:val="style179"/>
                          <w:numPr>
                            <w:ilvl w:val="0"/>
                            <w:numId w:val="4"/>
                          </w:numPr>
                          <w:spacing w:lineRule="auto" w:line="240"/>
                          <w:ind w:left="284"/>
                          <w:rPr/>
                        </w:pPr>
                        <w:r>
                          <w:t xml:space="preserve"> Environmental effects </w:t>
                        </w:r>
                      </w:p>
                      <w:p>
                        <w:pPr>
                          <w:pStyle w:val="style179"/>
                          <w:numPr>
                            <w:ilvl w:val="0"/>
                            <w:numId w:val="4"/>
                          </w:numPr>
                          <w:spacing w:before="0" w:beforeAutospacing="false" w:after="0" w:afterAutospacing="false" w:lineRule="auto" w:line="240"/>
                          <w:ind w:left="284"/>
                          <w:rPr/>
                        </w:pPr>
                        <w:r>
                          <w:t>Management of harvested areas</w:t>
                        </w:r>
                      </w:p>
                      <w:p>
                        <w:pPr>
                          <w:pStyle w:val="style179"/>
                          <w:numPr>
                            <w:ilvl w:val="0"/>
                            <w:numId w:val="4"/>
                          </w:numPr>
                          <w:spacing w:before="0" w:beforeAutospacing="false" w:after="0" w:afterAutospacing="false" w:lineRule="auto" w:line="240"/>
                          <w:ind w:left="284"/>
                          <w:rPr/>
                        </w:pPr>
                        <w:r>
                          <w:t>Checkpoints improvements</w:t>
                        </w:r>
                      </w:p>
                      <w:p>
                        <w:pPr>
                          <w:pStyle w:val="style179"/>
                          <w:numPr>
                            <w:ilvl w:val="0"/>
                            <w:numId w:val="4"/>
                          </w:numPr>
                          <w:spacing w:before="0" w:beforeAutospacing="false" w:after="0" w:afterAutospacing="false" w:lineRule="auto" w:line="240"/>
                          <w:ind w:left="284"/>
                          <w:rPr/>
                        </w:pPr>
                        <w:r>
                          <w:t>Use of alternative energy</w:t>
                        </w:r>
                        <w:r>
                          <w:t xml:space="preserve"> </w:t>
                        </w:r>
                      </w:p>
                    </w:txbxContent>
                  </v:textbox>
                </v:rect>
                <v:shapetype id="_x0000_t32" coordsize="21600,21600" o:spt="32" o:oned="t" path="m,l21600,21600e">
                  <v:path arrowok="t" fillok="f" o:connecttype="none"/>
                  <o:lock v:ext="edit" shapetype="t"/>
                </v:shapetype>
                <v:shape id="1032" type="#_x0000_t32" filled="f" style="position:absolute;left:1038225;top:381000;width:0;height:400050;z-index:6;mso-position-horizontal-relative:page;mso-position-vertical-relative:page;mso-width-relative:page;mso-height-relative:page;visibility:visible;">
                  <v:stroke endarrow="block" joinstyle="miter" weight="0.5pt"/>
                  <v:fill/>
                </v:shape>
                <v:shape id="1033" type="#_x0000_t32" filled="f" style="position:absolute;left:5907427;top:361951;width:45719;height:1266825;z-index:7;mso-position-horizontal-relative:page;mso-position-vertical-relative:page;mso-width-relative:page;mso-height-relative:page;visibility:visible;">
                  <v:stroke endarrow="block" joinstyle="miter" weight="0.5pt"/>
                  <v:fill/>
                </v:shape>
                <v:rect id="1034" fillcolor="white" stroked="t" style="position:absolute;left:3204038;top:1676266;width:1611216;height:894711;z-index:8;mso-position-horizontal-relative:page;mso-position-vertical-relative:page;mso-width-relative:page;mso-height-relative:page;visibility:visible;v-text-anchor:middle;">
                  <v:stroke joinstyle="miter" weight="1.0pt"/>
                  <v:fill/>
                  <v:textbox inset="7.2pt,3.6pt,7.2pt,3.6pt">
                    <w:txbxContent>
                      <w:p>
                        <w:pPr>
                          <w:pStyle w:val="style0"/>
                          <w:spacing w:before="0" w:beforeAutospacing="false" w:after="200" w:afterAutospacing="false" w:lineRule="auto" w:line="256"/>
                          <w:jc w:val="center"/>
                          <w:rPr/>
                        </w:pPr>
                        <w:r>
                          <w:t>Government policies</w:t>
                        </w:r>
                      </w:p>
                    </w:txbxContent>
                  </v:textbox>
                </v:rect>
                <v:shape id="1035" type="#_x0000_t32" filled="f" style="position:absolute;left:4815113;top:2123335;width:731576;height:0;z-index:9;mso-position-horizontal-relative:page;mso-position-vertical-relative:page;mso-width-relative:page;mso-height-relative:page;visibility:visible;">
                  <v:stroke endarrow="block" joinstyle="miter" weight="0.5pt"/>
                  <v:fill/>
                </v:shape>
                <v:rect id="1036" fillcolor="white" stroked="t" style="position:absolute;left:2606443;top:15702;width:1971675;height:393722;z-index:10;mso-position-horizontal-relative:page;mso-position-vertical-relative:page;mso-width-relative:page;mso-height-relative:page;visibility:visible;v-text-anchor:middle;">
                  <v:stroke joinstyle="miter" weight="1.0pt"/>
                  <v:fill/>
                  <v:textbox inset="7.2pt,3.6pt,7.2pt,3.6pt">
                    <w:txbxContent>
                      <w:p>
                        <w:pPr>
                          <w:pStyle w:val="style0"/>
                          <w:spacing w:lineRule="auto" w:line="256"/>
                          <w:jc w:val="center"/>
                          <w:rPr>
                            <w:color w:val="000000"/>
                          </w:rPr>
                        </w:pPr>
                        <w:r>
                          <w:rPr>
                            <w:color w:val="000000"/>
                          </w:rPr>
                          <w:t xml:space="preserve">Intermediate variable </w:t>
                        </w:r>
                      </w:p>
                    </w:txbxContent>
                  </v:textbox>
                </v:rect>
                <v:shape id="1037" type="#_x0000_t32" filled="f" style="position:absolute;left:3927682;top:409438;width:45719;height:1266825;z-index:11;mso-position-horizontal-relative:page;mso-position-vertical-relative:page;mso-width-relative:page;mso-height-relative:page;visibility:visible;">
                  <v:stroke endarrow="block" joinstyle="miter" weight="0.5pt"/>
                  <v:fill/>
                </v:shape>
                <v:shape id="1038" type="#_x0000_t32" filled="f" style="position:absolute;left:6256875;top:2983780;width:0;height:279971;z-index:12;mso-position-horizontal-relative:page;mso-position-vertical-relative:page;mso-width-relative:page;mso-height-relative:page;visibility:visible;flip:y;">
                  <v:stroke endarrow="block" joinstyle="miter" weight="0.5pt"/>
                  <v:fill/>
                </v:shape>
                <v:shape id="1039" type="#_x0000_t32" filled="f" style="position:absolute;left:2606291;top:3263510;width:3650402;height:16191;z-index:13;mso-position-horizontal-relative:page;mso-position-vertical-relative:page;mso-width-relative:page;mso-height-relative:page;visibility:visible;flip:y;">
                  <v:stroke endarrow="block" joinstyle="miter" weight="0.5pt"/>
                  <v:fill/>
                </v:shape>
                <v:shape id="1040" type="#_x0000_t32" filled="f" style="position:absolute;left:2547164;top:2166426;width:656921;height:0;z-index:14;mso-position-horizontal-relative:page;mso-position-vertical-relative:page;mso-width-relative:page;mso-height-relative:page;visibility:visible;flip:x;">
                  <v:stroke endarrow="block" joinstyle="miter" weight="0.5pt"/>
                  <v:fill/>
                </v:shape>
                <v:fill/>
              </v:group>
            </w:pict>
          </mc:Fallback>
        </mc:AlternateContent>
      </w:r>
    </w:p>
    <w:p>
      <w:pPr>
        <w:pStyle w:val="style0"/>
        <w:spacing w:lineRule="auto" w:line="480"/>
        <w:rPr>
          <w:color w:val="000000"/>
        </w:rPr>
      </w:pPr>
    </w:p>
    <w:p>
      <w:pPr>
        <w:pStyle w:val="style0"/>
        <w:spacing w:lineRule="auto" w:line="480"/>
        <w:rPr>
          <w:color w:val="000000"/>
        </w:rPr>
      </w:pPr>
    </w:p>
    <w:p>
      <w:pPr>
        <w:pStyle w:val="style0"/>
        <w:spacing w:lineRule="auto" w:line="480"/>
        <w:rPr>
          <w:color w:val="000000"/>
        </w:rPr>
      </w:pPr>
    </w:p>
    <w:p>
      <w:pPr>
        <w:pStyle w:val="style0"/>
        <w:spacing w:lineRule="auto" w:line="480"/>
        <w:rPr>
          <w:color w:val="000000"/>
        </w:rPr>
      </w:pPr>
    </w:p>
    <w:p>
      <w:pPr>
        <w:pStyle w:val="style0"/>
        <w:spacing w:lineRule="auto" w:line="480"/>
        <w:rPr>
          <w:color w:val="000000"/>
        </w:rPr>
      </w:pPr>
    </w:p>
    <w:p>
      <w:pPr>
        <w:pStyle w:val="style0"/>
        <w:spacing w:lineRule="auto" w:line="480"/>
        <w:rPr>
          <w:color w:val="000000"/>
        </w:rPr>
      </w:pPr>
    </w:p>
    <w:p>
      <w:pPr>
        <w:pStyle w:val="style0"/>
        <w:spacing w:lineRule="auto" w:line="480"/>
        <w:rPr>
          <w:color w:val="000000"/>
        </w:rPr>
      </w:pPr>
    </w:p>
    <w:p>
      <w:pPr>
        <w:pStyle w:val="style0"/>
        <w:spacing w:lineRule="auto" w:line="480"/>
        <w:rPr>
          <w:color w:val="000000"/>
        </w:rPr>
      </w:pPr>
      <w:r>
        <w:rPr>
          <w:noProof/>
          <w:color w:val="000000"/>
        </w:rPr>
        <mc:AlternateContent>
          <mc:Choice Requires="wps">
            <w:drawing>
              <wp:anchor distT="0" distB="0" distL="0" distR="0" simplePos="false" relativeHeight="3" behindDoc="false" locked="false" layoutInCell="true" allowOverlap="true">
                <wp:simplePos x="0" y="0"/>
                <wp:positionH relativeFrom="margin">
                  <wp:posOffset>-430552</wp:posOffset>
                </wp:positionH>
                <wp:positionV relativeFrom="paragraph">
                  <wp:posOffset>248529</wp:posOffset>
                </wp:positionV>
                <wp:extent cx="5932169" cy="633"/>
                <wp:effectExtent l="0" t="0" r="0" b="0"/>
                <wp:wrapNone/>
                <wp:docPr id="1041" name="Text Box 2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932169" cy="633"/>
                        </a:xfrm>
                        <a:prstGeom prst="rect"/>
                        <a:solidFill>
                          <a:srgbClr val="ffffff"/>
                        </a:solidFill>
                        <a:ln>
                          <a:noFill/>
                        </a:ln>
                      </wps:spPr>
                      <wps:txbx id="1041">
                        <w:txbxContent>
                          <w:p>
                            <w:pPr>
                              <w:pStyle w:val="style34"/>
                              <w:rPr>
                                <w:b/>
                                <w:i w:val="false"/>
                                <w:noProof/>
                                <w:color w:val="000000"/>
                                <w:sz w:val="36"/>
                                <w:szCs w:val="24"/>
                              </w:rPr>
                            </w:pPr>
                            <w:bookmarkStart w:id="46" w:name="_Toc177668516"/>
                            <w:r>
                              <w:rPr>
                                <w:i w:val="false"/>
                                <w:color w:val="000000"/>
                                <w:sz w:val="24"/>
                              </w:rPr>
                              <w:t xml:space="preserve">Figure </w:t>
                            </w:r>
                            <w:r>
                              <w:rPr>
                                <w:i w:val="false"/>
                                <w:color w:val="000000"/>
                                <w:sz w:val="24"/>
                              </w:rPr>
                              <w:fldChar w:fldCharType="begin"/>
                            </w:r>
                            <w:r>
                              <w:rPr>
                                <w:i w:val="false"/>
                                <w:color w:val="000000"/>
                                <w:sz w:val="24"/>
                              </w:rPr>
                              <w:instrText xml:space="preserve"> SEQ Figure \* ARABIC </w:instrText>
                            </w:r>
                            <w:r>
                              <w:rPr>
                                <w:i w:val="false"/>
                                <w:color w:val="000000"/>
                                <w:sz w:val="24"/>
                              </w:rPr>
                              <w:fldChar w:fldCharType="separate"/>
                            </w:r>
                            <w:r>
                              <w:rPr>
                                <w:i w:val="false"/>
                                <w:noProof/>
                                <w:color w:val="000000"/>
                                <w:sz w:val="24"/>
                              </w:rPr>
                              <w:t>1</w:t>
                            </w:r>
                            <w:r>
                              <w:rPr>
                                <w:i w:val="false"/>
                                <w:color w:val="000000"/>
                                <w:sz w:val="24"/>
                              </w:rPr>
                              <w:fldChar w:fldCharType="end"/>
                            </w:r>
                            <w:r>
                              <w:rPr>
                                <w:i w:val="false"/>
                                <w:color w:val="000000"/>
                                <w:sz w:val="24"/>
                              </w:rPr>
                              <w:t>: Conceptual Framework</w:t>
                            </w:r>
                            <w:bookmarkEnd w:id="46"/>
                          </w:p>
                        </w:txbxContent>
                      </wps:txbx>
                      <wps:bodyPr lIns="0" rIns="0" tIns="0" bIns="0" vert="horz" anchor="t" wrap="square">
                        <a:prstTxWarp prst="textNoShape"/>
                        <a:spAutoFit/>
                      </wps:bodyPr>
                    </wps:wsp>
                  </a:graphicData>
                </a:graphic>
              </wp:anchor>
            </w:drawing>
          </mc:Choice>
          <mc:Fallback>
            <w:pict>
              <v:rect id="1041" fillcolor="white" stroked="f" style="position:absolute;margin-left:-33.9pt;margin-top:19.57pt;width:467.1pt;height:0.05pt;z-index:3;mso-position-horizontal-relative:margin;mso-position-vertical-relative:text;mso-width-relative:page;mso-height-relative:page;mso-wrap-distance-left:0.0pt;mso-wrap-distance-right:0.0pt;visibility:visible;">
                <v:stroke on="f"/>
                <v:fill/>
                <v:textbox inset="0.0pt,0.0pt,0.0pt,0.0pt" style="mso-fit-shape-to-text:true;">
                  <w:txbxContent>
                    <w:p>
                      <w:pPr>
                        <w:pStyle w:val="style34"/>
                        <w:rPr>
                          <w:b/>
                          <w:i w:val="false"/>
                          <w:noProof/>
                          <w:color w:val="000000"/>
                          <w:sz w:val="36"/>
                          <w:szCs w:val="24"/>
                        </w:rPr>
                      </w:pPr>
                      <w:r>
                        <w:rPr>
                          <w:i w:val="false"/>
                          <w:color w:val="000000"/>
                          <w:sz w:val="24"/>
                        </w:rPr>
                        <w:t xml:space="preserve">Figure </w:t>
                      </w:r>
                      <w:r>
                        <w:rPr>
                          <w:i w:val="false"/>
                          <w:color w:val="000000"/>
                          <w:sz w:val="24"/>
                        </w:rPr>
                        <w:fldChar w:fldCharType="begin"/>
                      </w:r>
                      <w:r>
                        <w:rPr>
                          <w:i w:val="false"/>
                          <w:color w:val="000000"/>
                          <w:sz w:val="24"/>
                        </w:rPr>
                        <w:instrText xml:space="preserve"> SEQ Figure \* ARABIC </w:instrText>
                      </w:r>
                      <w:r>
                        <w:rPr>
                          <w:i w:val="false"/>
                          <w:color w:val="000000"/>
                          <w:sz w:val="24"/>
                        </w:rPr>
                        <w:fldChar w:fldCharType="separate"/>
                      </w:r>
                      <w:r>
                        <w:rPr>
                          <w:i w:val="false"/>
                          <w:noProof/>
                          <w:color w:val="000000"/>
                          <w:sz w:val="24"/>
                        </w:rPr>
                        <w:t>1</w:t>
                      </w:r>
                      <w:r>
                        <w:rPr>
                          <w:i w:val="false"/>
                          <w:color w:val="000000"/>
                          <w:sz w:val="24"/>
                        </w:rPr>
                        <w:fldChar w:fldCharType="end"/>
                      </w:r>
                      <w:r>
                        <w:rPr>
                          <w:i w:val="false"/>
                          <w:color w:val="000000"/>
                          <w:sz w:val="24"/>
                        </w:rPr>
                        <w:t>: Conceptual Framework</w:t>
                      </w:r>
                    </w:p>
                  </w:txbxContent>
                </v:textbox>
              </v:rect>
            </w:pict>
          </mc:Fallback>
        </mc:AlternateContent>
      </w:r>
    </w:p>
    <w:p>
      <w:pPr>
        <w:pStyle w:val="style1"/>
        <w:tabs>
          <w:tab w:val="left" w:leader="none" w:pos="3240"/>
        </w:tabs>
        <w:spacing w:before="0" w:lineRule="auto" w:line="480"/>
        <w:jc w:val="center"/>
        <w:rPr>
          <w:rFonts w:ascii="Times New Roman" w:cs="Times New Roman" w:hAnsi="Times New Roman"/>
          <w:b/>
          <w:bCs/>
          <w:color w:val="000000"/>
          <w:sz w:val="24"/>
          <w:szCs w:val="24"/>
        </w:rPr>
      </w:pPr>
      <w:r>
        <w:rPr>
          <w:rFonts w:ascii="Times New Roman" w:cs="Times New Roman" w:hAnsi="Times New Roman"/>
          <w:b/>
          <w:bCs/>
          <w:color w:val="000000"/>
          <w:sz w:val="24"/>
          <w:szCs w:val="24"/>
        </w:rPr>
        <w:br w:type="page"/>
      </w:r>
      <w:bookmarkStart w:id="47" w:name="_Toc172658963"/>
      <w:bookmarkStart w:id="48" w:name="_Toc173633198"/>
      <w:bookmarkStart w:id="49" w:name="_Toc174202500"/>
      <w:bookmarkStart w:id="50" w:name="_Toc178076719"/>
      <w:r>
        <w:rPr>
          <w:rFonts w:ascii="Times New Roman" w:cs="Times New Roman" w:hAnsi="Times New Roman"/>
          <w:b/>
          <w:bCs/>
          <w:color w:val="000000"/>
          <w:sz w:val="24"/>
          <w:szCs w:val="24"/>
        </w:rPr>
        <w:t>CHAPTER THREE</w:t>
      </w:r>
      <w:bookmarkEnd w:id="47"/>
      <w:bookmarkEnd w:id="48"/>
      <w:bookmarkEnd w:id="49"/>
      <w:bookmarkEnd w:id="50"/>
    </w:p>
    <w:bookmarkStart w:id="51" w:name="_bookmark31"/>
    <w:bookmarkStart w:id="52" w:name="_Toc172658964"/>
    <w:bookmarkStart w:id="53" w:name="_Toc173633199"/>
    <w:bookmarkStart w:id="54" w:name="_Toc174202501"/>
    <w:bookmarkStart w:id="55" w:name="_Toc178076720"/>
    <w:bookmarkEnd w:id="51"/>
    <w:p>
      <w:pPr>
        <w:pStyle w:val="style1"/>
        <w:tabs>
          <w:tab w:val="left" w:leader="none" w:pos="3240"/>
        </w:tabs>
        <w:spacing w:before="0" w:lineRule="auto" w:line="480"/>
        <w:jc w:val="center"/>
        <w:rPr>
          <w:rFonts w:ascii="Times New Roman" w:cs="Times New Roman" w:hAnsi="Times New Roman"/>
          <w:b/>
          <w:bCs/>
          <w:color w:val="000000"/>
          <w:sz w:val="24"/>
          <w:szCs w:val="24"/>
        </w:rPr>
      </w:pPr>
      <w:r>
        <w:rPr>
          <w:rFonts w:ascii="Times New Roman" w:cs="Times New Roman" w:hAnsi="Times New Roman"/>
          <w:b/>
          <w:bCs/>
          <w:color w:val="000000"/>
          <w:sz w:val="24"/>
          <w:szCs w:val="24"/>
        </w:rPr>
        <w:t>RESEARCH</w:t>
      </w:r>
      <w:r>
        <w:rPr>
          <w:rFonts w:ascii="Times New Roman" w:cs="Times New Roman" w:hAnsi="Times New Roman"/>
          <w:b/>
          <w:bCs/>
          <w:color w:val="000000"/>
          <w:spacing w:val="-13"/>
          <w:sz w:val="24"/>
          <w:szCs w:val="24"/>
        </w:rPr>
        <w:t xml:space="preserve"> </w:t>
      </w:r>
      <w:r>
        <w:rPr>
          <w:rFonts w:ascii="Times New Roman" w:cs="Times New Roman" w:hAnsi="Times New Roman"/>
          <w:b/>
          <w:bCs/>
          <w:color w:val="000000"/>
          <w:sz w:val="24"/>
          <w:szCs w:val="24"/>
        </w:rPr>
        <w:t>METHODOLOGY</w:t>
      </w:r>
      <w:bookmarkEnd w:id="52"/>
      <w:bookmarkEnd w:id="53"/>
      <w:bookmarkEnd w:id="54"/>
      <w:bookmarkEnd w:id="55"/>
    </w:p>
    <w:bookmarkStart w:id="56" w:name="_Toc172658965"/>
    <w:bookmarkStart w:id="57" w:name="_Toc173633200"/>
    <w:bookmarkStart w:id="58" w:name="_Toc174202502"/>
    <w:p>
      <w:pPr>
        <w:pStyle w:val="style0"/>
        <w:rPr>
          <w:color w:val="000000"/>
        </w:rPr>
      </w:pPr>
      <w:r>
        <w:rPr>
          <w:rFonts w:eastAsia="SimSun"/>
          <w:b/>
          <w:bCs/>
          <w:color w:val="000000"/>
        </w:rPr>
        <w:t>3.1 The Study Area</w:t>
      </w:r>
      <w:bookmarkEnd w:id="56"/>
      <w:bookmarkEnd w:id="57"/>
      <w:bookmarkEnd w:id="58"/>
    </w:p>
    <w:p>
      <w:pPr>
        <w:pStyle w:val="style0"/>
        <w:spacing w:lineRule="auto" w:line="480"/>
        <w:rPr>
          <w:color w:val="000000"/>
        </w:rPr>
      </w:pPr>
      <w:r>
        <w:rPr>
          <w:color w:val="000000"/>
        </w:rPr>
        <w:t xml:space="preserve">Study was conducted at </w:t>
      </w:r>
      <w:r>
        <w:rPr>
          <w:color w:val="000000"/>
        </w:rPr>
        <w:t>Mazingara</w:t>
      </w:r>
      <w:r>
        <w:rPr>
          <w:color w:val="000000"/>
        </w:rPr>
        <w:t xml:space="preserve"> ward in Handeni district of the Tanga region</w:t>
      </w:r>
      <w:r>
        <w:rPr>
          <w:color w:val="000000"/>
        </w:rPr>
        <w:t xml:space="preserve"> (Fig 2)</w:t>
      </w:r>
      <w:r>
        <w:rPr>
          <w:color w:val="000000"/>
        </w:rPr>
        <w:t xml:space="preserve">. The region was selected due to disparities in </w:t>
      </w:r>
      <w:r>
        <w:rPr>
          <w:color w:val="000000"/>
        </w:rPr>
        <w:t>wood fuel</w:t>
      </w:r>
      <w:r>
        <w:rPr>
          <w:color w:val="000000"/>
        </w:rPr>
        <w:t xml:space="preserve"> usage and its impact on public health within the communities (Gain </w:t>
      </w:r>
      <w:r>
        <w:rPr>
          <w:i/>
          <w:iCs/>
          <w:color w:val="000000"/>
        </w:rPr>
        <w:t>et al.,</w:t>
      </w:r>
      <w:r>
        <w:rPr>
          <w:color w:val="000000"/>
        </w:rPr>
        <w:t xml:space="preserve"> 2017).  Handeni District is one of the 11 districts of Tanga Region in Tanzania. The </w:t>
      </w:r>
      <w:r>
        <w:rPr>
          <w:color w:val="000000"/>
        </w:rPr>
        <w:t>district</w:t>
      </w:r>
      <w:r>
        <w:rPr>
          <w:color w:val="000000"/>
        </w:rPr>
        <w:t xml:space="preserve"> covers an area of 6,534 km2 (2,523 sq mi</w:t>
      </w:r>
      <w:r>
        <w:rPr>
          <w:color w:val="000000"/>
        </w:rPr>
        <w:t>). It</w:t>
      </w:r>
      <w:r>
        <w:rPr>
          <w:color w:val="000000"/>
        </w:rPr>
        <w:t xml:space="preserve"> is bordered to the west by the </w:t>
      </w:r>
      <w:r>
        <w:rPr>
          <w:color w:val="000000"/>
        </w:rPr>
        <w:t>Kalinda</w:t>
      </w:r>
      <w:r>
        <w:rPr>
          <w:color w:val="000000"/>
        </w:rPr>
        <w:t xml:space="preserve"> District and the Handeni Urban District, to the north by the Korogwe District, to the east by the </w:t>
      </w:r>
      <w:r>
        <w:rPr>
          <w:color w:val="000000"/>
        </w:rPr>
        <w:t>Pagani</w:t>
      </w:r>
      <w:r>
        <w:rPr>
          <w:color w:val="000000"/>
        </w:rPr>
        <w:t xml:space="preserve"> District, and to the south by the </w:t>
      </w:r>
      <w:r>
        <w:rPr>
          <w:color w:val="000000"/>
        </w:rPr>
        <w:t>Wani</w:t>
      </w:r>
      <w:r>
        <w:rPr>
          <w:color w:val="000000"/>
        </w:rPr>
        <w:t xml:space="preserve"> Region. In 2002 </w:t>
      </w:r>
      <w:r>
        <w:rPr>
          <w:color w:val="000000"/>
        </w:rPr>
        <w:t>Kalinda</w:t>
      </w:r>
      <w:r>
        <w:rPr>
          <w:color w:val="000000"/>
        </w:rPr>
        <w:t xml:space="preserve"> District was formed out of the district. The administrative capital of the district is </w:t>
      </w:r>
      <w:r>
        <w:rPr>
          <w:color w:val="000000"/>
        </w:rPr>
        <w:t>Mata</w:t>
      </w:r>
      <w:r>
        <w:rPr>
          <w:color w:val="000000"/>
        </w:rPr>
        <w:t xml:space="preserve"> town. According to the 2002 Tanzania National Census, the population of the Handeni District was 248,633. According to the 2022 census, the population had increased to: 384,353.</w:t>
      </w:r>
    </w:p>
    <w:p>
      <w:pPr>
        <w:pStyle w:val="style0"/>
        <w:keepNext/>
        <w:spacing w:lineRule="auto" w:line="480"/>
        <w:jc w:val="center"/>
        <w:rPr>
          <w:color w:val="000000"/>
        </w:rPr>
      </w:pPr>
      <w:r>
        <w:rPr>
          <w:noProof/>
          <w:color w:val="000000"/>
        </w:rPr>
        <w:drawing>
          <wp:inline distL="0" distT="0" distB="0" distR="0">
            <wp:extent cx="3845377" cy="3458467"/>
            <wp:effectExtent l="0" t="0" r="3175" b="8890"/>
            <wp:docPr id="1042" name="Picture 1" descr="C:\Users\YYY'\AppData\Local\Microsoft\Windows\INetCache\Content.Word\IMG-20240522-WA0002.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srcRect l="0" t="0" r="0" b="0"/>
                    <a:stretch/>
                  </pic:blipFill>
                  <pic:spPr>
                    <a:xfrm rot="0">
                      <a:off x="0" y="0"/>
                      <a:ext cx="3845377" cy="3458467"/>
                    </a:xfrm>
                    <a:prstGeom prst="rect"/>
                    <a:ln>
                      <a:noFill/>
                    </a:ln>
                  </pic:spPr>
                </pic:pic>
              </a:graphicData>
            </a:graphic>
          </wp:inline>
        </w:drawing>
      </w:r>
    </w:p>
    <w:bookmarkStart w:id="59" w:name="_Toc177668517"/>
    <w:p>
      <w:pPr>
        <w:pStyle w:val="style34"/>
        <w:spacing w:lineRule="auto" w:line="480"/>
        <w:rPr>
          <w:i w:val="false"/>
          <w:iCs w:val="false"/>
          <w:color w:val="000000"/>
          <w:sz w:val="24"/>
          <w:szCs w:val="24"/>
        </w:rPr>
      </w:pPr>
      <w:r>
        <w:rPr>
          <w:i w:val="false"/>
          <w:iCs w:val="false"/>
          <w:color w:val="000000"/>
          <w:sz w:val="24"/>
          <w:szCs w:val="24"/>
        </w:rPr>
        <w:t xml:space="preserve">Figure </w:t>
      </w:r>
      <w:r>
        <w:rPr>
          <w:i w:val="false"/>
          <w:iCs w:val="false"/>
          <w:color w:val="000000"/>
          <w:sz w:val="24"/>
          <w:szCs w:val="24"/>
        </w:rPr>
        <w:fldChar w:fldCharType="begin"/>
      </w:r>
      <w:r>
        <w:rPr>
          <w:i w:val="false"/>
          <w:iCs w:val="false"/>
          <w:color w:val="000000"/>
          <w:sz w:val="24"/>
          <w:szCs w:val="24"/>
        </w:rPr>
        <w:instrText xml:space="preserve"> SEQ Figure \* ARABIC </w:instrText>
      </w:r>
      <w:r>
        <w:rPr>
          <w:i w:val="false"/>
          <w:iCs w:val="false"/>
          <w:color w:val="000000"/>
          <w:sz w:val="24"/>
          <w:szCs w:val="24"/>
        </w:rPr>
        <w:fldChar w:fldCharType="separate"/>
      </w:r>
      <w:r>
        <w:rPr>
          <w:i w:val="false"/>
          <w:iCs w:val="false"/>
          <w:noProof/>
          <w:color w:val="000000"/>
          <w:sz w:val="24"/>
          <w:szCs w:val="24"/>
        </w:rPr>
        <w:t>2</w:t>
      </w:r>
      <w:r>
        <w:rPr>
          <w:i w:val="false"/>
          <w:iCs w:val="false"/>
          <w:color w:val="000000"/>
          <w:sz w:val="24"/>
          <w:szCs w:val="24"/>
        </w:rPr>
        <w:fldChar w:fldCharType="end"/>
      </w:r>
      <w:r>
        <w:rPr>
          <w:i w:val="false"/>
          <w:iCs w:val="false"/>
          <w:color w:val="000000"/>
          <w:sz w:val="24"/>
          <w:szCs w:val="24"/>
        </w:rPr>
        <w:t>: Location Map of Mazingara ward</w:t>
      </w:r>
      <w:bookmarkEnd w:id="59"/>
    </w:p>
    <w:bookmarkStart w:id="60" w:name="_Toc174202503"/>
    <w:bookmarkStart w:id="61" w:name="_Toc178076721"/>
    <w:p>
      <w:pPr>
        <w:pStyle w:val="style2"/>
        <w:tabs>
          <w:tab w:val="left" w:leader="none" w:pos="540"/>
          <w:tab w:val="left" w:leader="none" w:pos="3240"/>
        </w:tabs>
        <w:spacing w:before="200" w:lineRule="auto" w:line="480"/>
        <w:rPr>
          <w:rFonts w:ascii="Times New Roman" w:cs="Times New Roman" w:hAnsi="Times New Roman"/>
          <w:b/>
          <w:color w:val="000000"/>
          <w:sz w:val="24"/>
          <w:szCs w:val="24"/>
        </w:rPr>
      </w:pPr>
      <w:r>
        <w:rPr>
          <w:rFonts w:ascii="Times New Roman" w:cs="Times New Roman" w:hAnsi="Times New Roman"/>
          <w:b/>
          <w:color w:val="000000"/>
          <w:sz w:val="24"/>
          <w:szCs w:val="24"/>
        </w:rPr>
        <w:t>3.2 Research Design</w:t>
      </w:r>
      <w:bookmarkEnd w:id="60"/>
      <w:bookmarkEnd w:id="61"/>
    </w:p>
    <w:p>
      <w:pPr>
        <w:pStyle w:val="style4103"/>
        <w:spacing w:lineRule="auto" w:line="480"/>
        <w:jc w:val="both"/>
        <w:rPr/>
      </w:pPr>
      <w:r>
        <w:t xml:space="preserve">This study employed a cross-section design involving qualitative and quantitative approach. This approach was specifically applied because first, it is capable of generating qualitative information describing the respondent's view. Secondly, through the method, it is possible to collect quantitative data that are later analyzed by statistical means. Thirdly, the collection of quantitative and qualitative enables the researcher to crosscheck and validates the collected data (Fisher and Buglear, 2010). For the aim of this study a mixed method approach was considered important because increases the validity of the findings. Ahmed </w:t>
      </w:r>
      <w:r>
        <w:rPr>
          <w:i/>
          <w:iCs/>
        </w:rPr>
        <w:t xml:space="preserve">et al. </w:t>
      </w:r>
      <w:r>
        <w:t xml:space="preserve">(2016) argued that a mixed </w:t>
      </w:r>
      <w:r>
        <w:t>approach enables the researcher to triangulate the study data to ensure data validity and reliability.</w:t>
      </w:r>
    </w:p>
    <w:bookmarkStart w:id="62" w:name="_Toc174202504"/>
    <w:bookmarkStart w:id="63" w:name="_Toc178076722"/>
    <w:p>
      <w:pPr>
        <w:pStyle w:val="style2"/>
        <w:tabs>
          <w:tab w:val="left" w:leader="none" w:pos="540"/>
          <w:tab w:val="left" w:leader="none" w:pos="3240"/>
        </w:tabs>
        <w:spacing w:before="200" w:lineRule="auto" w:line="480"/>
        <w:rPr>
          <w:rFonts w:ascii="Times New Roman" w:cs="Times New Roman" w:hAnsi="Times New Roman"/>
          <w:b/>
          <w:color w:val="000000"/>
          <w:sz w:val="24"/>
          <w:szCs w:val="24"/>
        </w:rPr>
      </w:pPr>
      <w:r>
        <w:rPr>
          <w:rFonts w:ascii="Times New Roman" w:cs="Times New Roman" w:hAnsi="Times New Roman"/>
          <w:b/>
          <w:color w:val="000000"/>
          <w:sz w:val="24"/>
          <w:szCs w:val="24"/>
        </w:rPr>
        <w:t>3.3 Types of Data and Sources</w:t>
      </w:r>
      <w:bookmarkEnd w:id="62"/>
      <w:bookmarkEnd w:id="63"/>
    </w:p>
    <w:p>
      <w:pPr>
        <w:pStyle w:val="style4103"/>
        <w:spacing w:after="160" w:lineRule="auto" w:line="360"/>
        <w:jc w:val="both"/>
        <w:rPr>
          <w:b/>
          <w:bCs/>
        </w:rPr>
      </w:pPr>
      <w:r>
        <w:rPr>
          <w:b/>
          <w:bCs/>
        </w:rPr>
        <w:t xml:space="preserve">3.3.1 Data types </w:t>
      </w:r>
    </w:p>
    <w:p>
      <w:pPr>
        <w:pStyle w:val="style4103"/>
        <w:spacing w:lineRule="auto" w:line="480"/>
        <w:jc w:val="both"/>
        <w:rPr>
          <w:b/>
          <w:bCs/>
        </w:rPr>
      </w:pPr>
      <w:r>
        <w:rPr>
          <w:b/>
          <w:bCs/>
        </w:rPr>
        <w:t>3.3.1.1 Primary Data</w:t>
      </w:r>
    </w:p>
    <w:p>
      <w:pPr>
        <w:pStyle w:val="style4103"/>
        <w:spacing w:lineRule="auto" w:line="480"/>
        <w:jc w:val="both"/>
        <w:rPr/>
      </w:pPr>
      <w:r>
        <w:t xml:space="preserve">The primary data were collected through surveys, focus group discussions, and in-depth interviews. The survey questionnaire </w:t>
      </w:r>
      <w:r>
        <w:t>was</w:t>
      </w:r>
      <w:r>
        <w:t xml:space="preserve"> administered to 9</w:t>
      </w:r>
      <w:r>
        <w:t>9</w:t>
      </w:r>
      <w:r>
        <w:t xml:space="preserve"> respondents from </w:t>
      </w:r>
      <w:r>
        <w:rPr>
          <w:bCs/>
        </w:rPr>
        <w:t>Mazingara ward</w:t>
      </w:r>
      <w:r>
        <w:t xml:space="preserve">. The questionnaire was designed to collect information on the demographic characteristics of residents. These discussions aim to provide in-depth information on the experiences and perspectives of the perceived effects of </w:t>
      </w:r>
      <w:r>
        <w:t>wood fuel</w:t>
      </w:r>
      <w:r>
        <w:t xml:space="preserve"> use.</w:t>
      </w:r>
    </w:p>
    <w:p>
      <w:pPr>
        <w:pStyle w:val="style4103"/>
        <w:spacing w:lineRule="auto" w:line="480"/>
        <w:jc w:val="both"/>
        <w:rPr>
          <w:b/>
          <w:bCs/>
        </w:rPr>
      </w:pPr>
      <w:r>
        <w:rPr>
          <w:b/>
          <w:bCs/>
        </w:rPr>
        <w:t>3.3.1.2 Secondary Data</w:t>
      </w:r>
    </w:p>
    <w:p>
      <w:pPr>
        <w:pStyle w:val="style4103"/>
        <w:spacing w:lineRule="auto" w:line="480"/>
        <w:jc w:val="both"/>
        <w:rPr/>
      </w:pPr>
      <w:r>
        <w:t xml:space="preserve">The secondary data were collected from relevant literature, reports, and documents. The literature review included peer-reviewed articles, books, and reports related to the urban farming. The documents to be reviewed included reports from the government, non-governmental organizations, and other stakeholders working on issues related to </w:t>
      </w:r>
      <w:r>
        <w:t>Wood fuel</w:t>
      </w:r>
      <w:r>
        <w:t xml:space="preserve"> usage in Tanzania. </w:t>
      </w:r>
    </w:p>
    <w:p>
      <w:pPr>
        <w:pStyle w:val="style4103"/>
        <w:spacing w:after="160" w:lineRule="auto" w:line="360"/>
        <w:jc w:val="both"/>
        <w:rPr>
          <w:b/>
          <w:bCs/>
        </w:rPr>
      </w:pPr>
      <w:r>
        <w:rPr>
          <w:b/>
          <w:bCs/>
        </w:rPr>
        <w:t>3.3.2 Data sources</w:t>
      </w:r>
    </w:p>
    <w:p>
      <w:pPr>
        <w:pStyle w:val="style0"/>
        <w:spacing w:lineRule="auto" w:line="480"/>
        <w:rPr>
          <w:color w:val="000000"/>
        </w:rPr>
      </w:pPr>
      <w:r>
        <w:rPr>
          <w:color w:val="000000"/>
        </w:rPr>
        <w:t xml:space="preserve">The study employed primary data and secondary data. Primary data were collected from respondents by using interviews and questionnaire. Secondary data were collected from energy policy guidelines and reports including Tanzania’s clean energy </w:t>
      </w:r>
      <w:r>
        <w:rPr>
          <w:color w:val="000000"/>
        </w:rPr>
        <w:t>strategic plan for 2024 to 2034 and, the TFS report for charcoal and firewood production from 2014 to 2023.</w:t>
      </w:r>
    </w:p>
    <w:bookmarkStart w:id="64" w:name="_Toc174202509"/>
    <w:bookmarkStart w:id="65" w:name="_Toc178076723"/>
    <w:p>
      <w:pPr>
        <w:pStyle w:val="style2"/>
        <w:tabs>
          <w:tab w:val="left" w:leader="none" w:pos="540"/>
          <w:tab w:val="left" w:leader="none" w:pos="3240"/>
        </w:tabs>
        <w:spacing w:before="200" w:lineRule="auto" w:line="480"/>
        <w:rPr>
          <w:rFonts w:ascii="Times New Roman" w:cs="Times New Roman" w:hAnsi="Times New Roman"/>
          <w:b/>
          <w:color w:val="000000"/>
          <w:sz w:val="24"/>
          <w:szCs w:val="24"/>
        </w:rPr>
      </w:pPr>
      <w:r>
        <w:rPr>
          <w:rFonts w:ascii="Times New Roman" w:cs="Times New Roman" w:hAnsi="Times New Roman"/>
          <w:b/>
          <w:color w:val="000000"/>
          <w:sz w:val="24"/>
          <w:szCs w:val="24"/>
        </w:rPr>
        <w:t>3.4 Data Collection Method and Tools</w:t>
      </w:r>
      <w:bookmarkEnd w:id="64"/>
      <w:bookmarkEnd w:id="65"/>
    </w:p>
    <w:p>
      <w:pPr>
        <w:pStyle w:val="style0"/>
        <w:spacing w:before="0" w:beforeAutospacing="false" w:after="0" w:afterAutospacing="false" w:lineRule="auto" w:line="480"/>
        <w:rPr>
          <w:b/>
          <w:color w:val="000000"/>
        </w:rPr>
      </w:pPr>
      <w:r>
        <w:rPr>
          <w:b/>
          <w:color w:val="000000"/>
        </w:rPr>
        <w:t xml:space="preserve">3.4.1 Data Collection Methods </w:t>
      </w:r>
    </w:p>
    <w:p>
      <w:pPr>
        <w:pStyle w:val="style0"/>
        <w:spacing w:before="0" w:beforeAutospacing="false" w:after="0" w:afterAutospacing="false" w:lineRule="auto" w:line="480"/>
        <w:rPr>
          <w:b/>
          <w:color w:val="000000"/>
        </w:rPr>
      </w:pPr>
      <w:r>
        <w:rPr>
          <w:b/>
          <w:color w:val="000000"/>
        </w:rPr>
        <w:t xml:space="preserve">3.4.1.1 </w:t>
      </w:r>
      <w:r>
        <w:rPr>
          <w:b/>
          <w:color w:val="000000"/>
        </w:rPr>
        <w:t xml:space="preserve">Interview </w:t>
      </w:r>
    </w:p>
    <w:p>
      <w:pPr>
        <w:pStyle w:val="style0"/>
        <w:spacing w:lineRule="auto" w:line="480"/>
        <w:rPr>
          <w:b/>
          <w:color w:val="000000"/>
        </w:rPr>
      </w:pPr>
      <w:r>
        <w:rPr>
          <w:color w:val="000000"/>
        </w:rPr>
        <w:t xml:space="preserve">An interview is a data collection method that relies on asking questions in order to collect data. The study used structured type of interview where by A structured questionnaire </w:t>
      </w:r>
      <w:r>
        <w:rPr>
          <w:color w:val="000000"/>
        </w:rPr>
        <w:t>were</w:t>
      </w:r>
      <w:r>
        <w:rPr>
          <w:color w:val="000000"/>
        </w:rPr>
        <w:t xml:space="preserve"> administered at the premises of the surveyed special groups firms and procuring entities </w:t>
      </w:r>
    </w:p>
    <w:p>
      <w:pPr>
        <w:pStyle w:val="style0"/>
        <w:spacing w:lineRule="auto" w:line="480"/>
        <w:rPr>
          <w:b/>
          <w:color w:val="000000"/>
        </w:rPr>
      </w:pPr>
      <w:r>
        <w:rPr>
          <w:b/>
          <w:color w:val="000000"/>
        </w:rPr>
        <w:t xml:space="preserve">3.4.1.2 </w:t>
      </w:r>
      <w:r>
        <w:rPr>
          <w:b/>
          <w:color w:val="000000"/>
        </w:rPr>
        <w:t xml:space="preserve">Observation </w:t>
      </w:r>
    </w:p>
    <w:p>
      <w:pPr>
        <w:pStyle w:val="style0"/>
        <w:spacing w:lineRule="auto" w:line="480"/>
        <w:rPr>
          <w:rFonts w:eastAsia="SimSun"/>
          <w:color w:val="000000"/>
        </w:rPr>
      </w:pPr>
      <w:r>
        <w:rPr>
          <w:color w:val="000000"/>
        </w:rPr>
        <w:t>This was self-investigation, can be either participant or non-participant observation means without interviewing the respondents. The information obtained relates to what is currently happening (Kothari, 2004).</w:t>
      </w:r>
      <w:r>
        <w:rPr>
          <w:rFonts w:eastAsia="SimSun"/>
          <w:color w:val="000000"/>
        </w:rPr>
        <w:t xml:space="preserve"> Observational methods involve systematically watching and recording behaviors, events, or phenomena in natural or controlled settings. Observation checklists, video camera </w:t>
      </w:r>
      <w:r>
        <w:rPr>
          <w:rFonts w:eastAsia="SimSun"/>
          <w:color w:val="000000"/>
        </w:rPr>
        <w:t>was</w:t>
      </w:r>
      <w:r>
        <w:rPr>
          <w:rFonts w:eastAsia="SimSun"/>
          <w:color w:val="000000"/>
        </w:rPr>
        <w:t xml:space="preserve"> used as a tool. The researcher observed the types of stoves used and the type of energy used in the area.</w:t>
      </w:r>
    </w:p>
    <w:p>
      <w:pPr>
        <w:pStyle w:val="style0"/>
        <w:spacing w:lineRule="auto" w:line="480"/>
        <w:rPr>
          <w:rFonts w:eastAsia="SimSun"/>
          <w:color w:val="000000"/>
        </w:rPr>
      </w:pPr>
    </w:p>
    <w:p>
      <w:pPr>
        <w:pStyle w:val="style0"/>
        <w:spacing w:lineRule="auto" w:line="480"/>
        <w:rPr>
          <w:rFonts w:eastAsia="SimSun"/>
          <w:color w:val="000000"/>
        </w:rPr>
      </w:pPr>
    </w:p>
    <w:p>
      <w:pPr>
        <w:pStyle w:val="style0"/>
        <w:spacing w:lineRule="auto" w:line="480"/>
        <w:rPr>
          <w:rFonts w:eastAsia="SimSun"/>
          <w:color w:val="000000"/>
        </w:rPr>
      </w:pPr>
    </w:p>
    <w:p>
      <w:pPr>
        <w:pStyle w:val="style0"/>
        <w:spacing w:lineRule="auto" w:line="480"/>
        <w:rPr>
          <w:b/>
          <w:color w:val="000000"/>
        </w:rPr>
      </w:pPr>
      <w:r>
        <w:rPr>
          <w:b/>
          <w:color w:val="000000"/>
        </w:rPr>
        <w:t xml:space="preserve">3.4.1.3 </w:t>
      </w:r>
      <w:r>
        <w:rPr>
          <w:b/>
          <w:color w:val="000000"/>
        </w:rPr>
        <w:t>Documentary review</w:t>
      </w:r>
    </w:p>
    <w:p>
      <w:pPr>
        <w:pStyle w:val="style0"/>
        <w:spacing w:lineRule="auto" w:line="480"/>
        <w:rPr>
          <w:color w:val="000000"/>
        </w:rPr>
      </w:pPr>
      <w:r>
        <w:rPr>
          <w:color w:val="000000"/>
        </w:rPr>
        <w:t>Documents review is a way of collecting data by reviewing existing documents. The study used documents review example by reading books at the library, internet sources, and published and unpublished journals.</w:t>
      </w:r>
    </w:p>
    <w:p>
      <w:pPr>
        <w:pStyle w:val="style0"/>
        <w:spacing w:lineRule="auto" w:line="480"/>
        <w:rPr>
          <w:b/>
          <w:color w:val="000000"/>
        </w:rPr>
      </w:pPr>
      <w:r>
        <w:rPr>
          <w:b/>
          <w:color w:val="000000"/>
        </w:rPr>
        <w:t>3.4.2 Data Collection Tools</w:t>
      </w:r>
    </w:p>
    <w:p>
      <w:pPr>
        <w:pStyle w:val="style0"/>
        <w:spacing w:lineRule="auto" w:line="480"/>
        <w:rPr>
          <w:b/>
          <w:color w:val="000000"/>
        </w:rPr>
      </w:pPr>
      <w:r>
        <w:rPr>
          <w:b/>
          <w:color w:val="000000"/>
        </w:rPr>
        <w:t xml:space="preserve">3.4.2.1 </w:t>
      </w:r>
      <w:r>
        <w:rPr>
          <w:b/>
          <w:color w:val="000000"/>
        </w:rPr>
        <w:t xml:space="preserve">Questionnaire </w:t>
      </w:r>
    </w:p>
    <w:p>
      <w:pPr>
        <w:pStyle w:val="style0"/>
        <w:spacing w:lineRule="auto" w:line="480"/>
        <w:rPr>
          <w:color w:val="000000"/>
        </w:rPr>
      </w:pPr>
      <w:r>
        <w:rPr>
          <w:color w:val="000000"/>
        </w:rPr>
        <w:t xml:space="preserve">The questionnaire </w:t>
      </w:r>
      <w:r>
        <w:rPr>
          <w:color w:val="000000"/>
        </w:rPr>
        <w:t>was</w:t>
      </w:r>
      <w:r>
        <w:rPr>
          <w:color w:val="000000"/>
        </w:rPr>
        <w:t xml:space="preserve"> administered by presenting a set of fixed questions, printed or typed in a specific order on a form or set of forms, according to the description provided by Kothari (2016). These questionnaires included open-ended and closed-ended questionnaires, where the close-ended questionnaires were given to the respondents so that they can provide their opinions and answers within the specified answer and amount of time so that the method can be cheap, while the open-ended questionnaires will be given to key informants to gain the key issues captured and found from only these key informants without limiting their time and space of responding. The questions were structured to elicit precise information from respondents and will be presented in an interview format. The interviewers selected a sample of residents, </w:t>
      </w:r>
      <w:r>
        <w:rPr>
          <w:color w:val="000000"/>
        </w:rPr>
        <w:t>wood fuel</w:t>
      </w:r>
      <w:r>
        <w:rPr>
          <w:color w:val="000000"/>
        </w:rPr>
        <w:t xml:space="preserve"> users, and local authority leaders from Mazingara ward to participate in the questionnaire.</w:t>
      </w:r>
    </w:p>
    <w:p>
      <w:pPr>
        <w:pStyle w:val="style0"/>
        <w:spacing w:lineRule="auto" w:line="480"/>
        <w:rPr>
          <w:color w:val="000000"/>
        </w:rPr>
      </w:pPr>
    </w:p>
    <w:p>
      <w:pPr>
        <w:pStyle w:val="style0"/>
        <w:spacing w:lineRule="auto" w:line="480"/>
        <w:rPr>
          <w:color w:val="000000"/>
        </w:rPr>
      </w:pPr>
    </w:p>
    <w:p>
      <w:pPr>
        <w:pStyle w:val="style0"/>
        <w:spacing w:lineRule="auto" w:line="480"/>
        <w:rPr>
          <w:b/>
          <w:color w:val="000000"/>
        </w:rPr>
      </w:pPr>
      <w:r>
        <w:rPr>
          <w:b/>
          <w:color w:val="000000"/>
        </w:rPr>
        <w:t xml:space="preserve">3.4.2.2 </w:t>
      </w:r>
      <w:r>
        <w:rPr>
          <w:b/>
          <w:color w:val="000000"/>
        </w:rPr>
        <w:t xml:space="preserve">Checklist </w:t>
      </w:r>
    </w:p>
    <w:p>
      <w:pPr>
        <w:pStyle w:val="style0"/>
        <w:spacing w:lineRule="auto" w:line="480"/>
        <w:rPr>
          <w:color w:val="000000"/>
        </w:rPr>
      </w:pPr>
      <w:r>
        <w:rPr>
          <w:color w:val="000000"/>
        </w:rPr>
        <w:t xml:space="preserve">The documentary review </w:t>
      </w:r>
      <w:r>
        <w:rPr>
          <w:color w:val="000000"/>
        </w:rPr>
        <w:t>was</w:t>
      </w:r>
      <w:r>
        <w:rPr>
          <w:color w:val="000000"/>
        </w:rPr>
        <w:t xml:space="preserve"> using a checklist which is a commonly used tool for data collection. A checklist serves as a simple and effective way to ensure that all required information is gathered in a consistent and organized manner. It comprises a list of items that need to be checked off or completed during the data collection process. By using this tool, the data collection process was conducted in a structured manner, thereby enhancing the accuracy and reliability of the collected data. This checklist was specifically be used to collect data from the documentary review method.</w:t>
      </w:r>
    </w:p>
    <w:p>
      <w:pPr>
        <w:pStyle w:val="style0"/>
        <w:spacing w:lineRule="auto" w:line="480"/>
        <w:rPr>
          <w:b/>
          <w:color w:val="000000"/>
        </w:rPr>
      </w:pPr>
      <w:r>
        <w:rPr>
          <w:b/>
          <w:color w:val="000000"/>
        </w:rPr>
        <w:t xml:space="preserve">3.4.2.3 </w:t>
      </w:r>
      <w:r>
        <w:rPr>
          <w:b/>
          <w:color w:val="000000"/>
        </w:rPr>
        <w:t xml:space="preserve">Interview Guide </w:t>
      </w:r>
    </w:p>
    <w:p>
      <w:pPr>
        <w:pStyle w:val="style66"/>
        <w:spacing w:after="240" w:lineRule="auto" w:line="480"/>
        <w:ind w:right="50"/>
        <w:jc w:val="both"/>
        <w:rPr>
          <w:color w:val="000000"/>
        </w:rPr>
      </w:pPr>
      <w:r>
        <w:rPr>
          <w:color w:val="000000"/>
        </w:rPr>
        <w:t>Interview guide</w:t>
      </w:r>
      <w:r>
        <w:rPr>
          <w:color w:val="000000"/>
          <w:spacing w:val="-2"/>
        </w:rPr>
        <w:t xml:space="preserve"> </w:t>
      </w:r>
      <w:r>
        <w:rPr>
          <w:color w:val="000000"/>
        </w:rPr>
        <w:t>is a tool that guides researcher’s conversation toward the topics and issues</w:t>
      </w:r>
      <w:r>
        <w:rPr>
          <w:color w:val="000000"/>
          <w:spacing w:val="40"/>
        </w:rPr>
        <w:t xml:space="preserve"> </w:t>
      </w:r>
      <w:r>
        <w:rPr>
          <w:color w:val="000000"/>
        </w:rPr>
        <w:t>she/he wants to learn about from respondents.</w:t>
      </w:r>
      <w:r>
        <w:rPr>
          <w:color w:val="000000"/>
          <w:spacing w:val="40"/>
        </w:rPr>
        <w:t xml:space="preserve"> </w:t>
      </w:r>
      <w:r>
        <w:rPr>
          <w:color w:val="000000"/>
        </w:rPr>
        <w:t>Interview guides vary from highly scripted to relatively loose, but they all share certain features: interview guide</w:t>
      </w:r>
      <w:r>
        <w:rPr>
          <w:color w:val="000000"/>
          <w:spacing w:val="-2"/>
        </w:rPr>
        <w:t xml:space="preserve"> </w:t>
      </w:r>
      <w:r>
        <w:rPr>
          <w:color w:val="000000"/>
        </w:rPr>
        <w:t>helps researcher to know</w:t>
      </w:r>
      <w:r>
        <w:rPr>
          <w:color w:val="000000"/>
          <w:spacing w:val="40"/>
        </w:rPr>
        <w:t xml:space="preserve"> </w:t>
      </w:r>
      <w:r>
        <w:rPr>
          <w:color w:val="000000"/>
        </w:rPr>
        <w:t>what to ask about, in what sequence, how to pose the questions, and how to pose follow-ups. They</w:t>
      </w:r>
      <w:r>
        <w:rPr>
          <w:color w:val="000000"/>
          <w:spacing w:val="-5"/>
        </w:rPr>
        <w:t xml:space="preserve"> </w:t>
      </w:r>
      <w:r>
        <w:rPr>
          <w:color w:val="000000"/>
        </w:rPr>
        <w:t>provide guidance</w:t>
      </w:r>
      <w:r>
        <w:rPr>
          <w:color w:val="000000"/>
          <w:spacing w:val="-1"/>
        </w:rPr>
        <w:t xml:space="preserve"> </w:t>
      </w:r>
      <w:r>
        <w:rPr>
          <w:color w:val="000000"/>
        </w:rPr>
        <w:t>about what to do or</w:t>
      </w:r>
      <w:r>
        <w:rPr>
          <w:color w:val="000000"/>
          <w:spacing w:val="-1"/>
        </w:rPr>
        <w:t xml:space="preserve"> </w:t>
      </w:r>
      <w:r>
        <w:rPr>
          <w:color w:val="000000"/>
        </w:rPr>
        <w:t>say</w:t>
      </w:r>
      <w:r>
        <w:rPr>
          <w:color w:val="000000"/>
          <w:spacing w:val="-5"/>
        </w:rPr>
        <w:t xml:space="preserve"> </w:t>
      </w:r>
      <w:r>
        <w:rPr>
          <w:color w:val="000000"/>
        </w:rPr>
        <w:t>next, after your</w:t>
      </w:r>
      <w:r>
        <w:rPr>
          <w:color w:val="000000"/>
          <w:spacing w:val="-1"/>
        </w:rPr>
        <w:t xml:space="preserve"> </w:t>
      </w:r>
      <w:r>
        <w:rPr>
          <w:color w:val="000000"/>
        </w:rPr>
        <w:t>interviewee has answered the</w:t>
      </w:r>
      <w:r>
        <w:rPr>
          <w:color w:val="000000"/>
          <w:spacing w:val="-1"/>
        </w:rPr>
        <w:t xml:space="preserve"> </w:t>
      </w:r>
      <w:r>
        <w:rPr>
          <w:color w:val="000000"/>
        </w:rPr>
        <w:t xml:space="preserve">last question. (Kumar, 2017). </w:t>
      </w:r>
    </w:p>
    <w:bookmarkStart w:id="66" w:name="_Toc174202510"/>
    <w:bookmarkStart w:id="67" w:name="_Toc178076724"/>
    <w:p>
      <w:pPr>
        <w:pStyle w:val="style2"/>
        <w:tabs>
          <w:tab w:val="left" w:leader="none" w:pos="540"/>
          <w:tab w:val="left" w:leader="none" w:pos="3240"/>
        </w:tabs>
        <w:spacing w:before="200" w:lineRule="auto" w:line="480"/>
        <w:rPr>
          <w:rFonts w:ascii="Times New Roman" w:cs="Times New Roman" w:hAnsi="Times New Roman"/>
          <w:b/>
          <w:color w:val="000000"/>
          <w:sz w:val="24"/>
          <w:szCs w:val="24"/>
        </w:rPr>
      </w:pPr>
      <w:r>
        <w:rPr>
          <w:rFonts w:ascii="Times New Roman" w:cs="Times New Roman" w:hAnsi="Times New Roman"/>
          <w:b/>
          <w:color w:val="000000"/>
          <w:sz w:val="24"/>
          <w:szCs w:val="24"/>
        </w:rPr>
        <w:t>3.5 Sampling</w:t>
      </w:r>
      <w:bookmarkEnd w:id="66"/>
      <w:bookmarkEnd w:id="67"/>
    </w:p>
    <w:bookmarkStart w:id="68" w:name="_Toc174202511"/>
    <w:bookmarkStart w:id="69" w:name="_Toc178076725"/>
    <w:p>
      <w:pPr>
        <w:pStyle w:val="style2"/>
        <w:tabs>
          <w:tab w:val="left" w:leader="none" w:pos="540"/>
          <w:tab w:val="left" w:leader="none" w:pos="3240"/>
        </w:tabs>
        <w:spacing w:before="200" w:lineRule="auto" w:line="480"/>
        <w:rPr>
          <w:rFonts w:ascii="Times New Roman" w:cs="Times New Roman" w:hAnsi="Times New Roman"/>
          <w:b/>
          <w:color w:val="000000"/>
          <w:sz w:val="24"/>
          <w:szCs w:val="24"/>
        </w:rPr>
      </w:pPr>
      <w:r>
        <w:rPr>
          <w:rFonts w:ascii="Times New Roman" w:cs="Times New Roman" w:hAnsi="Times New Roman"/>
          <w:b/>
          <w:color w:val="000000"/>
          <w:sz w:val="24"/>
          <w:szCs w:val="24"/>
        </w:rPr>
        <w:t>3.5.1 Sampling frame</w:t>
      </w:r>
      <w:bookmarkEnd w:id="68"/>
      <w:bookmarkEnd w:id="69"/>
    </w:p>
    <w:p>
      <w:pPr>
        <w:pStyle w:val="style0"/>
        <w:spacing w:lineRule="auto" w:line="480"/>
        <w:rPr>
          <w:color w:val="000000"/>
        </w:rPr>
      </w:pPr>
      <w:r>
        <w:rPr>
          <w:color w:val="000000"/>
        </w:rPr>
        <w:t xml:space="preserve">The study included 26832 people using </w:t>
      </w:r>
      <w:r>
        <w:rPr>
          <w:color w:val="000000"/>
        </w:rPr>
        <w:t>wood fuel</w:t>
      </w:r>
      <w:r>
        <w:rPr>
          <w:color w:val="000000"/>
        </w:rPr>
        <w:t xml:space="preserve"> sources at Mazingara ward (WEO, 2024). </w:t>
      </w:r>
    </w:p>
    <w:bookmarkStart w:id="70" w:name="_Toc174202512"/>
    <w:p>
      <w:pPr>
        <w:pStyle w:val="style0"/>
        <w:spacing w:lineRule="auto" w:line="480"/>
        <w:rPr>
          <w:b/>
          <w:color w:val="000000"/>
        </w:rPr>
      </w:pPr>
      <w:r>
        <w:rPr>
          <w:b/>
          <w:color w:val="000000"/>
        </w:rPr>
        <w:t>3.5.2 Sampling unit</w:t>
      </w:r>
      <w:bookmarkEnd w:id="70"/>
    </w:p>
    <w:p>
      <w:pPr>
        <w:pStyle w:val="style0"/>
        <w:spacing w:lineRule="auto" w:line="480"/>
        <w:rPr>
          <w:color w:val="000000"/>
        </w:rPr>
      </w:pPr>
      <w:r>
        <w:rPr>
          <w:color w:val="000000"/>
        </w:rPr>
        <w:t xml:space="preserve">The sampling unit were household within </w:t>
      </w:r>
      <w:r>
        <w:rPr>
          <w:color w:val="000000"/>
        </w:rPr>
        <w:t>Mazingara</w:t>
      </w:r>
      <w:r>
        <w:rPr>
          <w:color w:val="000000"/>
        </w:rPr>
        <w:t xml:space="preserve"> Ward</w:t>
      </w:r>
    </w:p>
    <w:bookmarkStart w:id="71" w:name="_Toc174202513"/>
    <w:bookmarkStart w:id="72" w:name="_Toc178076726"/>
    <w:p>
      <w:pPr>
        <w:pStyle w:val="style2"/>
        <w:tabs>
          <w:tab w:val="left" w:leader="none" w:pos="540"/>
          <w:tab w:val="left" w:leader="none" w:pos="3240"/>
        </w:tabs>
        <w:spacing w:before="200" w:lineRule="auto" w:line="480"/>
        <w:rPr>
          <w:rFonts w:ascii="Times New Roman" w:cs="Times New Roman" w:hAnsi="Times New Roman"/>
          <w:b/>
          <w:color w:val="000000"/>
          <w:sz w:val="24"/>
          <w:szCs w:val="24"/>
        </w:rPr>
      </w:pPr>
      <w:r>
        <w:rPr>
          <w:rFonts w:ascii="Times New Roman" w:cs="Times New Roman" w:hAnsi="Times New Roman"/>
          <w:b/>
          <w:color w:val="000000"/>
          <w:sz w:val="24"/>
          <w:szCs w:val="24"/>
        </w:rPr>
        <w:t>3.5.3 Sample size</w:t>
      </w:r>
      <w:bookmarkEnd w:id="71"/>
      <w:bookmarkEnd w:id="72"/>
      <w:r>
        <w:rPr>
          <w:rFonts w:ascii="Times New Roman" w:cs="Times New Roman" w:hAnsi="Times New Roman"/>
          <w:b/>
          <w:color w:val="000000"/>
          <w:sz w:val="24"/>
          <w:szCs w:val="24"/>
        </w:rPr>
        <w:t xml:space="preserve"> </w:t>
      </w:r>
    </w:p>
    <w:p>
      <w:pPr>
        <w:pStyle w:val="style0"/>
        <w:spacing w:lineRule="auto" w:line="480"/>
        <w:rPr>
          <w:color w:val="000000"/>
        </w:rPr>
      </w:pPr>
      <w:r>
        <w:rPr>
          <w:color w:val="000000"/>
        </w:rPr>
        <w:t xml:space="preserve">The study involved 104 respondents as samples from the targeted population, which include 99 households and 5 key informants  </w:t>
      </w:r>
    </w:p>
    <w:p>
      <w:pPr>
        <w:pStyle w:val="style0"/>
        <w:spacing w:lineRule="auto" w:line="480"/>
        <w:rPr>
          <w:color w:val="000000"/>
        </w:rPr>
      </w:pPr>
      <w:r>
        <w:rPr>
          <w:color w:val="000000"/>
        </w:rPr>
        <w:t>To calculate the sample size, we need to use the following formula:</w:t>
      </w:r>
    </w:p>
    <w:p>
      <w:pPr>
        <w:pStyle w:val="style0"/>
        <w:spacing w:lineRule="auto" w:line="480"/>
        <w:rPr>
          <w:color w:val="000000"/>
        </w:rPr>
      </w:pPr>
      <w:r>
        <w:rPr>
          <w:color w:val="000000"/>
        </w:rPr>
        <w:t>n = N / (1 + N (e</w:t>
      </w:r>
      <w:r>
        <w:rPr>
          <w:color w:val="000000"/>
          <w:vertAlign w:val="superscript"/>
        </w:rPr>
        <w:t>2</w:t>
      </w:r>
      <w:r>
        <w:rPr>
          <w:color w:val="000000"/>
        </w:rPr>
        <w:t>))</w:t>
      </w:r>
    </w:p>
    <w:p>
      <w:pPr>
        <w:pStyle w:val="style0"/>
        <w:spacing w:lineRule="auto" w:line="480"/>
        <w:rPr>
          <w:color w:val="000000"/>
        </w:rPr>
      </w:pPr>
      <w:r>
        <w:rPr>
          <w:color w:val="000000"/>
        </w:rPr>
        <w:t>Where:</w:t>
      </w:r>
    </w:p>
    <w:p>
      <w:pPr>
        <w:pStyle w:val="style0"/>
        <w:spacing w:lineRule="auto" w:line="480"/>
        <w:rPr>
          <w:color w:val="000000"/>
        </w:rPr>
      </w:pPr>
      <w:r>
        <w:rPr>
          <w:color w:val="000000"/>
        </w:rPr>
        <w:t>n = sample size</w:t>
      </w:r>
    </w:p>
    <w:p>
      <w:pPr>
        <w:pStyle w:val="style0"/>
        <w:spacing w:lineRule="auto" w:line="480"/>
        <w:rPr>
          <w:color w:val="000000"/>
        </w:rPr>
      </w:pPr>
      <w:r>
        <w:rPr>
          <w:color w:val="000000"/>
        </w:rPr>
        <w:t>N = population size</w:t>
      </w:r>
    </w:p>
    <w:p>
      <w:pPr>
        <w:pStyle w:val="style0"/>
        <w:spacing w:lineRule="auto" w:line="480"/>
        <w:rPr>
          <w:color w:val="000000"/>
        </w:rPr>
      </w:pPr>
      <w:r>
        <w:rPr>
          <w:color w:val="000000"/>
        </w:rPr>
        <w:t>e = margin of error (expressed as a decimal)</w:t>
      </w:r>
    </w:p>
    <w:p>
      <w:pPr>
        <w:pStyle w:val="style0"/>
        <w:spacing w:lineRule="auto" w:line="480"/>
        <w:rPr>
          <w:color w:val="000000"/>
        </w:rPr>
      </w:pPr>
      <w:r>
        <w:rPr>
          <w:color w:val="000000"/>
        </w:rPr>
        <w:t xml:space="preserve">Assuming a 90% confidence level and a margin of error of 10%, </w:t>
      </w:r>
    </w:p>
    <w:p>
      <w:pPr>
        <w:pStyle w:val="style0"/>
        <w:spacing w:lineRule="auto" w:line="480"/>
        <w:rPr>
          <w:color w:val="000000"/>
        </w:rPr>
      </w:pPr>
      <w:r>
        <w:rPr>
          <w:color w:val="000000"/>
        </w:rPr>
        <w:t>So, using the formula:</w:t>
      </w:r>
    </w:p>
    <w:p>
      <w:pPr>
        <w:pStyle w:val="style0"/>
        <w:spacing w:lineRule="auto" w:line="480"/>
        <w:rPr>
          <w:color w:val="000000"/>
        </w:rPr>
      </w:pPr>
      <w:r>
        <w:rPr>
          <w:color w:val="000000"/>
        </w:rPr>
        <w:t>n = N / (1 + N (e</w:t>
      </w:r>
      <w:r>
        <w:rPr>
          <w:color w:val="000000"/>
          <w:vertAlign w:val="superscript"/>
        </w:rPr>
        <w:t>2</w:t>
      </w:r>
      <w:r>
        <w:rPr>
          <w:color w:val="000000"/>
        </w:rPr>
        <w:t>))</w:t>
      </w:r>
    </w:p>
    <w:p>
      <w:pPr>
        <w:pStyle w:val="style0"/>
        <w:spacing w:lineRule="auto" w:line="480"/>
        <w:rPr>
          <w:color w:val="000000"/>
        </w:rPr>
      </w:pPr>
      <w:r>
        <w:rPr>
          <w:color w:val="000000"/>
        </w:rPr>
        <w:t>n = 26832 / (1 + 26832 (0.1</w:t>
      </w:r>
      <w:r>
        <w:rPr>
          <w:color w:val="000000"/>
          <w:vertAlign w:val="superscript"/>
        </w:rPr>
        <w:t>2</w:t>
      </w:r>
      <w:r>
        <w:rPr>
          <w:color w:val="000000"/>
        </w:rPr>
        <w:t>))</w:t>
      </w:r>
    </w:p>
    <w:p>
      <w:pPr>
        <w:pStyle w:val="style0"/>
        <w:spacing w:lineRule="auto" w:line="480"/>
        <w:rPr>
          <w:color w:val="000000"/>
        </w:rPr>
      </w:pPr>
      <w:r>
        <w:rPr>
          <w:color w:val="000000"/>
        </w:rPr>
        <w:t>n = 99 + 5 key informants</w:t>
      </w:r>
    </w:p>
    <w:bookmarkStart w:id="73" w:name="_Toc177668536"/>
    <w:p>
      <w:pPr>
        <w:pStyle w:val="style34"/>
        <w:spacing w:lineRule="auto" w:line="480"/>
        <w:rPr>
          <w:b/>
          <w:i w:val="false"/>
          <w:iCs w:val="false"/>
          <w:color w:val="000000"/>
          <w:sz w:val="24"/>
          <w:szCs w:val="24"/>
        </w:rPr>
      </w:pPr>
      <w:r>
        <w:rPr>
          <w:b/>
          <w:i w:val="false"/>
          <w:iCs w:val="false"/>
          <w:color w:val="000000"/>
          <w:sz w:val="24"/>
          <w:szCs w:val="24"/>
        </w:rPr>
        <w:t xml:space="preserve">Table </w:t>
      </w:r>
      <w:r>
        <w:rPr>
          <w:b/>
          <w:i w:val="false"/>
          <w:iCs w:val="false"/>
          <w:color w:val="000000"/>
          <w:sz w:val="24"/>
          <w:szCs w:val="24"/>
        </w:rPr>
        <w:fldChar w:fldCharType="begin"/>
      </w:r>
      <w:r>
        <w:rPr>
          <w:b/>
          <w:i w:val="false"/>
          <w:iCs w:val="false"/>
          <w:color w:val="000000"/>
          <w:sz w:val="24"/>
          <w:szCs w:val="24"/>
        </w:rPr>
        <w:instrText xml:space="preserve"> SEQ Table \* ARABIC </w:instrText>
      </w:r>
      <w:r>
        <w:rPr>
          <w:b/>
          <w:i w:val="false"/>
          <w:iCs w:val="false"/>
          <w:color w:val="000000"/>
          <w:sz w:val="24"/>
          <w:szCs w:val="24"/>
        </w:rPr>
        <w:fldChar w:fldCharType="separate"/>
      </w:r>
      <w:r>
        <w:rPr>
          <w:b/>
          <w:i w:val="false"/>
          <w:iCs w:val="false"/>
          <w:noProof/>
          <w:color w:val="000000"/>
          <w:sz w:val="24"/>
          <w:szCs w:val="24"/>
        </w:rPr>
        <w:t>1</w:t>
      </w:r>
      <w:r>
        <w:rPr>
          <w:b/>
          <w:i w:val="false"/>
          <w:iCs w:val="false"/>
          <w:color w:val="000000"/>
          <w:sz w:val="24"/>
          <w:szCs w:val="24"/>
        </w:rPr>
        <w:fldChar w:fldCharType="end"/>
      </w:r>
      <w:r>
        <w:rPr>
          <w:b/>
          <w:i w:val="false"/>
          <w:iCs w:val="false"/>
          <w:color w:val="000000"/>
          <w:sz w:val="24"/>
          <w:szCs w:val="24"/>
        </w:rPr>
        <w:t>: Distribution of respondents</w:t>
      </w:r>
      <w:bookmarkEnd w:id="73"/>
    </w:p>
    <w:tbl>
      <w:tblPr>
        <w:tblStyle w:val="style154"/>
        <w:tblW w:w="7866" w:type="dxa"/>
        <w:jc w:val="center"/>
        <w:tblLook w:val="04A0" w:firstRow="1" w:lastRow="0" w:firstColumn="1" w:lastColumn="0" w:noHBand="0" w:noVBand="1"/>
      </w:tblPr>
      <w:tblGrid>
        <w:gridCol w:w="3933"/>
        <w:gridCol w:w="3933"/>
      </w:tblGrid>
      <w:tr>
        <w:trPr>
          <w:trHeight w:val="245" w:hRule="atLeast"/>
          <w:jc w:val="center"/>
        </w:trPr>
        <w:tc>
          <w:tcPr>
            <w:tcW w:w="3933" w:type="dxa"/>
            <w:tcBorders/>
          </w:tcPr>
          <w:p>
            <w:pPr>
              <w:pStyle w:val="style0"/>
              <w:spacing w:lineRule="auto" w:line="480"/>
              <w:rPr>
                <w:color w:val="000000"/>
              </w:rPr>
            </w:pPr>
            <w:r>
              <w:rPr>
                <w:color w:val="000000"/>
              </w:rPr>
              <w:t xml:space="preserve">Respondents </w:t>
            </w:r>
          </w:p>
        </w:tc>
        <w:tc>
          <w:tcPr>
            <w:tcW w:w="3933" w:type="dxa"/>
            <w:tcBorders/>
          </w:tcPr>
          <w:p>
            <w:pPr>
              <w:pStyle w:val="style0"/>
              <w:spacing w:lineRule="auto" w:line="480"/>
              <w:rPr>
                <w:color w:val="000000"/>
              </w:rPr>
            </w:pPr>
            <w:r>
              <w:rPr>
                <w:color w:val="000000"/>
              </w:rPr>
              <w:t>Number</w:t>
            </w:r>
          </w:p>
        </w:tc>
      </w:tr>
      <w:tr>
        <w:tblPrEx/>
        <w:trPr>
          <w:trHeight w:val="245" w:hRule="atLeast"/>
          <w:jc w:val="center"/>
        </w:trPr>
        <w:tc>
          <w:tcPr>
            <w:tcW w:w="3933" w:type="dxa"/>
            <w:tcBorders/>
          </w:tcPr>
          <w:p>
            <w:pPr>
              <w:pStyle w:val="style0"/>
              <w:spacing w:lineRule="auto" w:line="480"/>
              <w:rPr>
                <w:color w:val="000000"/>
              </w:rPr>
            </w:pPr>
            <w:r>
              <w:rPr>
                <w:color w:val="000000"/>
              </w:rPr>
              <w:t>Household heads</w:t>
            </w:r>
          </w:p>
        </w:tc>
        <w:tc>
          <w:tcPr>
            <w:tcW w:w="3933" w:type="dxa"/>
            <w:tcBorders/>
          </w:tcPr>
          <w:p>
            <w:pPr>
              <w:pStyle w:val="style0"/>
              <w:spacing w:lineRule="auto" w:line="480"/>
              <w:rPr>
                <w:color w:val="000000"/>
              </w:rPr>
            </w:pPr>
            <w:r>
              <w:rPr>
                <w:color w:val="000000"/>
              </w:rPr>
              <w:t>99</w:t>
            </w:r>
          </w:p>
        </w:tc>
      </w:tr>
      <w:tr>
        <w:tblPrEx/>
        <w:trPr>
          <w:trHeight w:val="245" w:hRule="atLeast"/>
          <w:jc w:val="center"/>
        </w:trPr>
        <w:tc>
          <w:tcPr>
            <w:tcW w:w="3933" w:type="dxa"/>
            <w:tcBorders/>
          </w:tcPr>
          <w:p>
            <w:pPr>
              <w:pStyle w:val="style0"/>
              <w:spacing w:lineRule="auto" w:line="480"/>
              <w:rPr>
                <w:color w:val="000000"/>
              </w:rPr>
            </w:pPr>
            <w:r>
              <w:rPr>
                <w:color w:val="000000"/>
              </w:rPr>
              <w:t>Forest officers</w:t>
            </w:r>
          </w:p>
        </w:tc>
        <w:tc>
          <w:tcPr>
            <w:tcW w:w="3933" w:type="dxa"/>
            <w:tcBorders/>
          </w:tcPr>
          <w:p>
            <w:pPr>
              <w:pStyle w:val="style0"/>
              <w:spacing w:lineRule="auto" w:line="480"/>
              <w:rPr>
                <w:color w:val="000000"/>
              </w:rPr>
            </w:pPr>
            <w:r>
              <w:rPr>
                <w:color w:val="000000"/>
              </w:rPr>
              <w:t>01</w:t>
            </w:r>
          </w:p>
        </w:tc>
      </w:tr>
      <w:tr>
        <w:tblPrEx/>
        <w:trPr>
          <w:trHeight w:val="245" w:hRule="atLeast"/>
          <w:jc w:val="center"/>
        </w:trPr>
        <w:tc>
          <w:tcPr>
            <w:tcW w:w="3933" w:type="dxa"/>
            <w:tcBorders/>
          </w:tcPr>
          <w:p>
            <w:pPr>
              <w:pStyle w:val="style0"/>
              <w:spacing w:lineRule="auto" w:line="480"/>
              <w:rPr>
                <w:color w:val="000000"/>
              </w:rPr>
            </w:pPr>
            <w:r>
              <w:rPr>
                <w:color w:val="000000"/>
              </w:rPr>
              <w:t>CDO</w:t>
            </w:r>
          </w:p>
        </w:tc>
        <w:tc>
          <w:tcPr>
            <w:tcW w:w="3933" w:type="dxa"/>
            <w:tcBorders/>
          </w:tcPr>
          <w:p>
            <w:pPr>
              <w:pStyle w:val="style0"/>
              <w:spacing w:lineRule="auto" w:line="480"/>
              <w:rPr>
                <w:color w:val="000000"/>
              </w:rPr>
            </w:pPr>
            <w:r>
              <w:rPr>
                <w:color w:val="000000"/>
              </w:rPr>
              <w:t>01</w:t>
            </w:r>
          </w:p>
        </w:tc>
      </w:tr>
      <w:tr>
        <w:tblPrEx/>
        <w:trPr>
          <w:trHeight w:val="245" w:hRule="atLeast"/>
          <w:jc w:val="center"/>
        </w:trPr>
        <w:tc>
          <w:tcPr>
            <w:tcW w:w="3933" w:type="dxa"/>
            <w:tcBorders/>
          </w:tcPr>
          <w:p>
            <w:pPr>
              <w:pStyle w:val="style0"/>
              <w:spacing w:lineRule="auto" w:line="480"/>
              <w:rPr>
                <w:color w:val="000000"/>
              </w:rPr>
            </w:pPr>
            <w:r>
              <w:rPr>
                <w:color w:val="000000"/>
              </w:rPr>
              <w:t>VEO/WEO</w:t>
            </w:r>
          </w:p>
        </w:tc>
        <w:tc>
          <w:tcPr>
            <w:tcW w:w="3933" w:type="dxa"/>
            <w:tcBorders/>
          </w:tcPr>
          <w:p>
            <w:pPr>
              <w:pStyle w:val="style0"/>
              <w:spacing w:lineRule="auto" w:line="480"/>
              <w:rPr>
                <w:color w:val="000000"/>
              </w:rPr>
            </w:pPr>
            <w:r>
              <w:rPr>
                <w:color w:val="000000"/>
              </w:rPr>
              <w:t>01</w:t>
            </w:r>
          </w:p>
        </w:tc>
      </w:tr>
      <w:tr>
        <w:tblPrEx/>
        <w:trPr>
          <w:trHeight w:val="245" w:hRule="atLeast"/>
          <w:jc w:val="center"/>
        </w:trPr>
        <w:tc>
          <w:tcPr>
            <w:tcW w:w="3933" w:type="dxa"/>
            <w:tcBorders/>
          </w:tcPr>
          <w:p>
            <w:pPr>
              <w:pStyle w:val="style0"/>
              <w:spacing w:lineRule="auto" w:line="480"/>
              <w:rPr>
                <w:color w:val="000000"/>
              </w:rPr>
            </w:pPr>
            <w:r>
              <w:rPr>
                <w:color w:val="000000"/>
              </w:rPr>
              <w:t>Chairperson</w:t>
            </w:r>
          </w:p>
        </w:tc>
        <w:tc>
          <w:tcPr>
            <w:tcW w:w="3933" w:type="dxa"/>
            <w:tcBorders/>
          </w:tcPr>
          <w:p>
            <w:pPr>
              <w:pStyle w:val="style0"/>
              <w:spacing w:lineRule="auto" w:line="480"/>
              <w:rPr>
                <w:color w:val="000000"/>
              </w:rPr>
            </w:pPr>
            <w:r>
              <w:rPr>
                <w:color w:val="000000"/>
              </w:rPr>
              <w:t>01</w:t>
            </w:r>
          </w:p>
        </w:tc>
      </w:tr>
      <w:tr>
        <w:tblPrEx/>
        <w:trPr>
          <w:trHeight w:val="245" w:hRule="atLeast"/>
          <w:jc w:val="center"/>
        </w:trPr>
        <w:tc>
          <w:tcPr>
            <w:tcW w:w="3933" w:type="dxa"/>
            <w:tcBorders/>
          </w:tcPr>
          <w:p>
            <w:pPr>
              <w:pStyle w:val="style0"/>
              <w:spacing w:lineRule="auto" w:line="480"/>
              <w:rPr>
                <w:color w:val="000000"/>
              </w:rPr>
            </w:pPr>
            <w:r>
              <w:rPr>
                <w:color w:val="000000"/>
              </w:rPr>
              <w:t>Health officer</w:t>
            </w:r>
          </w:p>
        </w:tc>
        <w:tc>
          <w:tcPr>
            <w:tcW w:w="3933" w:type="dxa"/>
            <w:tcBorders/>
          </w:tcPr>
          <w:p>
            <w:pPr>
              <w:pStyle w:val="style0"/>
              <w:spacing w:lineRule="auto" w:line="480"/>
              <w:rPr>
                <w:color w:val="000000"/>
              </w:rPr>
            </w:pPr>
            <w:r>
              <w:rPr>
                <w:color w:val="000000"/>
              </w:rPr>
              <w:t>01</w:t>
            </w:r>
          </w:p>
        </w:tc>
      </w:tr>
      <w:tr>
        <w:tblPrEx/>
        <w:trPr>
          <w:trHeight w:val="245" w:hRule="atLeast"/>
          <w:jc w:val="center"/>
        </w:trPr>
        <w:tc>
          <w:tcPr>
            <w:tcW w:w="3933" w:type="dxa"/>
            <w:tcBorders/>
          </w:tcPr>
          <w:p>
            <w:pPr>
              <w:pStyle w:val="style0"/>
              <w:spacing w:lineRule="auto" w:line="480"/>
              <w:rPr>
                <w:color w:val="000000"/>
              </w:rPr>
            </w:pPr>
            <w:r>
              <w:rPr>
                <w:color w:val="000000"/>
              </w:rPr>
              <w:t xml:space="preserve">Total </w:t>
            </w:r>
          </w:p>
        </w:tc>
        <w:tc>
          <w:tcPr>
            <w:tcW w:w="3933" w:type="dxa"/>
            <w:tcBorders/>
          </w:tcPr>
          <w:p>
            <w:pPr>
              <w:pStyle w:val="style0"/>
              <w:spacing w:lineRule="auto" w:line="480"/>
              <w:rPr>
                <w:color w:val="000000"/>
              </w:rPr>
            </w:pPr>
            <w:r>
              <w:rPr>
                <w:color w:val="000000"/>
              </w:rPr>
              <w:t>104</w:t>
            </w:r>
          </w:p>
        </w:tc>
      </w:tr>
      <w:bookmarkStart w:id="74" w:name="_Toc174202514"/>
      <w:bookmarkStart w:id="75" w:name="_Toc178076727"/>
    </w:tbl>
    <w:p>
      <w:pPr>
        <w:pStyle w:val="style2"/>
        <w:tabs>
          <w:tab w:val="left" w:leader="none" w:pos="540"/>
          <w:tab w:val="left" w:leader="none" w:pos="3240"/>
        </w:tabs>
        <w:spacing w:before="200" w:lineRule="auto" w:line="480"/>
        <w:rPr>
          <w:rFonts w:ascii="Times New Roman" w:cs="Times New Roman" w:hAnsi="Times New Roman"/>
          <w:b/>
          <w:color w:val="000000"/>
          <w:sz w:val="24"/>
          <w:szCs w:val="24"/>
        </w:rPr>
      </w:pPr>
      <w:r>
        <w:rPr>
          <w:rFonts w:ascii="Times New Roman" w:cs="Times New Roman" w:hAnsi="Times New Roman"/>
          <w:b/>
          <w:color w:val="000000"/>
          <w:sz w:val="24"/>
          <w:szCs w:val="24"/>
        </w:rPr>
        <w:t>3.5.4 Sampling procedures</w:t>
      </w:r>
      <w:bookmarkEnd w:id="74"/>
      <w:bookmarkEnd w:id="75"/>
    </w:p>
    <w:p>
      <w:pPr>
        <w:pStyle w:val="style0"/>
        <w:spacing w:lineRule="auto" w:line="480"/>
        <w:rPr>
          <w:color w:val="000000"/>
        </w:rPr>
      </w:pPr>
      <w:r>
        <w:rPr>
          <w:color w:val="000000"/>
        </w:rPr>
        <w:t>The sampling procedure used were probability and non-probability sampling technique whereby the study applied purposive sampling to obtain the sample size required for data collection from selected population and a snowball sampling technique to select individual members family’ respondents.</w:t>
      </w:r>
    </w:p>
    <w:bookmarkStart w:id="76" w:name="_Toc326832686"/>
    <w:bookmarkStart w:id="77" w:name="_Toc335744807"/>
    <w:bookmarkStart w:id="78" w:name="_Toc335745125"/>
    <w:bookmarkStart w:id="79" w:name="_Toc335745322"/>
    <w:bookmarkStart w:id="80" w:name="_Toc173633218"/>
    <w:bookmarkStart w:id="81" w:name="_Toc174202517"/>
    <w:bookmarkStart w:id="82" w:name="_Toc178076728"/>
    <w:p>
      <w:pPr>
        <w:pStyle w:val="style2"/>
        <w:tabs>
          <w:tab w:val="left" w:leader="none" w:pos="540"/>
          <w:tab w:val="left" w:leader="none" w:pos="3240"/>
        </w:tabs>
        <w:spacing w:before="200" w:lineRule="auto" w:line="480"/>
        <w:rPr>
          <w:rFonts w:ascii="Times New Roman" w:cs="Times New Roman" w:hAnsi="Times New Roman"/>
          <w:b/>
          <w:color w:val="000000"/>
          <w:sz w:val="24"/>
          <w:szCs w:val="24"/>
        </w:rPr>
      </w:pPr>
      <w:r>
        <w:rPr>
          <w:rFonts w:ascii="Times New Roman" w:cs="Times New Roman" w:hAnsi="Times New Roman"/>
          <w:b/>
          <w:color w:val="000000"/>
          <w:sz w:val="24"/>
          <w:szCs w:val="24"/>
        </w:rPr>
        <w:t>3.6 Data Processing, Analysis and Presentation</w:t>
      </w:r>
      <w:bookmarkEnd w:id="76"/>
      <w:bookmarkEnd w:id="77"/>
      <w:bookmarkEnd w:id="78"/>
      <w:bookmarkEnd w:id="79"/>
      <w:bookmarkEnd w:id="80"/>
      <w:bookmarkEnd w:id="81"/>
      <w:bookmarkEnd w:id="82"/>
    </w:p>
    <w:bookmarkStart w:id="83" w:name="_Toc326832687"/>
    <w:bookmarkStart w:id="84" w:name="_Toc335744808"/>
    <w:bookmarkStart w:id="85" w:name="_Toc335745126"/>
    <w:bookmarkStart w:id="86" w:name="_Toc335745323"/>
    <w:bookmarkStart w:id="87" w:name="_Toc173633219"/>
    <w:bookmarkStart w:id="88" w:name="_Toc174202518"/>
    <w:bookmarkStart w:id="89" w:name="_Toc178076729"/>
    <w:p>
      <w:pPr>
        <w:pStyle w:val="style2"/>
        <w:tabs>
          <w:tab w:val="left" w:leader="none" w:pos="540"/>
          <w:tab w:val="left" w:leader="none" w:pos="3240"/>
        </w:tabs>
        <w:spacing w:before="200" w:lineRule="auto" w:line="480"/>
        <w:rPr>
          <w:rFonts w:ascii="Times New Roman" w:cs="Times New Roman" w:hAnsi="Times New Roman"/>
          <w:b/>
          <w:color w:val="000000"/>
          <w:sz w:val="24"/>
          <w:szCs w:val="24"/>
        </w:rPr>
      </w:pPr>
      <w:r>
        <w:rPr>
          <w:rFonts w:ascii="Times New Roman" w:cs="Times New Roman" w:hAnsi="Times New Roman"/>
          <w:b/>
          <w:color w:val="000000"/>
          <w:sz w:val="24"/>
          <w:szCs w:val="24"/>
        </w:rPr>
        <w:t>3.6.1 Data Processing</w:t>
      </w:r>
      <w:bookmarkEnd w:id="83"/>
      <w:bookmarkEnd w:id="84"/>
      <w:bookmarkEnd w:id="85"/>
      <w:bookmarkEnd w:id="86"/>
      <w:bookmarkEnd w:id="87"/>
      <w:bookmarkEnd w:id="88"/>
      <w:bookmarkEnd w:id="89"/>
    </w:p>
    <w:p>
      <w:pPr>
        <w:pStyle w:val="style0"/>
        <w:spacing w:lineRule="auto" w:line="480"/>
        <w:rPr>
          <w:color w:val="000000"/>
        </w:rPr>
      </w:pPr>
      <w:r>
        <w:rPr>
          <w:color w:val="000000"/>
        </w:rPr>
        <w:t>Collected data were edited to detect errors, coded and finally, data were entered in computer so as to use SPSS (Statistical Package Social Science) program for data analysis.</w:t>
      </w:r>
    </w:p>
    <w:bookmarkStart w:id="90" w:name="_Toc173633220"/>
    <w:bookmarkStart w:id="91" w:name="_Toc174202519"/>
    <w:bookmarkStart w:id="92" w:name="_Toc178076730"/>
    <w:p>
      <w:pPr>
        <w:pStyle w:val="style2"/>
        <w:tabs>
          <w:tab w:val="left" w:leader="none" w:pos="540"/>
          <w:tab w:val="left" w:leader="none" w:pos="3240"/>
        </w:tabs>
        <w:spacing w:before="200" w:lineRule="auto" w:line="480"/>
        <w:rPr>
          <w:rFonts w:ascii="Times New Roman" w:cs="Times New Roman" w:hAnsi="Times New Roman"/>
          <w:b/>
          <w:color w:val="000000"/>
          <w:sz w:val="24"/>
          <w:szCs w:val="24"/>
        </w:rPr>
      </w:pPr>
      <w:r>
        <w:rPr>
          <w:rFonts w:ascii="Times New Roman" w:cs="Times New Roman" w:hAnsi="Times New Roman"/>
          <w:b/>
          <w:color w:val="000000"/>
          <w:sz w:val="24"/>
          <w:szCs w:val="24"/>
        </w:rPr>
        <w:t>3.6.2 Data Analysis</w:t>
      </w:r>
      <w:bookmarkEnd w:id="90"/>
      <w:bookmarkEnd w:id="91"/>
      <w:bookmarkEnd w:id="92"/>
      <w:r>
        <w:rPr>
          <w:rFonts w:ascii="Times New Roman" w:cs="Times New Roman" w:hAnsi="Times New Roman"/>
          <w:b/>
          <w:color w:val="000000"/>
          <w:sz w:val="24"/>
          <w:szCs w:val="24"/>
        </w:rPr>
        <w:t xml:space="preserve"> </w:t>
      </w:r>
    </w:p>
    <w:p>
      <w:pPr>
        <w:pStyle w:val="style0"/>
        <w:spacing w:lineRule="auto" w:line="480"/>
        <w:rPr>
          <w:color w:val="000000"/>
        </w:rPr>
      </w:pPr>
      <w:r>
        <w:rPr>
          <w:color w:val="000000"/>
        </w:rPr>
        <w:t xml:space="preserve">Data analysis used descriptive analysis whereby the descriptive analysis dealt with summarizing data collected in measure of central tendency (mean, mode, and median) and in measure of variance (range, variance, and standard deviation). SPSS software version 20 was used for analysis. </w:t>
      </w:r>
    </w:p>
    <w:bookmarkStart w:id="93" w:name="_Toc174202520"/>
    <w:p>
      <w:pPr>
        <w:pStyle w:val="style0"/>
        <w:rPr>
          <w:color w:val="000000"/>
        </w:rPr>
      </w:pPr>
      <w:r>
        <w:rPr>
          <w:rFonts w:eastAsia="SimSun"/>
          <w:b/>
          <w:bCs/>
          <w:color w:val="000000"/>
        </w:rPr>
        <w:t>3.6.3 Data Presentation</w:t>
      </w:r>
      <w:bookmarkEnd w:id="93"/>
      <w:r>
        <w:rPr>
          <w:color w:val="000000"/>
        </w:rPr>
        <w:t xml:space="preserve"> </w:t>
      </w:r>
    </w:p>
    <w:p>
      <w:pPr>
        <w:pStyle w:val="style0"/>
        <w:spacing w:lineRule="auto" w:line="480"/>
        <w:rPr>
          <w:color w:val="000000"/>
        </w:rPr>
      </w:pPr>
      <w:r>
        <w:rPr>
          <w:color w:val="000000"/>
        </w:rPr>
        <w:t>Data were presented by the use of texts, tables and graph</w:t>
      </w:r>
    </w:p>
    <w:bookmarkStart w:id="94" w:name="_Toc173633222"/>
    <w:bookmarkStart w:id="95" w:name="_Toc174202521"/>
    <w:bookmarkStart w:id="96" w:name="_Toc178076731"/>
    <w:p>
      <w:pPr>
        <w:pStyle w:val="style2"/>
        <w:tabs>
          <w:tab w:val="left" w:leader="none" w:pos="540"/>
          <w:tab w:val="left" w:leader="none" w:pos="3240"/>
        </w:tabs>
        <w:spacing w:before="200" w:lineRule="auto" w:line="480"/>
        <w:rPr>
          <w:rFonts w:ascii="Times New Roman" w:cs="Times New Roman" w:hAnsi="Times New Roman"/>
          <w:b/>
          <w:color w:val="000000"/>
          <w:sz w:val="24"/>
          <w:szCs w:val="24"/>
        </w:rPr>
      </w:pPr>
      <w:r>
        <w:rPr>
          <w:rFonts w:ascii="Times New Roman" w:cs="Times New Roman" w:hAnsi="Times New Roman"/>
          <w:b/>
          <w:color w:val="000000"/>
          <w:sz w:val="24"/>
          <w:szCs w:val="24"/>
        </w:rPr>
        <w:t>3.7 Limitations of the Study</w:t>
      </w:r>
      <w:bookmarkEnd w:id="94"/>
      <w:bookmarkEnd w:id="95"/>
      <w:bookmarkEnd w:id="96"/>
    </w:p>
    <w:p>
      <w:pPr>
        <w:pStyle w:val="style0"/>
        <w:tabs>
          <w:tab w:val="left" w:leader="none" w:pos="3240"/>
        </w:tabs>
        <w:spacing w:after="0" w:lineRule="auto" w:line="480"/>
        <w:rPr>
          <w:b/>
          <w:bCs/>
          <w:color w:val="000000"/>
        </w:rPr>
      </w:pPr>
      <w:r>
        <w:rPr>
          <w:color w:val="000000"/>
        </w:rPr>
        <w:t>The study had several limitations. First, as the research was focused solely on the Maz</w:t>
      </w:r>
      <w:r>
        <w:rPr>
          <w:color w:val="000000"/>
        </w:rPr>
        <w:t>in</w:t>
      </w:r>
      <w:r>
        <w:rPr>
          <w:color w:val="000000"/>
        </w:rPr>
        <w:t xml:space="preserve">gara ward, the findings may not be fully representative of all other wards in Handeni district. Additionally, the sample size of 99, although carefully selected, may limit the generalizability of the study's conclusions to a broader population. Furthermore, the reliance on self-reported data from community members and the use of secondary data from reports and literature may introduce biases and limitations in the overall comprehensiveness of the findings. </w:t>
      </w:r>
    </w:p>
    <w:p>
      <w:pPr>
        <w:pStyle w:val="style0"/>
        <w:spacing w:lineRule="auto" w:line="480"/>
        <w:rPr>
          <w:color w:val="000000"/>
        </w:rPr>
      </w:pPr>
    </w:p>
    <w:p>
      <w:pPr>
        <w:pStyle w:val="style0"/>
        <w:spacing w:lineRule="auto" w:line="480"/>
        <w:rPr>
          <w:color w:val="000000"/>
        </w:rPr>
      </w:pPr>
    </w:p>
    <w:p>
      <w:pPr>
        <w:pStyle w:val="style0"/>
        <w:spacing w:lineRule="auto" w:line="480"/>
        <w:rPr>
          <w:color w:val="000000"/>
        </w:rPr>
      </w:pPr>
    </w:p>
    <w:p>
      <w:pPr>
        <w:pStyle w:val="style0"/>
        <w:spacing w:lineRule="auto" w:line="480"/>
        <w:rPr>
          <w:color w:val="000000"/>
        </w:rPr>
      </w:pPr>
    </w:p>
    <w:bookmarkStart w:id="97" w:name="_Toc172658984"/>
    <w:bookmarkStart w:id="98" w:name="_Toc173633223"/>
    <w:bookmarkStart w:id="99" w:name="_Toc173975030"/>
    <w:bookmarkStart w:id="100" w:name="_Toc178076732"/>
    <w:p>
      <w:pPr>
        <w:pStyle w:val="style1"/>
        <w:tabs>
          <w:tab w:val="left" w:leader="none" w:pos="3240"/>
        </w:tabs>
        <w:spacing w:before="0" w:lineRule="auto" w:line="480"/>
        <w:jc w:val="center"/>
        <w:rPr>
          <w:rFonts w:ascii="Times New Roman" w:cs="Times New Roman" w:hAnsi="Times New Roman"/>
          <w:b/>
          <w:bCs/>
          <w:color w:val="000000"/>
          <w:sz w:val="24"/>
          <w:szCs w:val="24"/>
        </w:rPr>
      </w:pPr>
      <w:r>
        <w:rPr>
          <w:rFonts w:ascii="Times New Roman" w:cs="Times New Roman" w:hAnsi="Times New Roman"/>
          <w:b/>
          <w:bCs/>
          <w:color w:val="000000"/>
          <w:sz w:val="24"/>
          <w:szCs w:val="24"/>
        </w:rPr>
        <w:t>CHAPTER FOUR</w:t>
      </w:r>
      <w:bookmarkEnd w:id="97"/>
      <w:bookmarkEnd w:id="98"/>
      <w:bookmarkEnd w:id="99"/>
      <w:bookmarkEnd w:id="100"/>
    </w:p>
    <w:bookmarkStart w:id="101" w:name="_Toc172658985"/>
    <w:bookmarkStart w:id="102" w:name="_Toc173633224"/>
    <w:bookmarkStart w:id="103" w:name="_Toc173975031"/>
    <w:bookmarkStart w:id="104" w:name="_Toc178076733"/>
    <w:p>
      <w:pPr>
        <w:pStyle w:val="style1"/>
        <w:tabs>
          <w:tab w:val="left" w:leader="none" w:pos="3240"/>
        </w:tabs>
        <w:spacing w:before="0" w:lineRule="auto" w:line="480"/>
        <w:jc w:val="center"/>
        <w:rPr>
          <w:rFonts w:ascii="Times New Roman" w:cs="Times New Roman" w:hAnsi="Times New Roman"/>
          <w:b/>
          <w:bCs/>
          <w:color w:val="000000"/>
          <w:sz w:val="24"/>
          <w:szCs w:val="24"/>
        </w:rPr>
      </w:pPr>
      <w:r>
        <w:rPr>
          <w:rFonts w:ascii="Times New Roman" w:cs="Times New Roman" w:hAnsi="Times New Roman"/>
          <w:b/>
          <w:bCs/>
          <w:color w:val="000000"/>
          <w:sz w:val="24"/>
          <w:szCs w:val="24"/>
        </w:rPr>
        <w:t>RESULTS AND DISCUSSION</w:t>
      </w:r>
      <w:bookmarkEnd w:id="101"/>
      <w:bookmarkEnd w:id="102"/>
      <w:bookmarkEnd w:id="103"/>
      <w:bookmarkEnd w:id="104"/>
    </w:p>
    <w:bookmarkStart w:id="105" w:name="_Toc172658986"/>
    <w:bookmarkStart w:id="106" w:name="_Toc173633225"/>
    <w:bookmarkStart w:id="107" w:name="_Toc173975032"/>
    <w:bookmarkStart w:id="108" w:name="_Toc178076734"/>
    <w:p>
      <w:pPr>
        <w:pStyle w:val="style2"/>
        <w:tabs>
          <w:tab w:val="left" w:leader="none" w:pos="540"/>
          <w:tab w:val="left" w:leader="none" w:pos="3240"/>
        </w:tabs>
        <w:spacing w:before="200" w:lineRule="auto" w:line="480"/>
        <w:rPr>
          <w:rFonts w:ascii="Times New Roman" w:cs="Times New Roman" w:hAnsi="Times New Roman"/>
          <w:b/>
          <w:color w:val="000000"/>
          <w:sz w:val="24"/>
          <w:szCs w:val="24"/>
        </w:rPr>
      </w:pPr>
      <w:r>
        <w:rPr>
          <w:rFonts w:ascii="Times New Roman" w:cs="Times New Roman" w:hAnsi="Times New Roman"/>
          <w:b/>
          <w:color w:val="000000"/>
          <w:sz w:val="24"/>
          <w:szCs w:val="24"/>
        </w:rPr>
        <w:t>4.1 Demographic information of Respondents</w:t>
      </w:r>
      <w:bookmarkEnd w:id="105"/>
      <w:bookmarkEnd w:id="106"/>
      <w:bookmarkEnd w:id="107"/>
      <w:bookmarkEnd w:id="108"/>
    </w:p>
    <w:p>
      <w:pPr>
        <w:pStyle w:val="style0"/>
        <w:spacing w:lineRule="auto" w:line="480"/>
        <w:rPr>
          <w:b/>
          <w:bCs/>
          <w:color w:val="000000"/>
        </w:rPr>
      </w:pPr>
      <w:r>
        <w:rPr>
          <w:b/>
          <w:bCs/>
          <w:color w:val="000000"/>
        </w:rPr>
        <w:t>4.1.1 Sex of the Respondent</w:t>
      </w:r>
    </w:p>
    <w:p>
      <w:pPr>
        <w:pStyle w:val="style0"/>
        <w:spacing w:lineRule="auto" w:line="480"/>
        <w:rPr>
          <w:color w:val="000000"/>
        </w:rPr>
      </w:pPr>
      <w:r>
        <w:rPr>
          <w:color w:val="000000"/>
        </w:rPr>
        <w:t>The analysis of the respondents’ sex distribution reveals a nearly even split between male and female participants. Specifically, out of the total respondents, 51 individuals identified as male, constituting 51.5% of the sample population</w:t>
      </w:r>
      <w:r>
        <w:rPr>
          <w:color w:val="000000"/>
        </w:rPr>
        <w:t xml:space="preserve"> (Table </w:t>
      </w:r>
      <w:r>
        <w:rPr>
          <w:color w:val="000000"/>
        </w:rPr>
        <w:t>2</w:t>
      </w:r>
      <w:r>
        <w:rPr>
          <w:color w:val="000000"/>
        </w:rPr>
        <w:t>)</w:t>
      </w:r>
      <w:r>
        <w:rPr>
          <w:color w:val="000000"/>
        </w:rPr>
        <w:t>. Meanwhile, 48 respondents identified as female, making up 48.5% of the participants. This balanced representation ensures that the perspectives and experiences of both sexes are well captured in the study, contributing to the generalizability and robustness of the findings.</w:t>
      </w:r>
    </w:p>
    <w:p>
      <w:pPr>
        <w:pStyle w:val="style0"/>
        <w:spacing w:lineRule="auto" w:line="480"/>
        <w:rPr>
          <w:b/>
          <w:bCs/>
          <w:color w:val="000000"/>
        </w:rPr>
      </w:pPr>
      <w:r>
        <w:rPr>
          <w:b/>
          <w:bCs/>
          <w:color w:val="000000"/>
        </w:rPr>
        <w:t>4.1.2 Age Group</w:t>
      </w:r>
    </w:p>
    <w:p>
      <w:pPr>
        <w:pStyle w:val="style0"/>
        <w:spacing w:lineRule="auto" w:line="480"/>
        <w:rPr>
          <w:color w:val="000000"/>
        </w:rPr>
      </w:pPr>
      <w:r>
        <w:rPr>
          <w:color w:val="000000"/>
        </w:rPr>
        <w:t>The age distribution of the respondents indicates a diverse representation across various age brackets. The largest group of participants, 31 individuals, are aged 51 years and above, comprising 31.3% of the sample. The second largest age group includes 28 respondents aged between 41 and 50 years, representing 28.3% of the sample. Respondents aged 31 to 40 years account for 24.2% of the participants, with 24 individuals. Finally, the youngest age group, 21 to 30 years, includes 16 respondents, making up 16.2% of the sample</w:t>
      </w:r>
      <w:r>
        <w:rPr>
          <w:color w:val="000000"/>
        </w:rPr>
        <w:t xml:space="preserve"> (Table </w:t>
      </w:r>
      <w:r>
        <w:rPr>
          <w:color w:val="000000"/>
        </w:rPr>
        <w:t>2</w:t>
      </w:r>
      <w:r>
        <w:rPr>
          <w:color w:val="000000"/>
        </w:rPr>
        <w:t>)</w:t>
      </w:r>
      <w:r>
        <w:rPr>
          <w:color w:val="000000"/>
        </w:rPr>
        <w:t xml:space="preserve">. This varied age distribution </w:t>
      </w:r>
      <w:r>
        <w:rPr>
          <w:color w:val="000000"/>
        </w:rPr>
        <w:t>provides a comprehensive understanding of different age perspectives and their potential impact on the research topic.</w:t>
      </w:r>
    </w:p>
    <w:p>
      <w:pPr>
        <w:pStyle w:val="style0"/>
        <w:spacing w:lineRule="auto" w:line="480"/>
        <w:rPr>
          <w:b/>
          <w:bCs/>
          <w:color w:val="000000"/>
        </w:rPr>
      </w:pPr>
      <w:r>
        <w:rPr>
          <w:b/>
          <w:bCs/>
          <w:color w:val="000000"/>
        </w:rPr>
        <w:t>4.1.3 Marital Status of the Respondent</w:t>
      </w:r>
    </w:p>
    <w:p>
      <w:pPr>
        <w:pStyle w:val="style0"/>
        <w:spacing w:lineRule="auto" w:line="480"/>
        <w:rPr>
          <w:color w:val="000000"/>
        </w:rPr>
      </w:pPr>
      <w:r>
        <w:rPr>
          <w:color w:val="000000"/>
        </w:rPr>
        <w:t>The marital status analysis shows a predominant majority of married respondents. Out of the total sample, 89 participants, or 89.9%, reported being married. In contrast, the single respondents are the least represented, with only 1 individual, accounting for 1.0% of the sample. Additionally, there are 9 widowed respondents, making up 9.1% of the sample</w:t>
      </w:r>
      <w:r>
        <w:rPr>
          <w:color w:val="000000"/>
        </w:rPr>
        <w:t xml:space="preserve"> (Ta</w:t>
      </w:r>
      <w:r>
        <w:rPr>
          <w:color w:val="000000"/>
        </w:rPr>
        <w:t>bl</w:t>
      </w:r>
      <w:r>
        <w:rPr>
          <w:color w:val="000000"/>
        </w:rPr>
        <w:t>e 2)</w:t>
      </w:r>
      <w:r>
        <w:rPr>
          <w:color w:val="000000"/>
        </w:rPr>
        <w:t>. This distribution highlights the predominance of married individuals in the study, which may influence certain aspects of the research findings, particularly those related to family dynamics and social support systems.</w:t>
      </w:r>
    </w:p>
    <w:p>
      <w:pPr>
        <w:pStyle w:val="style0"/>
        <w:spacing w:lineRule="auto" w:line="480"/>
        <w:rPr>
          <w:b/>
          <w:bCs/>
          <w:color w:val="000000"/>
        </w:rPr>
      </w:pPr>
      <w:r>
        <w:rPr>
          <w:b/>
          <w:bCs/>
          <w:color w:val="000000"/>
        </w:rPr>
        <w:t>4.1.4 Education Level of Respondent</w:t>
      </w:r>
    </w:p>
    <w:p>
      <w:pPr>
        <w:pStyle w:val="style0"/>
        <w:spacing w:lineRule="auto" w:line="480"/>
        <w:rPr>
          <w:color w:val="000000"/>
        </w:rPr>
      </w:pPr>
      <w:r>
        <w:rPr>
          <w:color w:val="000000"/>
        </w:rPr>
        <w:t>The educational background of the respondents is largely dominated by those with primary education. A total of 84 respondents, or 84.8%, have completed primary education. This is followed by 12 individuals, or 12.1%, who have attained secondary education. Notably, only a small fraction of the respondents, 2 individuals (2.0%), reported having no formal education, while 1 respondent (1.0%) has pursued postgraduate studies</w:t>
      </w:r>
      <w:r>
        <w:rPr>
          <w:color w:val="000000"/>
        </w:rPr>
        <w:t xml:space="preserve"> (Table 2)</w:t>
      </w:r>
      <w:r>
        <w:rPr>
          <w:color w:val="000000"/>
        </w:rPr>
        <w:t>. This distribution underscores the prevalence of primary education among the participants, which may reflect broader educational trends within the study area and could impact the interpretation of the study’s findings.</w:t>
      </w:r>
    </w:p>
    <w:p>
      <w:pPr>
        <w:pStyle w:val="style0"/>
        <w:spacing w:lineRule="auto" w:line="480"/>
        <w:rPr>
          <w:color w:val="000000"/>
        </w:rPr>
      </w:pPr>
    </w:p>
    <w:p>
      <w:pPr>
        <w:pStyle w:val="style0"/>
        <w:spacing w:lineRule="auto" w:line="480"/>
        <w:rPr>
          <w:b/>
          <w:bCs/>
          <w:color w:val="000000"/>
        </w:rPr>
      </w:pPr>
      <w:r>
        <w:rPr>
          <w:b/>
          <w:bCs/>
          <w:color w:val="000000"/>
        </w:rPr>
        <w:t>4.1.5 Residency Years</w:t>
      </w:r>
    </w:p>
    <w:p>
      <w:pPr>
        <w:pStyle w:val="style0"/>
        <w:spacing w:lineRule="auto" w:line="480"/>
        <w:rPr>
          <w:color w:val="000000"/>
        </w:rPr>
      </w:pPr>
      <w:r>
        <w:rPr>
          <w:color w:val="000000"/>
        </w:rPr>
        <w:t>The analysis of respondents’ residency years in their current location reveals a significant portion with long-term residence. The largest group, consisting of 28 respondents, or 28.3%, have lived in their current location for over 51 years. This is followed by 24 individuals (24.2%) who have resided there for 41 to 50 years, and 18 respondents (18.2%) with 31 to 40 years of residency. Additionally, 15 participants (15.2%) reported living in their location for 21 to 30 years. On the shorter end of the spectrum, 10 respondents (10.1%) have lived there for 1 to 10 years, while 4 individuals (4.0%) have been residents for 11 to 20 years</w:t>
      </w:r>
      <w:r>
        <w:rPr>
          <w:color w:val="000000"/>
        </w:rPr>
        <w:t xml:space="preserve"> (Table 2)</w:t>
      </w:r>
      <w:r>
        <w:rPr>
          <w:color w:val="000000"/>
        </w:rPr>
        <w:t>. This distribution highlights a strong presence of long-term residents, suggesting a potentially deep-rooted familiarity and connection with the community, which may influence the respondents’ perspectives and experiences as captured in the research.</w:t>
      </w:r>
    </w:p>
    <w:p>
      <w:pPr>
        <w:pStyle w:val="style0"/>
        <w:spacing w:lineRule="auto" w:line="480"/>
        <w:rPr>
          <w:color w:val="000000"/>
        </w:rPr>
      </w:pPr>
    </w:p>
    <w:p>
      <w:pPr>
        <w:pStyle w:val="style0"/>
        <w:spacing w:lineRule="auto" w:line="480"/>
        <w:rPr>
          <w:color w:val="000000"/>
        </w:rPr>
      </w:pPr>
    </w:p>
    <w:p>
      <w:pPr>
        <w:pStyle w:val="style0"/>
        <w:spacing w:lineRule="auto" w:line="480"/>
        <w:rPr>
          <w:color w:val="000000"/>
        </w:rPr>
      </w:pPr>
    </w:p>
    <w:p>
      <w:pPr>
        <w:pStyle w:val="style0"/>
        <w:spacing w:lineRule="auto" w:line="480"/>
        <w:rPr>
          <w:color w:val="000000"/>
        </w:rPr>
      </w:pPr>
    </w:p>
    <w:p>
      <w:pPr>
        <w:pStyle w:val="style0"/>
        <w:spacing w:lineRule="auto" w:line="480"/>
        <w:rPr>
          <w:color w:val="000000"/>
        </w:rPr>
      </w:pPr>
    </w:p>
    <w:p>
      <w:pPr>
        <w:pStyle w:val="style0"/>
        <w:spacing w:lineRule="auto" w:line="480"/>
        <w:rPr>
          <w:color w:val="000000"/>
        </w:rPr>
      </w:pPr>
    </w:p>
    <w:p>
      <w:pPr>
        <w:pStyle w:val="style0"/>
        <w:spacing w:lineRule="auto" w:line="480"/>
        <w:rPr>
          <w:color w:val="000000"/>
        </w:rPr>
      </w:pPr>
    </w:p>
    <w:bookmarkStart w:id="109" w:name="_Toc177668537"/>
    <w:p>
      <w:pPr>
        <w:pStyle w:val="style157"/>
        <w:rPr>
          <w:i/>
          <w:iCs/>
        </w:rPr>
      </w:pPr>
      <w:r>
        <w:t xml:space="preserve">Table </w:t>
      </w:r>
      <w:r>
        <w:rPr/>
        <w:fldChar w:fldCharType="begin"/>
      </w:r>
      <w:r>
        <w:instrText xml:space="preserve"> SEQ Ta</w:instrText>
      </w:r>
      <w:r>
        <w:instrText xml:space="preserve">ble \* ARABIC </w:instrText>
      </w:r>
      <w:r>
        <w:rPr/>
        <w:fldChar w:fldCharType="separate"/>
      </w:r>
      <w:r>
        <w:rPr>
          <w:noProof/>
        </w:rPr>
        <w:t>2</w:t>
      </w:r>
      <w:r>
        <w:rPr>
          <w:noProof/>
        </w:rPr>
        <w:fldChar w:fldCharType="end"/>
      </w:r>
      <w:r>
        <w:t>: Demographic information of the respondents</w:t>
      </w:r>
      <w:bookmarkEnd w:id="109"/>
    </w:p>
    <w:tbl>
      <w:tblPr>
        <w:tblW w:w="8105" w:type="dxa"/>
        <w:tblLayout w:type="fixed"/>
        <w:tblCellMar>
          <w:left w:w="0" w:type="dxa"/>
          <w:right w:w="0" w:type="dxa"/>
        </w:tblCellMar>
        <w:tblLook w:val="0000" w:firstRow="0" w:lastRow="0" w:firstColumn="0" w:lastColumn="0" w:noHBand="0" w:noVBand="0"/>
      </w:tblPr>
      <w:tblGrid>
        <w:gridCol w:w="4820"/>
        <w:gridCol w:w="1300"/>
        <w:gridCol w:w="1924"/>
        <w:gridCol w:w="61"/>
      </w:tblGrid>
      <w:tr>
        <w:trPr>
          <w:gridAfter w:val="1"/>
          <w:wAfter w:w="61" w:type="dxa"/>
          <w:cantSplit/>
          <w:trHeight w:val="286" w:hRule="atLeast"/>
        </w:trPr>
        <w:tc>
          <w:tcPr>
            <w:tcW w:w="4820" w:type="dxa"/>
            <w:tcBorders>
              <w:top w:val="single" w:sz="18" w:space="0" w:color="auto"/>
              <w:bottom w:val="single" w:sz="12" w:space="0" w:color="auto"/>
            </w:tcBorders>
            <w:shd w:val="clear" w:color="auto" w:fill="auto"/>
            <w:vAlign w:val="bottom"/>
          </w:tcPr>
          <w:p>
            <w:pPr>
              <w:pStyle w:val="style0"/>
              <w:spacing w:before="0" w:beforeAutospacing="false" w:after="0" w:afterAutospacing="false" w:lineRule="auto" w:line="240"/>
              <w:rPr>
                <w:color w:val="000000"/>
              </w:rPr>
            </w:pPr>
          </w:p>
        </w:tc>
        <w:tc>
          <w:tcPr>
            <w:tcW w:w="1300" w:type="dxa"/>
            <w:tcBorders>
              <w:top w:val="single" w:sz="18" w:space="0" w:color="auto"/>
              <w:bottom w:val="single" w:sz="12" w:space="0" w:color="auto"/>
            </w:tcBorders>
            <w:shd w:val="clear" w:color="auto" w:fill="auto"/>
            <w:vAlign w:val="bottom"/>
          </w:tcPr>
          <w:p>
            <w:pPr>
              <w:pStyle w:val="style0"/>
              <w:spacing w:before="0" w:beforeAutospacing="false" w:after="0" w:afterAutospacing="false" w:lineRule="auto" w:line="240"/>
              <w:rPr>
                <w:color w:val="000000"/>
              </w:rPr>
            </w:pPr>
            <w:r>
              <w:rPr>
                <w:color w:val="000000"/>
              </w:rPr>
              <w:t>Frequency</w:t>
            </w:r>
          </w:p>
        </w:tc>
        <w:tc>
          <w:tcPr>
            <w:tcW w:w="1924" w:type="dxa"/>
            <w:tcBorders>
              <w:top w:val="single" w:sz="18" w:space="0" w:color="auto"/>
              <w:bottom w:val="single" w:sz="12" w:space="0" w:color="auto"/>
            </w:tcBorders>
            <w:shd w:val="clear" w:color="auto" w:fill="auto"/>
            <w:vAlign w:val="bottom"/>
          </w:tcPr>
          <w:p>
            <w:pPr>
              <w:pStyle w:val="style0"/>
              <w:spacing w:before="0" w:beforeAutospacing="false" w:after="0" w:afterAutospacing="false" w:lineRule="auto" w:line="240"/>
              <w:rPr>
                <w:color w:val="000000"/>
              </w:rPr>
            </w:pPr>
            <w:r>
              <w:rPr>
                <w:color w:val="000000"/>
              </w:rPr>
              <w:t>Percentage (%)</w:t>
            </w:r>
          </w:p>
        </w:tc>
      </w:tr>
      <w:tr>
        <w:tblPrEx/>
        <w:trPr>
          <w:gridAfter w:val="1"/>
          <w:wAfter w:w="61" w:type="dxa"/>
          <w:cantSplit/>
          <w:trHeight w:val="286" w:hRule="atLeast"/>
        </w:trPr>
        <w:tc>
          <w:tcPr>
            <w:tcW w:w="4820" w:type="dxa"/>
            <w:tcBorders>
              <w:top w:val="single" w:sz="12" w:space="0" w:color="auto"/>
            </w:tcBorders>
            <w:shd w:val="clear" w:color="auto" w:fill="auto"/>
            <w:vAlign w:val="bottom"/>
          </w:tcPr>
          <w:p>
            <w:pPr>
              <w:pStyle w:val="style0"/>
              <w:spacing w:before="0" w:beforeAutospacing="false" w:after="0" w:afterAutospacing="false" w:lineRule="auto" w:line="240"/>
              <w:rPr>
                <w:b/>
                <w:bCs/>
                <w:color w:val="000000"/>
              </w:rPr>
            </w:pPr>
            <w:r>
              <w:rPr>
                <w:b/>
                <w:bCs/>
                <w:color w:val="000000"/>
              </w:rPr>
              <w:t xml:space="preserve">Sex </w:t>
            </w:r>
          </w:p>
        </w:tc>
        <w:tc>
          <w:tcPr>
            <w:tcW w:w="1300" w:type="dxa"/>
            <w:tcBorders>
              <w:top w:val="single" w:sz="12" w:space="0" w:color="auto"/>
            </w:tcBorders>
            <w:shd w:val="clear" w:color="auto" w:fill="auto"/>
            <w:vAlign w:val="bottom"/>
          </w:tcPr>
          <w:p>
            <w:pPr>
              <w:pStyle w:val="style0"/>
              <w:spacing w:before="0" w:beforeAutospacing="false" w:after="0" w:afterAutospacing="false" w:lineRule="auto" w:line="240"/>
              <w:rPr>
                <w:color w:val="000000"/>
              </w:rPr>
            </w:pPr>
          </w:p>
        </w:tc>
        <w:tc>
          <w:tcPr>
            <w:tcW w:w="1924" w:type="dxa"/>
            <w:tcBorders>
              <w:top w:val="single" w:sz="12" w:space="0" w:color="auto"/>
            </w:tcBorders>
            <w:shd w:val="clear" w:color="auto" w:fill="auto"/>
            <w:vAlign w:val="bottom"/>
          </w:tcPr>
          <w:p>
            <w:pPr>
              <w:pStyle w:val="style0"/>
              <w:spacing w:before="0" w:beforeAutospacing="false" w:after="0" w:afterAutospacing="false" w:lineRule="auto" w:line="240"/>
              <w:rPr>
                <w:color w:val="000000"/>
              </w:rPr>
            </w:pPr>
          </w:p>
        </w:tc>
      </w:tr>
      <w:tr>
        <w:tblPrEx/>
        <w:trPr>
          <w:gridAfter w:val="1"/>
          <w:wAfter w:w="61" w:type="dxa"/>
          <w:cantSplit/>
          <w:trHeight w:val="286" w:hRule="atLeast"/>
        </w:trPr>
        <w:tc>
          <w:tcPr>
            <w:tcW w:w="4820" w:type="dxa"/>
            <w:tcBorders/>
            <w:shd w:val="clear" w:color="auto" w:fill="auto"/>
          </w:tcPr>
          <w:p>
            <w:pPr>
              <w:pStyle w:val="style0"/>
              <w:spacing w:before="0" w:beforeAutospacing="false" w:after="0" w:afterAutospacing="false" w:lineRule="auto" w:line="240"/>
              <w:rPr>
                <w:color w:val="000000"/>
              </w:rPr>
            </w:pPr>
            <w:r>
              <w:rPr>
                <w:color w:val="000000"/>
              </w:rPr>
              <w:t>Female</w:t>
            </w:r>
          </w:p>
        </w:tc>
        <w:tc>
          <w:tcPr>
            <w:tcW w:w="1300" w:type="dxa"/>
            <w:tcBorders/>
            <w:shd w:val="clear" w:color="auto" w:fill="auto"/>
          </w:tcPr>
          <w:p>
            <w:pPr>
              <w:pStyle w:val="style0"/>
              <w:spacing w:before="0" w:beforeAutospacing="false" w:after="0" w:afterAutospacing="false" w:lineRule="auto" w:line="240"/>
              <w:rPr>
                <w:color w:val="000000"/>
              </w:rPr>
            </w:pPr>
            <w:r>
              <w:rPr>
                <w:color w:val="000000"/>
              </w:rPr>
              <w:t>48</w:t>
            </w:r>
          </w:p>
        </w:tc>
        <w:tc>
          <w:tcPr>
            <w:tcW w:w="1924" w:type="dxa"/>
            <w:tcBorders/>
            <w:shd w:val="clear" w:color="auto" w:fill="auto"/>
          </w:tcPr>
          <w:p>
            <w:pPr>
              <w:pStyle w:val="style0"/>
              <w:spacing w:before="0" w:beforeAutospacing="false" w:after="0" w:afterAutospacing="false" w:lineRule="auto" w:line="240"/>
              <w:rPr>
                <w:color w:val="000000"/>
              </w:rPr>
            </w:pPr>
            <w:r>
              <w:rPr>
                <w:color w:val="000000"/>
              </w:rPr>
              <w:t>48.5</w:t>
            </w:r>
          </w:p>
        </w:tc>
      </w:tr>
      <w:tr>
        <w:tblPrEx/>
        <w:trPr>
          <w:gridAfter w:val="1"/>
          <w:wAfter w:w="61" w:type="dxa"/>
          <w:cantSplit/>
          <w:trHeight w:val="286" w:hRule="atLeast"/>
        </w:trPr>
        <w:tc>
          <w:tcPr>
            <w:tcW w:w="4820" w:type="dxa"/>
            <w:tcBorders/>
            <w:shd w:val="clear" w:color="auto" w:fill="auto"/>
          </w:tcPr>
          <w:p>
            <w:pPr>
              <w:pStyle w:val="style0"/>
              <w:spacing w:before="0" w:beforeAutospacing="false" w:after="0" w:afterAutospacing="false" w:lineRule="auto" w:line="240"/>
              <w:rPr>
                <w:color w:val="000000"/>
              </w:rPr>
            </w:pPr>
            <w:r>
              <w:rPr>
                <w:color w:val="000000"/>
              </w:rPr>
              <w:t>Male</w:t>
            </w:r>
          </w:p>
        </w:tc>
        <w:tc>
          <w:tcPr>
            <w:tcW w:w="1300" w:type="dxa"/>
            <w:tcBorders/>
            <w:shd w:val="clear" w:color="auto" w:fill="auto"/>
          </w:tcPr>
          <w:p>
            <w:pPr>
              <w:pStyle w:val="style0"/>
              <w:spacing w:before="0" w:beforeAutospacing="false" w:after="0" w:afterAutospacing="false" w:lineRule="auto" w:line="240"/>
              <w:rPr>
                <w:color w:val="000000"/>
              </w:rPr>
            </w:pPr>
            <w:r>
              <w:rPr>
                <w:color w:val="000000"/>
              </w:rPr>
              <w:t>51</w:t>
            </w:r>
          </w:p>
        </w:tc>
        <w:tc>
          <w:tcPr>
            <w:tcW w:w="1924" w:type="dxa"/>
            <w:tcBorders/>
            <w:shd w:val="clear" w:color="auto" w:fill="auto"/>
          </w:tcPr>
          <w:p>
            <w:pPr>
              <w:pStyle w:val="style0"/>
              <w:spacing w:before="0" w:beforeAutospacing="false" w:after="0" w:afterAutospacing="false" w:lineRule="auto" w:line="240"/>
              <w:rPr>
                <w:color w:val="000000"/>
              </w:rPr>
            </w:pPr>
            <w:r>
              <w:rPr>
                <w:color w:val="000000"/>
              </w:rPr>
              <w:t>51.5</w:t>
            </w:r>
          </w:p>
        </w:tc>
      </w:tr>
      <w:tr>
        <w:tblPrEx/>
        <w:trPr>
          <w:gridAfter w:val="1"/>
          <w:wAfter w:w="61" w:type="dxa"/>
          <w:cantSplit/>
          <w:trHeight w:val="286" w:hRule="atLeast"/>
        </w:trPr>
        <w:tc>
          <w:tcPr>
            <w:tcW w:w="4820" w:type="dxa"/>
            <w:tcBorders/>
            <w:shd w:val="clear" w:color="auto" w:fill="auto"/>
          </w:tcPr>
          <w:p>
            <w:pPr>
              <w:pStyle w:val="style0"/>
              <w:spacing w:before="0" w:beforeAutospacing="false" w:after="0" w:afterAutospacing="false" w:lineRule="auto" w:line="240"/>
              <w:rPr>
                <w:color w:val="000000"/>
              </w:rPr>
            </w:pPr>
            <w:r>
              <w:rPr>
                <w:color w:val="000000"/>
              </w:rPr>
              <w:t>Total</w:t>
            </w:r>
          </w:p>
        </w:tc>
        <w:tc>
          <w:tcPr>
            <w:tcW w:w="1300" w:type="dxa"/>
            <w:tcBorders/>
            <w:shd w:val="clear" w:color="auto" w:fill="auto"/>
          </w:tcPr>
          <w:p>
            <w:pPr>
              <w:pStyle w:val="style0"/>
              <w:spacing w:before="0" w:beforeAutospacing="false" w:after="0" w:afterAutospacing="false" w:lineRule="auto" w:line="240"/>
              <w:rPr>
                <w:color w:val="000000"/>
              </w:rPr>
            </w:pPr>
            <w:r>
              <w:rPr>
                <w:color w:val="000000"/>
              </w:rPr>
              <w:t>99</w:t>
            </w:r>
          </w:p>
        </w:tc>
        <w:tc>
          <w:tcPr>
            <w:tcW w:w="1924" w:type="dxa"/>
            <w:tcBorders/>
            <w:shd w:val="clear" w:color="auto" w:fill="auto"/>
          </w:tcPr>
          <w:p>
            <w:pPr>
              <w:pStyle w:val="style0"/>
              <w:spacing w:before="0" w:beforeAutospacing="false" w:after="0" w:afterAutospacing="false" w:lineRule="auto" w:line="240"/>
              <w:rPr>
                <w:color w:val="000000"/>
              </w:rPr>
            </w:pPr>
            <w:r>
              <w:rPr>
                <w:color w:val="000000"/>
              </w:rPr>
              <w:t>100</w:t>
            </w:r>
          </w:p>
        </w:tc>
      </w:tr>
      <w:tr>
        <w:tblPrEx/>
        <w:trPr>
          <w:cantSplit/>
          <w:trHeight w:val="186" w:hRule="atLeast"/>
        </w:trPr>
        <w:tc>
          <w:tcPr>
            <w:tcW w:w="8105" w:type="dxa"/>
            <w:gridSpan w:val="4"/>
            <w:tcBorders/>
            <w:shd w:val="clear" w:color="auto" w:fill="auto"/>
            <w:vAlign w:val="center"/>
          </w:tcPr>
          <w:p>
            <w:pPr>
              <w:pStyle w:val="style0"/>
              <w:spacing w:before="0" w:beforeAutospacing="false" w:after="0" w:afterAutospacing="false" w:lineRule="auto" w:line="240"/>
              <w:rPr>
                <w:b/>
                <w:bCs/>
                <w:color w:val="000000"/>
              </w:rPr>
            </w:pPr>
            <w:r>
              <w:rPr>
                <w:b/>
                <w:bCs/>
                <w:color w:val="000000"/>
              </w:rPr>
              <w:t>age group of the respondents</w:t>
            </w:r>
          </w:p>
        </w:tc>
      </w:tr>
      <w:tr>
        <w:tblPrEx/>
        <w:trPr>
          <w:cantSplit/>
          <w:trHeight w:val="186" w:hRule="atLeast"/>
        </w:trPr>
        <w:tc>
          <w:tcPr>
            <w:tcW w:w="4820" w:type="dxa"/>
            <w:tcBorders/>
            <w:shd w:val="clear" w:color="auto" w:fill="auto"/>
          </w:tcPr>
          <w:p>
            <w:pPr>
              <w:pStyle w:val="style0"/>
              <w:spacing w:before="0" w:beforeAutospacing="false" w:after="0" w:afterAutospacing="false" w:lineRule="auto" w:line="240"/>
              <w:rPr>
                <w:color w:val="000000"/>
              </w:rPr>
            </w:pPr>
            <w:r>
              <w:rPr>
                <w:color w:val="000000"/>
              </w:rPr>
              <w:t xml:space="preserve">21 </w:t>
            </w:r>
            <w:r>
              <w:rPr>
                <w:color w:val="000000"/>
              </w:rPr>
              <w:t>–</w:t>
            </w:r>
            <w:r>
              <w:rPr>
                <w:color w:val="000000"/>
              </w:rPr>
              <w:t xml:space="preserve"> 30</w:t>
            </w:r>
          </w:p>
        </w:tc>
        <w:tc>
          <w:tcPr>
            <w:tcW w:w="1300" w:type="dxa"/>
            <w:tcBorders/>
            <w:shd w:val="clear" w:color="auto" w:fill="auto"/>
          </w:tcPr>
          <w:p>
            <w:pPr>
              <w:pStyle w:val="style0"/>
              <w:spacing w:before="0" w:beforeAutospacing="false" w:after="0" w:afterAutospacing="false" w:lineRule="auto" w:line="240"/>
              <w:rPr>
                <w:color w:val="000000"/>
              </w:rPr>
            </w:pPr>
            <w:r>
              <w:rPr>
                <w:color w:val="000000"/>
              </w:rPr>
              <w:t>16</w:t>
            </w:r>
          </w:p>
        </w:tc>
        <w:tc>
          <w:tcPr>
            <w:tcW w:w="1985" w:type="dxa"/>
            <w:gridSpan w:val="2"/>
            <w:tcBorders/>
            <w:shd w:val="clear" w:color="auto" w:fill="auto"/>
          </w:tcPr>
          <w:p>
            <w:pPr>
              <w:pStyle w:val="style0"/>
              <w:spacing w:before="0" w:beforeAutospacing="false" w:after="0" w:afterAutospacing="false" w:lineRule="auto" w:line="240"/>
              <w:rPr>
                <w:color w:val="000000"/>
              </w:rPr>
            </w:pPr>
            <w:r>
              <w:rPr>
                <w:color w:val="000000"/>
              </w:rPr>
              <w:t>16.2</w:t>
            </w:r>
          </w:p>
        </w:tc>
      </w:tr>
      <w:tr>
        <w:tblPrEx/>
        <w:trPr>
          <w:cantSplit/>
          <w:trHeight w:val="186" w:hRule="atLeast"/>
        </w:trPr>
        <w:tc>
          <w:tcPr>
            <w:tcW w:w="4820" w:type="dxa"/>
            <w:tcBorders/>
            <w:shd w:val="clear" w:color="auto" w:fill="auto"/>
          </w:tcPr>
          <w:p>
            <w:pPr>
              <w:pStyle w:val="style0"/>
              <w:spacing w:before="0" w:beforeAutospacing="false" w:after="0" w:afterAutospacing="false" w:lineRule="auto" w:line="240"/>
              <w:rPr>
                <w:color w:val="000000"/>
              </w:rPr>
            </w:pPr>
            <w:r>
              <w:rPr>
                <w:color w:val="000000"/>
              </w:rPr>
              <w:t xml:space="preserve">31 </w:t>
            </w:r>
            <w:r>
              <w:rPr>
                <w:color w:val="000000"/>
              </w:rPr>
              <w:t>–</w:t>
            </w:r>
            <w:r>
              <w:rPr>
                <w:color w:val="000000"/>
              </w:rPr>
              <w:t xml:space="preserve"> 40</w:t>
            </w:r>
          </w:p>
        </w:tc>
        <w:tc>
          <w:tcPr>
            <w:tcW w:w="1300" w:type="dxa"/>
            <w:tcBorders/>
            <w:shd w:val="clear" w:color="auto" w:fill="auto"/>
          </w:tcPr>
          <w:p>
            <w:pPr>
              <w:pStyle w:val="style0"/>
              <w:spacing w:before="0" w:beforeAutospacing="false" w:after="0" w:afterAutospacing="false" w:lineRule="auto" w:line="240"/>
              <w:rPr>
                <w:color w:val="000000"/>
              </w:rPr>
            </w:pPr>
            <w:r>
              <w:rPr>
                <w:color w:val="000000"/>
              </w:rPr>
              <w:t>24</w:t>
            </w:r>
          </w:p>
        </w:tc>
        <w:tc>
          <w:tcPr>
            <w:tcW w:w="1985" w:type="dxa"/>
            <w:gridSpan w:val="2"/>
            <w:tcBorders/>
            <w:shd w:val="clear" w:color="auto" w:fill="auto"/>
          </w:tcPr>
          <w:p>
            <w:pPr>
              <w:pStyle w:val="style0"/>
              <w:spacing w:before="0" w:beforeAutospacing="false" w:after="0" w:afterAutospacing="false" w:lineRule="auto" w:line="240"/>
              <w:rPr>
                <w:color w:val="000000"/>
              </w:rPr>
            </w:pPr>
            <w:r>
              <w:rPr>
                <w:color w:val="000000"/>
              </w:rPr>
              <w:t>24.2</w:t>
            </w:r>
          </w:p>
        </w:tc>
      </w:tr>
      <w:tr>
        <w:tblPrEx/>
        <w:trPr>
          <w:cantSplit/>
          <w:trHeight w:val="186" w:hRule="atLeast"/>
        </w:trPr>
        <w:tc>
          <w:tcPr>
            <w:tcW w:w="4820" w:type="dxa"/>
            <w:tcBorders/>
            <w:shd w:val="clear" w:color="auto" w:fill="auto"/>
          </w:tcPr>
          <w:p>
            <w:pPr>
              <w:pStyle w:val="style0"/>
              <w:spacing w:before="0" w:beforeAutospacing="false" w:after="0" w:afterAutospacing="false" w:lineRule="auto" w:line="240"/>
              <w:rPr>
                <w:color w:val="000000"/>
              </w:rPr>
            </w:pPr>
            <w:r>
              <w:rPr>
                <w:color w:val="000000"/>
              </w:rPr>
              <w:t xml:space="preserve">41 </w:t>
            </w:r>
            <w:r>
              <w:rPr>
                <w:color w:val="000000"/>
              </w:rPr>
              <w:t>–</w:t>
            </w:r>
            <w:r>
              <w:rPr>
                <w:color w:val="000000"/>
              </w:rPr>
              <w:t xml:space="preserve"> 50</w:t>
            </w:r>
          </w:p>
        </w:tc>
        <w:tc>
          <w:tcPr>
            <w:tcW w:w="1300" w:type="dxa"/>
            <w:tcBorders/>
            <w:shd w:val="clear" w:color="auto" w:fill="auto"/>
          </w:tcPr>
          <w:p>
            <w:pPr>
              <w:pStyle w:val="style0"/>
              <w:spacing w:before="0" w:beforeAutospacing="false" w:after="0" w:afterAutospacing="false" w:lineRule="auto" w:line="240"/>
              <w:rPr>
                <w:color w:val="000000"/>
              </w:rPr>
            </w:pPr>
            <w:r>
              <w:rPr>
                <w:color w:val="000000"/>
              </w:rPr>
              <w:t>28</w:t>
            </w:r>
          </w:p>
        </w:tc>
        <w:tc>
          <w:tcPr>
            <w:tcW w:w="1985" w:type="dxa"/>
            <w:gridSpan w:val="2"/>
            <w:tcBorders/>
            <w:shd w:val="clear" w:color="auto" w:fill="auto"/>
          </w:tcPr>
          <w:p>
            <w:pPr>
              <w:pStyle w:val="style0"/>
              <w:spacing w:before="0" w:beforeAutospacing="false" w:after="0" w:afterAutospacing="false" w:lineRule="auto" w:line="240"/>
              <w:rPr>
                <w:color w:val="000000"/>
              </w:rPr>
            </w:pPr>
            <w:r>
              <w:rPr>
                <w:color w:val="000000"/>
              </w:rPr>
              <w:t>28.3</w:t>
            </w:r>
          </w:p>
        </w:tc>
      </w:tr>
      <w:tr>
        <w:tblPrEx/>
        <w:trPr>
          <w:cantSplit/>
          <w:trHeight w:val="186" w:hRule="atLeast"/>
        </w:trPr>
        <w:tc>
          <w:tcPr>
            <w:tcW w:w="4820" w:type="dxa"/>
            <w:tcBorders/>
            <w:shd w:val="clear" w:color="auto" w:fill="auto"/>
          </w:tcPr>
          <w:p>
            <w:pPr>
              <w:pStyle w:val="style0"/>
              <w:spacing w:before="0" w:beforeAutospacing="false" w:after="0" w:afterAutospacing="false" w:lineRule="auto" w:line="240"/>
              <w:rPr>
                <w:color w:val="000000"/>
              </w:rPr>
            </w:pPr>
            <w:r>
              <w:rPr>
                <w:color w:val="000000"/>
              </w:rPr>
              <w:t>51 years and above</w:t>
            </w:r>
          </w:p>
        </w:tc>
        <w:tc>
          <w:tcPr>
            <w:tcW w:w="1300" w:type="dxa"/>
            <w:tcBorders/>
            <w:shd w:val="clear" w:color="auto" w:fill="auto"/>
          </w:tcPr>
          <w:p>
            <w:pPr>
              <w:pStyle w:val="style0"/>
              <w:spacing w:before="0" w:beforeAutospacing="false" w:after="0" w:afterAutospacing="false" w:lineRule="auto" w:line="240"/>
              <w:rPr>
                <w:color w:val="000000"/>
              </w:rPr>
            </w:pPr>
            <w:r>
              <w:rPr>
                <w:color w:val="000000"/>
              </w:rPr>
              <w:t>31</w:t>
            </w:r>
          </w:p>
        </w:tc>
        <w:tc>
          <w:tcPr>
            <w:tcW w:w="1985" w:type="dxa"/>
            <w:gridSpan w:val="2"/>
            <w:tcBorders/>
            <w:shd w:val="clear" w:color="auto" w:fill="auto"/>
          </w:tcPr>
          <w:p>
            <w:pPr>
              <w:pStyle w:val="style0"/>
              <w:spacing w:before="0" w:beforeAutospacing="false" w:after="0" w:afterAutospacing="false" w:lineRule="auto" w:line="240"/>
              <w:rPr>
                <w:color w:val="000000"/>
              </w:rPr>
            </w:pPr>
            <w:r>
              <w:rPr>
                <w:color w:val="000000"/>
              </w:rPr>
              <w:t>31.3</w:t>
            </w:r>
          </w:p>
        </w:tc>
      </w:tr>
      <w:tr>
        <w:tblPrEx/>
        <w:trPr>
          <w:cantSplit/>
          <w:trHeight w:val="186" w:hRule="atLeast"/>
        </w:trPr>
        <w:tc>
          <w:tcPr>
            <w:tcW w:w="4820" w:type="dxa"/>
            <w:tcBorders/>
            <w:shd w:val="clear" w:color="auto" w:fill="auto"/>
          </w:tcPr>
          <w:p>
            <w:pPr>
              <w:pStyle w:val="style0"/>
              <w:spacing w:before="0" w:beforeAutospacing="false" w:after="0" w:afterAutospacing="false" w:lineRule="auto" w:line="240"/>
              <w:rPr>
                <w:b/>
                <w:bCs/>
                <w:color w:val="000000"/>
              </w:rPr>
            </w:pPr>
            <w:r>
              <w:rPr>
                <w:b/>
                <w:bCs/>
                <w:color w:val="000000"/>
              </w:rPr>
              <w:t>Total</w:t>
            </w:r>
          </w:p>
        </w:tc>
        <w:tc>
          <w:tcPr>
            <w:tcW w:w="1300" w:type="dxa"/>
            <w:tcBorders/>
            <w:shd w:val="clear" w:color="auto" w:fill="auto"/>
          </w:tcPr>
          <w:p>
            <w:pPr>
              <w:pStyle w:val="style0"/>
              <w:spacing w:before="0" w:beforeAutospacing="false" w:after="0" w:afterAutospacing="false" w:lineRule="auto" w:line="240"/>
              <w:rPr>
                <w:b/>
                <w:bCs/>
                <w:color w:val="000000"/>
              </w:rPr>
            </w:pPr>
            <w:r>
              <w:rPr>
                <w:b/>
                <w:bCs/>
                <w:color w:val="000000"/>
              </w:rPr>
              <w:t>99</w:t>
            </w:r>
          </w:p>
        </w:tc>
        <w:tc>
          <w:tcPr>
            <w:tcW w:w="1985" w:type="dxa"/>
            <w:gridSpan w:val="2"/>
            <w:tcBorders/>
            <w:shd w:val="clear" w:color="auto" w:fill="auto"/>
          </w:tcPr>
          <w:p>
            <w:pPr>
              <w:pStyle w:val="style0"/>
              <w:spacing w:before="0" w:beforeAutospacing="false" w:after="0" w:afterAutospacing="false" w:lineRule="auto" w:line="240"/>
              <w:rPr>
                <w:b/>
                <w:bCs/>
                <w:color w:val="000000"/>
              </w:rPr>
            </w:pPr>
            <w:r>
              <w:rPr>
                <w:b/>
                <w:bCs/>
                <w:color w:val="000000"/>
              </w:rPr>
              <w:t>100</w:t>
            </w:r>
          </w:p>
        </w:tc>
      </w:tr>
      <w:tr>
        <w:tblPrEx/>
        <w:trPr>
          <w:gridAfter w:val="1"/>
          <w:wAfter w:w="61" w:type="dxa"/>
          <w:cantSplit/>
          <w:trHeight w:val="186" w:hRule="atLeast"/>
        </w:trPr>
        <w:tc>
          <w:tcPr>
            <w:tcW w:w="8044" w:type="dxa"/>
            <w:gridSpan w:val="3"/>
            <w:tcBorders/>
            <w:shd w:val="clear" w:color="auto" w:fill="auto"/>
            <w:vAlign w:val="center"/>
          </w:tcPr>
          <w:p>
            <w:pPr>
              <w:pStyle w:val="style0"/>
              <w:spacing w:before="0" w:beforeAutospacing="false" w:after="0" w:afterAutospacing="false" w:lineRule="auto" w:line="240"/>
              <w:rPr>
                <w:b/>
                <w:bCs/>
                <w:color w:val="000000"/>
              </w:rPr>
            </w:pPr>
            <w:r>
              <w:rPr>
                <w:b/>
                <w:bCs/>
                <w:color w:val="000000"/>
              </w:rPr>
              <w:t>Education level</w:t>
            </w:r>
          </w:p>
        </w:tc>
      </w:tr>
      <w:tr>
        <w:tblPrEx/>
        <w:trPr>
          <w:gridAfter w:val="1"/>
          <w:wAfter w:w="61" w:type="dxa"/>
          <w:cantSplit/>
          <w:trHeight w:val="186" w:hRule="atLeast"/>
        </w:trPr>
        <w:tc>
          <w:tcPr>
            <w:tcW w:w="4820" w:type="dxa"/>
            <w:tcBorders/>
            <w:shd w:val="clear" w:color="auto" w:fill="auto"/>
          </w:tcPr>
          <w:p>
            <w:pPr>
              <w:pStyle w:val="style0"/>
              <w:spacing w:before="0" w:beforeAutospacing="false" w:after="0" w:afterAutospacing="false" w:lineRule="auto" w:line="240"/>
              <w:rPr>
                <w:color w:val="000000"/>
              </w:rPr>
            </w:pPr>
            <w:r>
              <w:rPr>
                <w:color w:val="000000"/>
              </w:rPr>
              <w:t>No education at all</w:t>
            </w:r>
          </w:p>
        </w:tc>
        <w:tc>
          <w:tcPr>
            <w:tcW w:w="1300" w:type="dxa"/>
            <w:tcBorders/>
            <w:shd w:val="clear" w:color="auto" w:fill="auto"/>
          </w:tcPr>
          <w:p>
            <w:pPr>
              <w:pStyle w:val="style0"/>
              <w:spacing w:before="0" w:beforeAutospacing="false" w:after="0" w:afterAutospacing="false" w:lineRule="auto" w:line="240"/>
              <w:rPr>
                <w:color w:val="000000"/>
              </w:rPr>
            </w:pPr>
            <w:r>
              <w:rPr>
                <w:color w:val="000000"/>
              </w:rPr>
              <w:t>2</w:t>
            </w:r>
          </w:p>
        </w:tc>
        <w:tc>
          <w:tcPr>
            <w:tcW w:w="1924" w:type="dxa"/>
            <w:tcBorders/>
            <w:shd w:val="clear" w:color="auto" w:fill="auto"/>
          </w:tcPr>
          <w:p>
            <w:pPr>
              <w:pStyle w:val="style0"/>
              <w:spacing w:before="0" w:beforeAutospacing="false" w:after="0" w:afterAutospacing="false" w:lineRule="auto" w:line="240"/>
              <w:rPr>
                <w:color w:val="000000"/>
              </w:rPr>
            </w:pPr>
            <w:r>
              <w:rPr>
                <w:color w:val="000000"/>
              </w:rPr>
              <w:t>2.0</w:t>
            </w:r>
          </w:p>
        </w:tc>
      </w:tr>
      <w:tr>
        <w:tblPrEx/>
        <w:trPr>
          <w:gridAfter w:val="1"/>
          <w:wAfter w:w="61" w:type="dxa"/>
          <w:cantSplit/>
          <w:trHeight w:val="189" w:hRule="atLeast"/>
        </w:trPr>
        <w:tc>
          <w:tcPr>
            <w:tcW w:w="4820" w:type="dxa"/>
            <w:tcBorders/>
            <w:shd w:val="clear" w:color="auto" w:fill="auto"/>
          </w:tcPr>
          <w:p>
            <w:pPr>
              <w:pStyle w:val="style0"/>
              <w:spacing w:before="0" w:beforeAutospacing="false" w:after="0" w:afterAutospacing="false" w:lineRule="auto" w:line="240"/>
              <w:rPr>
                <w:color w:val="000000"/>
              </w:rPr>
            </w:pPr>
            <w:r>
              <w:rPr>
                <w:color w:val="000000"/>
              </w:rPr>
              <w:t>Postgraduate</w:t>
            </w:r>
          </w:p>
        </w:tc>
        <w:tc>
          <w:tcPr>
            <w:tcW w:w="1300" w:type="dxa"/>
            <w:tcBorders/>
            <w:shd w:val="clear" w:color="auto" w:fill="auto"/>
          </w:tcPr>
          <w:p>
            <w:pPr>
              <w:pStyle w:val="style0"/>
              <w:spacing w:before="0" w:beforeAutospacing="false" w:after="0" w:afterAutospacing="false" w:lineRule="auto" w:line="240"/>
              <w:rPr>
                <w:color w:val="000000"/>
              </w:rPr>
            </w:pPr>
            <w:r>
              <w:rPr>
                <w:color w:val="000000"/>
              </w:rPr>
              <w:t>1</w:t>
            </w:r>
          </w:p>
        </w:tc>
        <w:tc>
          <w:tcPr>
            <w:tcW w:w="1924" w:type="dxa"/>
            <w:tcBorders/>
            <w:shd w:val="clear" w:color="auto" w:fill="auto"/>
          </w:tcPr>
          <w:p>
            <w:pPr>
              <w:pStyle w:val="style0"/>
              <w:spacing w:before="0" w:beforeAutospacing="false" w:after="0" w:afterAutospacing="false" w:lineRule="auto" w:line="240"/>
              <w:rPr>
                <w:color w:val="000000"/>
              </w:rPr>
            </w:pPr>
            <w:r>
              <w:rPr>
                <w:color w:val="000000"/>
              </w:rPr>
              <w:t>1.0</w:t>
            </w:r>
          </w:p>
        </w:tc>
      </w:tr>
      <w:tr>
        <w:tblPrEx/>
        <w:trPr>
          <w:gridAfter w:val="1"/>
          <w:wAfter w:w="61" w:type="dxa"/>
          <w:cantSplit/>
          <w:trHeight w:val="323" w:hRule="atLeast"/>
        </w:trPr>
        <w:tc>
          <w:tcPr>
            <w:tcW w:w="4820" w:type="dxa"/>
            <w:tcBorders/>
            <w:shd w:val="clear" w:color="auto" w:fill="auto"/>
          </w:tcPr>
          <w:p>
            <w:pPr>
              <w:pStyle w:val="style0"/>
              <w:spacing w:before="0" w:beforeAutospacing="false" w:after="0" w:afterAutospacing="false" w:lineRule="auto" w:line="240"/>
              <w:rPr>
                <w:color w:val="000000"/>
              </w:rPr>
            </w:pPr>
            <w:r>
              <w:rPr>
                <w:color w:val="000000"/>
              </w:rPr>
              <w:t>Primary education</w:t>
            </w:r>
          </w:p>
        </w:tc>
        <w:tc>
          <w:tcPr>
            <w:tcW w:w="1300" w:type="dxa"/>
            <w:tcBorders/>
            <w:shd w:val="clear" w:color="auto" w:fill="auto"/>
          </w:tcPr>
          <w:p>
            <w:pPr>
              <w:pStyle w:val="style0"/>
              <w:spacing w:before="0" w:beforeAutospacing="false" w:after="0" w:afterAutospacing="false" w:lineRule="auto" w:line="240"/>
              <w:rPr>
                <w:color w:val="000000"/>
              </w:rPr>
            </w:pPr>
            <w:r>
              <w:rPr>
                <w:color w:val="000000"/>
              </w:rPr>
              <w:t>84</w:t>
            </w:r>
          </w:p>
        </w:tc>
        <w:tc>
          <w:tcPr>
            <w:tcW w:w="1924" w:type="dxa"/>
            <w:tcBorders/>
            <w:shd w:val="clear" w:color="auto" w:fill="auto"/>
          </w:tcPr>
          <w:p>
            <w:pPr>
              <w:pStyle w:val="style0"/>
              <w:spacing w:before="0" w:beforeAutospacing="false" w:after="0" w:afterAutospacing="false" w:lineRule="auto" w:line="240"/>
              <w:rPr>
                <w:color w:val="000000"/>
              </w:rPr>
            </w:pPr>
            <w:r>
              <w:rPr>
                <w:color w:val="000000"/>
              </w:rPr>
              <w:t>84.8</w:t>
            </w:r>
          </w:p>
        </w:tc>
      </w:tr>
      <w:tr>
        <w:tblPrEx/>
        <w:trPr>
          <w:gridAfter w:val="1"/>
          <w:wAfter w:w="61" w:type="dxa"/>
          <w:cantSplit/>
          <w:trHeight w:val="323" w:hRule="atLeast"/>
        </w:trPr>
        <w:tc>
          <w:tcPr>
            <w:tcW w:w="4820" w:type="dxa"/>
            <w:tcBorders/>
            <w:shd w:val="clear" w:color="auto" w:fill="auto"/>
          </w:tcPr>
          <w:p>
            <w:pPr>
              <w:pStyle w:val="style0"/>
              <w:spacing w:before="0" w:beforeAutospacing="false" w:after="0" w:afterAutospacing="false" w:lineRule="auto" w:line="240"/>
              <w:rPr>
                <w:color w:val="000000"/>
              </w:rPr>
            </w:pPr>
            <w:r>
              <w:rPr>
                <w:color w:val="000000"/>
              </w:rPr>
              <w:t>Secondary education</w:t>
            </w:r>
          </w:p>
        </w:tc>
        <w:tc>
          <w:tcPr>
            <w:tcW w:w="1300" w:type="dxa"/>
            <w:tcBorders/>
            <w:shd w:val="clear" w:color="auto" w:fill="auto"/>
          </w:tcPr>
          <w:p>
            <w:pPr>
              <w:pStyle w:val="style0"/>
              <w:spacing w:before="0" w:beforeAutospacing="false" w:after="0" w:afterAutospacing="false" w:lineRule="auto" w:line="240"/>
              <w:rPr>
                <w:color w:val="000000"/>
              </w:rPr>
            </w:pPr>
            <w:r>
              <w:rPr>
                <w:color w:val="000000"/>
              </w:rPr>
              <w:t>12</w:t>
            </w:r>
          </w:p>
        </w:tc>
        <w:tc>
          <w:tcPr>
            <w:tcW w:w="1924" w:type="dxa"/>
            <w:tcBorders/>
            <w:shd w:val="clear" w:color="auto" w:fill="auto"/>
          </w:tcPr>
          <w:p>
            <w:pPr>
              <w:pStyle w:val="style0"/>
              <w:spacing w:before="0" w:beforeAutospacing="false" w:after="0" w:afterAutospacing="false" w:lineRule="auto" w:line="240"/>
              <w:rPr>
                <w:color w:val="000000"/>
              </w:rPr>
            </w:pPr>
            <w:r>
              <w:rPr>
                <w:color w:val="000000"/>
              </w:rPr>
              <w:t>12.1</w:t>
            </w:r>
          </w:p>
        </w:tc>
      </w:tr>
      <w:tr>
        <w:tblPrEx/>
        <w:trPr>
          <w:gridAfter w:val="1"/>
          <w:wAfter w:w="61" w:type="dxa"/>
          <w:cantSplit/>
          <w:trHeight w:val="323" w:hRule="atLeast"/>
        </w:trPr>
        <w:tc>
          <w:tcPr>
            <w:tcW w:w="4820" w:type="dxa"/>
            <w:tcBorders/>
            <w:shd w:val="clear" w:color="auto" w:fill="auto"/>
          </w:tcPr>
          <w:p>
            <w:pPr>
              <w:pStyle w:val="style0"/>
              <w:spacing w:before="0" w:beforeAutospacing="false" w:after="0" w:afterAutospacing="false" w:lineRule="auto" w:line="240"/>
              <w:rPr>
                <w:b/>
                <w:bCs/>
                <w:color w:val="000000"/>
              </w:rPr>
            </w:pPr>
            <w:r>
              <w:rPr>
                <w:b/>
                <w:bCs/>
                <w:color w:val="000000"/>
              </w:rPr>
              <w:t>Total</w:t>
            </w:r>
          </w:p>
        </w:tc>
        <w:tc>
          <w:tcPr>
            <w:tcW w:w="1300" w:type="dxa"/>
            <w:tcBorders/>
            <w:shd w:val="clear" w:color="auto" w:fill="auto"/>
          </w:tcPr>
          <w:p>
            <w:pPr>
              <w:pStyle w:val="style0"/>
              <w:spacing w:before="0" w:beforeAutospacing="false" w:after="0" w:afterAutospacing="false" w:lineRule="auto" w:line="240"/>
              <w:rPr>
                <w:b/>
                <w:bCs/>
                <w:color w:val="000000"/>
              </w:rPr>
            </w:pPr>
            <w:r>
              <w:rPr>
                <w:b/>
                <w:bCs/>
                <w:color w:val="000000"/>
              </w:rPr>
              <w:t>99</w:t>
            </w:r>
          </w:p>
        </w:tc>
        <w:tc>
          <w:tcPr>
            <w:tcW w:w="1924" w:type="dxa"/>
            <w:tcBorders/>
            <w:shd w:val="clear" w:color="auto" w:fill="auto"/>
          </w:tcPr>
          <w:p>
            <w:pPr>
              <w:pStyle w:val="style0"/>
              <w:spacing w:before="0" w:beforeAutospacing="false" w:after="0" w:afterAutospacing="false" w:lineRule="auto" w:line="240"/>
              <w:rPr>
                <w:b/>
                <w:bCs/>
                <w:color w:val="000000"/>
              </w:rPr>
            </w:pPr>
            <w:r>
              <w:rPr>
                <w:b/>
                <w:bCs/>
                <w:color w:val="000000"/>
              </w:rPr>
              <w:t>100</w:t>
            </w:r>
          </w:p>
        </w:tc>
      </w:tr>
      <w:tr>
        <w:tblPrEx/>
        <w:trPr>
          <w:gridAfter w:val="1"/>
          <w:wAfter w:w="61" w:type="dxa"/>
          <w:cantSplit/>
          <w:trHeight w:val="186" w:hRule="atLeast"/>
        </w:trPr>
        <w:tc>
          <w:tcPr>
            <w:tcW w:w="8044" w:type="dxa"/>
            <w:gridSpan w:val="3"/>
            <w:tcBorders/>
            <w:shd w:val="clear" w:color="auto" w:fill="auto"/>
            <w:vAlign w:val="center"/>
          </w:tcPr>
          <w:p>
            <w:pPr>
              <w:pStyle w:val="style0"/>
              <w:spacing w:before="0" w:beforeAutospacing="false" w:after="0" w:afterAutospacing="false" w:lineRule="auto" w:line="240"/>
              <w:rPr>
                <w:b/>
                <w:bCs/>
                <w:color w:val="000000"/>
              </w:rPr>
            </w:pPr>
            <w:r>
              <w:rPr>
                <w:b/>
                <w:bCs/>
                <w:color w:val="000000"/>
              </w:rPr>
              <w:t>Marital status</w:t>
            </w:r>
          </w:p>
        </w:tc>
      </w:tr>
      <w:tr>
        <w:tblPrEx/>
        <w:trPr>
          <w:gridAfter w:val="1"/>
          <w:wAfter w:w="61" w:type="dxa"/>
          <w:cantSplit/>
          <w:trHeight w:val="186" w:hRule="atLeast"/>
        </w:trPr>
        <w:tc>
          <w:tcPr>
            <w:tcW w:w="4820" w:type="dxa"/>
            <w:tcBorders/>
            <w:shd w:val="clear" w:color="auto" w:fill="auto"/>
          </w:tcPr>
          <w:p>
            <w:pPr>
              <w:pStyle w:val="style0"/>
              <w:spacing w:before="0" w:beforeAutospacing="false" w:after="0" w:afterAutospacing="false" w:lineRule="auto" w:line="240"/>
              <w:rPr>
                <w:color w:val="000000"/>
              </w:rPr>
            </w:pPr>
            <w:r>
              <w:rPr>
                <w:color w:val="000000"/>
              </w:rPr>
              <w:t>Married</w:t>
            </w:r>
          </w:p>
        </w:tc>
        <w:tc>
          <w:tcPr>
            <w:tcW w:w="1300" w:type="dxa"/>
            <w:tcBorders/>
            <w:shd w:val="clear" w:color="auto" w:fill="auto"/>
          </w:tcPr>
          <w:p>
            <w:pPr>
              <w:pStyle w:val="style0"/>
              <w:spacing w:before="0" w:beforeAutospacing="false" w:after="0" w:afterAutospacing="false" w:lineRule="auto" w:line="240"/>
              <w:rPr>
                <w:color w:val="000000"/>
              </w:rPr>
            </w:pPr>
            <w:r>
              <w:rPr>
                <w:color w:val="000000"/>
              </w:rPr>
              <w:t>89</w:t>
            </w:r>
          </w:p>
        </w:tc>
        <w:tc>
          <w:tcPr>
            <w:tcW w:w="1924" w:type="dxa"/>
            <w:tcBorders/>
            <w:shd w:val="clear" w:color="auto" w:fill="auto"/>
          </w:tcPr>
          <w:p>
            <w:pPr>
              <w:pStyle w:val="style0"/>
              <w:spacing w:before="0" w:beforeAutospacing="false" w:after="0" w:afterAutospacing="false" w:lineRule="auto" w:line="240"/>
              <w:rPr>
                <w:color w:val="000000"/>
              </w:rPr>
            </w:pPr>
            <w:r>
              <w:rPr>
                <w:color w:val="000000"/>
              </w:rPr>
              <w:t>89.9</w:t>
            </w:r>
          </w:p>
        </w:tc>
      </w:tr>
      <w:tr>
        <w:tblPrEx/>
        <w:trPr>
          <w:gridAfter w:val="1"/>
          <w:wAfter w:w="61" w:type="dxa"/>
          <w:cantSplit/>
          <w:trHeight w:val="186" w:hRule="atLeast"/>
        </w:trPr>
        <w:tc>
          <w:tcPr>
            <w:tcW w:w="4820" w:type="dxa"/>
            <w:tcBorders/>
            <w:shd w:val="clear" w:color="auto" w:fill="auto"/>
          </w:tcPr>
          <w:p>
            <w:pPr>
              <w:pStyle w:val="style0"/>
              <w:spacing w:before="0" w:beforeAutospacing="false" w:after="0" w:afterAutospacing="false" w:lineRule="auto" w:line="240"/>
              <w:rPr>
                <w:color w:val="000000"/>
              </w:rPr>
            </w:pPr>
            <w:r>
              <w:rPr>
                <w:color w:val="000000"/>
              </w:rPr>
              <w:t>Single</w:t>
            </w:r>
          </w:p>
        </w:tc>
        <w:tc>
          <w:tcPr>
            <w:tcW w:w="1300" w:type="dxa"/>
            <w:tcBorders/>
            <w:shd w:val="clear" w:color="auto" w:fill="auto"/>
          </w:tcPr>
          <w:p>
            <w:pPr>
              <w:pStyle w:val="style0"/>
              <w:spacing w:before="0" w:beforeAutospacing="false" w:after="0" w:afterAutospacing="false" w:lineRule="auto" w:line="240"/>
              <w:rPr>
                <w:color w:val="000000"/>
              </w:rPr>
            </w:pPr>
            <w:r>
              <w:rPr>
                <w:color w:val="000000"/>
              </w:rPr>
              <w:t>1</w:t>
            </w:r>
          </w:p>
        </w:tc>
        <w:tc>
          <w:tcPr>
            <w:tcW w:w="1924" w:type="dxa"/>
            <w:tcBorders/>
            <w:shd w:val="clear" w:color="auto" w:fill="auto"/>
          </w:tcPr>
          <w:p>
            <w:pPr>
              <w:pStyle w:val="style0"/>
              <w:spacing w:before="0" w:beforeAutospacing="false" w:after="0" w:afterAutospacing="false" w:lineRule="auto" w:line="240"/>
              <w:rPr>
                <w:color w:val="000000"/>
              </w:rPr>
            </w:pPr>
            <w:r>
              <w:rPr>
                <w:color w:val="000000"/>
              </w:rPr>
              <w:t>1.0</w:t>
            </w:r>
          </w:p>
        </w:tc>
      </w:tr>
      <w:tr>
        <w:tblPrEx/>
        <w:trPr>
          <w:gridAfter w:val="1"/>
          <w:wAfter w:w="61" w:type="dxa"/>
          <w:cantSplit/>
          <w:trHeight w:val="186" w:hRule="atLeast"/>
        </w:trPr>
        <w:tc>
          <w:tcPr>
            <w:tcW w:w="4820" w:type="dxa"/>
            <w:tcBorders/>
            <w:shd w:val="clear" w:color="auto" w:fill="auto"/>
          </w:tcPr>
          <w:p>
            <w:pPr>
              <w:pStyle w:val="style0"/>
              <w:spacing w:before="0" w:beforeAutospacing="false" w:after="0" w:afterAutospacing="false" w:lineRule="auto" w:line="240"/>
              <w:rPr>
                <w:color w:val="000000"/>
              </w:rPr>
            </w:pPr>
            <w:r>
              <w:rPr>
                <w:color w:val="000000"/>
              </w:rPr>
              <w:t>Widow</w:t>
            </w:r>
          </w:p>
        </w:tc>
        <w:tc>
          <w:tcPr>
            <w:tcW w:w="1300" w:type="dxa"/>
            <w:tcBorders/>
            <w:shd w:val="clear" w:color="auto" w:fill="auto"/>
          </w:tcPr>
          <w:p>
            <w:pPr>
              <w:pStyle w:val="style0"/>
              <w:spacing w:before="0" w:beforeAutospacing="false" w:after="0" w:afterAutospacing="false" w:lineRule="auto" w:line="240"/>
              <w:rPr>
                <w:color w:val="000000"/>
              </w:rPr>
            </w:pPr>
            <w:r>
              <w:rPr>
                <w:color w:val="000000"/>
              </w:rPr>
              <w:t>9</w:t>
            </w:r>
          </w:p>
        </w:tc>
        <w:tc>
          <w:tcPr>
            <w:tcW w:w="1924" w:type="dxa"/>
            <w:tcBorders/>
            <w:shd w:val="clear" w:color="auto" w:fill="auto"/>
          </w:tcPr>
          <w:p>
            <w:pPr>
              <w:pStyle w:val="style0"/>
              <w:spacing w:before="0" w:beforeAutospacing="false" w:after="0" w:afterAutospacing="false" w:lineRule="auto" w:line="240"/>
              <w:rPr>
                <w:color w:val="000000"/>
              </w:rPr>
            </w:pPr>
            <w:r>
              <w:rPr>
                <w:color w:val="000000"/>
              </w:rPr>
              <w:t>9.1</w:t>
            </w:r>
          </w:p>
        </w:tc>
      </w:tr>
      <w:tr>
        <w:tblPrEx/>
        <w:trPr>
          <w:gridAfter w:val="1"/>
          <w:wAfter w:w="61" w:type="dxa"/>
          <w:cantSplit/>
          <w:trHeight w:val="186" w:hRule="atLeast"/>
        </w:trPr>
        <w:tc>
          <w:tcPr>
            <w:tcW w:w="4820" w:type="dxa"/>
            <w:tcBorders/>
            <w:shd w:val="clear" w:color="auto" w:fill="auto"/>
          </w:tcPr>
          <w:p>
            <w:pPr>
              <w:pStyle w:val="style0"/>
              <w:spacing w:before="0" w:beforeAutospacing="false" w:after="0" w:afterAutospacing="false" w:lineRule="auto" w:line="240"/>
              <w:rPr>
                <w:b/>
                <w:bCs/>
                <w:color w:val="000000"/>
              </w:rPr>
            </w:pPr>
            <w:r>
              <w:rPr>
                <w:b/>
                <w:bCs/>
                <w:color w:val="000000"/>
              </w:rPr>
              <w:t>Total</w:t>
            </w:r>
          </w:p>
        </w:tc>
        <w:tc>
          <w:tcPr>
            <w:tcW w:w="1300" w:type="dxa"/>
            <w:tcBorders/>
            <w:shd w:val="clear" w:color="auto" w:fill="auto"/>
          </w:tcPr>
          <w:p>
            <w:pPr>
              <w:pStyle w:val="style0"/>
              <w:spacing w:before="0" w:beforeAutospacing="false" w:after="0" w:afterAutospacing="false" w:lineRule="auto" w:line="240"/>
              <w:rPr>
                <w:b/>
                <w:bCs/>
                <w:color w:val="000000"/>
              </w:rPr>
            </w:pPr>
            <w:r>
              <w:rPr>
                <w:b/>
                <w:bCs/>
                <w:color w:val="000000"/>
              </w:rPr>
              <w:t>99</w:t>
            </w:r>
          </w:p>
        </w:tc>
        <w:tc>
          <w:tcPr>
            <w:tcW w:w="1924" w:type="dxa"/>
            <w:tcBorders/>
            <w:shd w:val="clear" w:color="auto" w:fill="auto"/>
          </w:tcPr>
          <w:p>
            <w:pPr>
              <w:pStyle w:val="style0"/>
              <w:spacing w:before="0" w:beforeAutospacing="false" w:after="0" w:afterAutospacing="false" w:lineRule="auto" w:line="240"/>
              <w:rPr>
                <w:b/>
                <w:bCs/>
                <w:color w:val="000000"/>
              </w:rPr>
            </w:pPr>
            <w:r>
              <w:rPr>
                <w:b/>
                <w:bCs/>
                <w:color w:val="000000"/>
              </w:rPr>
              <w:t>100</w:t>
            </w:r>
          </w:p>
        </w:tc>
      </w:tr>
      <w:tr>
        <w:tblPrEx/>
        <w:trPr>
          <w:gridAfter w:val="1"/>
          <w:wAfter w:w="61" w:type="dxa"/>
          <w:cantSplit/>
          <w:trHeight w:val="327" w:hRule="atLeast"/>
        </w:trPr>
        <w:tc>
          <w:tcPr>
            <w:tcW w:w="4820" w:type="dxa"/>
            <w:tcBorders/>
            <w:shd w:val="clear" w:color="auto" w:fill="auto"/>
          </w:tcPr>
          <w:p>
            <w:pPr>
              <w:pStyle w:val="style0"/>
              <w:spacing w:before="0" w:beforeAutospacing="false" w:after="0" w:afterAutospacing="false" w:lineRule="auto" w:line="240"/>
              <w:rPr>
                <w:color w:val="000000"/>
              </w:rPr>
            </w:pPr>
            <w:r>
              <w:rPr>
                <w:b/>
                <w:bCs/>
                <w:color w:val="000000"/>
              </w:rPr>
              <w:t>years of residency</w:t>
            </w:r>
          </w:p>
        </w:tc>
        <w:tc>
          <w:tcPr>
            <w:tcW w:w="1300" w:type="dxa"/>
            <w:tcBorders/>
            <w:shd w:val="clear" w:color="auto" w:fill="auto"/>
          </w:tcPr>
          <w:p>
            <w:pPr>
              <w:pStyle w:val="style0"/>
              <w:spacing w:before="0" w:beforeAutospacing="false" w:after="0" w:afterAutospacing="false" w:lineRule="auto" w:line="240"/>
              <w:rPr>
                <w:color w:val="000000"/>
              </w:rPr>
            </w:pPr>
          </w:p>
        </w:tc>
        <w:tc>
          <w:tcPr>
            <w:tcW w:w="1924" w:type="dxa"/>
            <w:tcBorders/>
            <w:shd w:val="clear" w:color="auto" w:fill="auto"/>
          </w:tcPr>
          <w:p>
            <w:pPr>
              <w:pStyle w:val="style0"/>
              <w:spacing w:before="0" w:beforeAutospacing="false" w:after="0" w:afterAutospacing="false" w:lineRule="auto" w:line="240"/>
              <w:rPr>
                <w:color w:val="000000"/>
              </w:rPr>
            </w:pPr>
          </w:p>
        </w:tc>
      </w:tr>
      <w:tr>
        <w:tblPrEx/>
        <w:trPr>
          <w:gridAfter w:val="1"/>
          <w:wAfter w:w="61" w:type="dxa"/>
          <w:cantSplit/>
          <w:trHeight w:val="327" w:hRule="atLeast"/>
        </w:trPr>
        <w:tc>
          <w:tcPr>
            <w:tcW w:w="4820" w:type="dxa"/>
            <w:tcBorders/>
            <w:shd w:val="clear" w:color="auto" w:fill="auto"/>
          </w:tcPr>
          <w:p>
            <w:pPr>
              <w:pStyle w:val="style0"/>
              <w:spacing w:before="0" w:beforeAutospacing="false" w:after="0" w:afterAutospacing="false" w:lineRule="auto" w:line="240"/>
              <w:rPr>
                <w:color w:val="000000"/>
              </w:rPr>
            </w:pPr>
            <w:r>
              <w:rPr>
                <w:color w:val="000000"/>
              </w:rPr>
              <w:t xml:space="preserve">1 </w:t>
            </w:r>
            <w:r>
              <w:rPr>
                <w:color w:val="000000"/>
              </w:rPr>
              <w:t>–</w:t>
            </w:r>
            <w:r>
              <w:rPr>
                <w:color w:val="000000"/>
              </w:rPr>
              <w:t xml:space="preserve"> 10</w:t>
            </w:r>
          </w:p>
        </w:tc>
        <w:tc>
          <w:tcPr>
            <w:tcW w:w="1300" w:type="dxa"/>
            <w:tcBorders/>
            <w:shd w:val="clear" w:color="auto" w:fill="auto"/>
          </w:tcPr>
          <w:p>
            <w:pPr>
              <w:pStyle w:val="style0"/>
              <w:spacing w:before="0" w:beforeAutospacing="false" w:after="0" w:afterAutospacing="false" w:lineRule="auto" w:line="240"/>
              <w:rPr>
                <w:color w:val="000000"/>
              </w:rPr>
            </w:pPr>
            <w:r>
              <w:rPr>
                <w:color w:val="000000"/>
              </w:rPr>
              <w:t>10</w:t>
            </w:r>
          </w:p>
        </w:tc>
        <w:tc>
          <w:tcPr>
            <w:tcW w:w="1924" w:type="dxa"/>
            <w:tcBorders/>
            <w:shd w:val="clear" w:color="auto" w:fill="auto"/>
          </w:tcPr>
          <w:p>
            <w:pPr>
              <w:pStyle w:val="style0"/>
              <w:spacing w:before="0" w:beforeAutospacing="false" w:after="0" w:afterAutospacing="false" w:lineRule="auto" w:line="240"/>
              <w:rPr>
                <w:color w:val="000000"/>
              </w:rPr>
            </w:pPr>
            <w:r>
              <w:rPr>
                <w:color w:val="000000"/>
              </w:rPr>
              <w:t>10.1</w:t>
            </w:r>
          </w:p>
        </w:tc>
      </w:tr>
      <w:tr>
        <w:tblPrEx/>
        <w:trPr>
          <w:gridAfter w:val="1"/>
          <w:wAfter w:w="61" w:type="dxa"/>
          <w:cantSplit/>
          <w:trHeight w:val="327" w:hRule="atLeast"/>
        </w:trPr>
        <w:tc>
          <w:tcPr>
            <w:tcW w:w="4820" w:type="dxa"/>
            <w:tcBorders/>
            <w:shd w:val="clear" w:color="auto" w:fill="auto"/>
          </w:tcPr>
          <w:p>
            <w:pPr>
              <w:pStyle w:val="style0"/>
              <w:spacing w:before="0" w:beforeAutospacing="false" w:after="0" w:afterAutospacing="false" w:lineRule="auto" w:line="240"/>
              <w:rPr>
                <w:color w:val="000000"/>
              </w:rPr>
            </w:pPr>
            <w:r>
              <w:rPr>
                <w:color w:val="000000"/>
              </w:rPr>
              <w:t xml:space="preserve">11 </w:t>
            </w:r>
            <w:r>
              <w:rPr>
                <w:color w:val="000000"/>
              </w:rPr>
              <w:t>–</w:t>
            </w:r>
            <w:r>
              <w:rPr>
                <w:color w:val="000000"/>
              </w:rPr>
              <w:t xml:space="preserve"> 20</w:t>
            </w:r>
          </w:p>
        </w:tc>
        <w:tc>
          <w:tcPr>
            <w:tcW w:w="1300" w:type="dxa"/>
            <w:tcBorders/>
            <w:shd w:val="clear" w:color="auto" w:fill="auto"/>
          </w:tcPr>
          <w:p>
            <w:pPr>
              <w:pStyle w:val="style0"/>
              <w:spacing w:before="0" w:beforeAutospacing="false" w:after="0" w:afterAutospacing="false" w:lineRule="auto" w:line="240"/>
              <w:rPr>
                <w:color w:val="000000"/>
              </w:rPr>
            </w:pPr>
            <w:r>
              <w:rPr>
                <w:color w:val="000000"/>
              </w:rPr>
              <w:t>4</w:t>
            </w:r>
          </w:p>
        </w:tc>
        <w:tc>
          <w:tcPr>
            <w:tcW w:w="1924" w:type="dxa"/>
            <w:tcBorders/>
            <w:shd w:val="clear" w:color="auto" w:fill="auto"/>
          </w:tcPr>
          <w:p>
            <w:pPr>
              <w:pStyle w:val="style0"/>
              <w:spacing w:before="0" w:beforeAutospacing="false" w:after="0" w:afterAutospacing="false" w:lineRule="auto" w:line="240"/>
              <w:rPr>
                <w:color w:val="000000"/>
              </w:rPr>
            </w:pPr>
            <w:r>
              <w:rPr>
                <w:color w:val="000000"/>
              </w:rPr>
              <w:t>4.0</w:t>
            </w:r>
          </w:p>
        </w:tc>
      </w:tr>
      <w:tr>
        <w:tblPrEx/>
        <w:trPr>
          <w:gridAfter w:val="1"/>
          <w:wAfter w:w="61" w:type="dxa"/>
          <w:cantSplit/>
          <w:trHeight w:val="327" w:hRule="atLeast"/>
        </w:trPr>
        <w:tc>
          <w:tcPr>
            <w:tcW w:w="4820" w:type="dxa"/>
            <w:tcBorders/>
            <w:shd w:val="clear" w:color="auto" w:fill="auto"/>
          </w:tcPr>
          <w:p>
            <w:pPr>
              <w:pStyle w:val="style0"/>
              <w:spacing w:before="0" w:beforeAutospacing="false" w:after="0" w:afterAutospacing="false" w:lineRule="auto" w:line="240"/>
              <w:rPr>
                <w:color w:val="000000"/>
              </w:rPr>
            </w:pPr>
            <w:r>
              <w:rPr>
                <w:color w:val="000000"/>
              </w:rPr>
              <w:t xml:space="preserve">21 </w:t>
            </w:r>
            <w:r>
              <w:rPr>
                <w:color w:val="000000"/>
              </w:rPr>
              <w:t>–</w:t>
            </w:r>
            <w:r>
              <w:rPr>
                <w:color w:val="000000"/>
              </w:rPr>
              <w:t xml:space="preserve"> 30</w:t>
            </w:r>
          </w:p>
        </w:tc>
        <w:tc>
          <w:tcPr>
            <w:tcW w:w="1300" w:type="dxa"/>
            <w:tcBorders/>
            <w:shd w:val="clear" w:color="auto" w:fill="auto"/>
          </w:tcPr>
          <w:p>
            <w:pPr>
              <w:pStyle w:val="style0"/>
              <w:spacing w:before="0" w:beforeAutospacing="false" w:after="0" w:afterAutospacing="false" w:lineRule="auto" w:line="240"/>
              <w:rPr>
                <w:color w:val="000000"/>
              </w:rPr>
            </w:pPr>
            <w:r>
              <w:rPr>
                <w:color w:val="000000"/>
              </w:rPr>
              <w:t>15</w:t>
            </w:r>
          </w:p>
        </w:tc>
        <w:tc>
          <w:tcPr>
            <w:tcW w:w="1924" w:type="dxa"/>
            <w:tcBorders/>
            <w:shd w:val="clear" w:color="auto" w:fill="auto"/>
          </w:tcPr>
          <w:p>
            <w:pPr>
              <w:pStyle w:val="style0"/>
              <w:spacing w:before="0" w:beforeAutospacing="false" w:after="0" w:afterAutospacing="false" w:lineRule="auto" w:line="240"/>
              <w:rPr>
                <w:color w:val="000000"/>
              </w:rPr>
            </w:pPr>
            <w:r>
              <w:rPr>
                <w:color w:val="000000"/>
              </w:rPr>
              <w:t>15.2</w:t>
            </w:r>
          </w:p>
        </w:tc>
      </w:tr>
      <w:tr>
        <w:tblPrEx/>
        <w:trPr>
          <w:gridAfter w:val="1"/>
          <w:wAfter w:w="61" w:type="dxa"/>
          <w:cantSplit/>
          <w:trHeight w:val="327" w:hRule="atLeast"/>
        </w:trPr>
        <w:tc>
          <w:tcPr>
            <w:tcW w:w="4820" w:type="dxa"/>
            <w:tcBorders/>
            <w:shd w:val="clear" w:color="auto" w:fill="auto"/>
          </w:tcPr>
          <w:p>
            <w:pPr>
              <w:pStyle w:val="style0"/>
              <w:spacing w:before="0" w:beforeAutospacing="false" w:after="0" w:afterAutospacing="false" w:lineRule="auto" w:line="240"/>
              <w:rPr>
                <w:color w:val="000000"/>
              </w:rPr>
            </w:pPr>
            <w:r>
              <w:rPr>
                <w:color w:val="000000"/>
              </w:rPr>
              <w:t xml:space="preserve">31 </w:t>
            </w:r>
            <w:r>
              <w:rPr>
                <w:color w:val="000000"/>
              </w:rPr>
              <w:t>–</w:t>
            </w:r>
            <w:r>
              <w:rPr>
                <w:color w:val="000000"/>
              </w:rPr>
              <w:t xml:space="preserve"> 40</w:t>
            </w:r>
          </w:p>
        </w:tc>
        <w:tc>
          <w:tcPr>
            <w:tcW w:w="1300" w:type="dxa"/>
            <w:tcBorders/>
            <w:shd w:val="clear" w:color="auto" w:fill="auto"/>
          </w:tcPr>
          <w:p>
            <w:pPr>
              <w:pStyle w:val="style0"/>
              <w:spacing w:before="0" w:beforeAutospacing="false" w:after="0" w:afterAutospacing="false" w:lineRule="auto" w:line="240"/>
              <w:rPr>
                <w:color w:val="000000"/>
              </w:rPr>
            </w:pPr>
            <w:r>
              <w:rPr>
                <w:color w:val="000000"/>
              </w:rPr>
              <w:t>18</w:t>
            </w:r>
          </w:p>
        </w:tc>
        <w:tc>
          <w:tcPr>
            <w:tcW w:w="1924" w:type="dxa"/>
            <w:tcBorders/>
            <w:shd w:val="clear" w:color="auto" w:fill="auto"/>
          </w:tcPr>
          <w:p>
            <w:pPr>
              <w:pStyle w:val="style0"/>
              <w:spacing w:before="0" w:beforeAutospacing="false" w:after="0" w:afterAutospacing="false" w:lineRule="auto" w:line="240"/>
              <w:rPr>
                <w:color w:val="000000"/>
              </w:rPr>
            </w:pPr>
            <w:r>
              <w:rPr>
                <w:color w:val="000000"/>
              </w:rPr>
              <w:t>18.2</w:t>
            </w:r>
          </w:p>
        </w:tc>
      </w:tr>
      <w:tr>
        <w:tblPrEx/>
        <w:trPr>
          <w:gridAfter w:val="1"/>
          <w:wAfter w:w="61" w:type="dxa"/>
          <w:cantSplit/>
          <w:trHeight w:val="327" w:hRule="atLeast"/>
        </w:trPr>
        <w:tc>
          <w:tcPr>
            <w:tcW w:w="4820" w:type="dxa"/>
            <w:tcBorders/>
            <w:shd w:val="clear" w:color="auto" w:fill="auto"/>
          </w:tcPr>
          <w:p>
            <w:pPr>
              <w:pStyle w:val="style0"/>
              <w:spacing w:before="0" w:beforeAutospacing="false" w:after="0" w:afterAutospacing="false" w:lineRule="auto" w:line="240"/>
              <w:rPr>
                <w:color w:val="000000"/>
              </w:rPr>
            </w:pPr>
            <w:r>
              <w:rPr>
                <w:color w:val="000000"/>
              </w:rPr>
              <w:t xml:space="preserve">41 </w:t>
            </w:r>
            <w:r>
              <w:rPr>
                <w:color w:val="000000"/>
              </w:rPr>
              <w:t>–</w:t>
            </w:r>
            <w:r>
              <w:rPr>
                <w:color w:val="000000"/>
              </w:rPr>
              <w:t xml:space="preserve"> 50</w:t>
            </w:r>
          </w:p>
        </w:tc>
        <w:tc>
          <w:tcPr>
            <w:tcW w:w="1300" w:type="dxa"/>
            <w:tcBorders/>
            <w:shd w:val="clear" w:color="auto" w:fill="auto"/>
          </w:tcPr>
          <w:p>
            <w:pPr>
              <w:pStyle w:val="style0"/>
              <w:spacing w:before="0" w:beforeAutospacing="false" w:after="0" w:afterAutospacing="false" w:lineRule="auto" w:line="240"/>
              <w:rPr>
                <w:color w:val="000000"/>
              </w:rPr>
            </w:pPr>
            <w:r>
              <w:rPr>
                <w:color w:val="000000"/>
              </w:rPr>
              <w:t>24</w:t>
            </w:r>
          </w:p>
        </w:tc>
        <w:tc>
          <w:tcPr>
            <w:tcW w:w="1924" w:type="dxa"/>
            <w:tcBorders/>
            <w:shd w:val="clear" w:color="auto" w:fill="auto"/>
          </w:tcPr>
          <w:p>
            <w:pPr>
              <w:pStyle w:val="style0"/>
              <w:spacing w:before="0" w:beforeAutospacing="false" w:after="0" w:afterAutospacing="false" w:lineRule="auto" w:line="240"/>
              <w:rPr>
                <w:color w:val="000000"/>
              </w:rPr>
            </w:pPr>
            <w:r>
              <w:rPr>
                <w:color w:val="000000"/>
              </w:rPr>
              <w:t>24.2</w:t>
            </w:r>
          </w:p>
        </w:tc>
      </w:tr>
      <w:tr>
        <w:tblPrEx/>
        <w:trPr>
          <w:gridAfter w:val="1"/>
          <w:wAfter w:w="61" w:type="dxa"/>
          <w:cantSplit/>
          <w:trHeight w:val="327" w:hRule="atLeast"/>
        </w:trPr>
        <w:tc>
          <w:tcPr>
            <w:tcW w:w="4820" w:type="dxa"/>
            <w:tcBorders/>
            <w:shd w:val="clear" w:color="auto" w:fill="auto"/>
          </w:tcPr>
          <w:p>
            <w:pPr>
              <w:pStyle w:val="style0"/>
              <w:spacing w:before="0" w:beforeAutospacing="false" w:after="0" w:afterAutospacing="false" w:lineRule="auto" w:line="240"/>
              <w:rPr>
                <w:color w:val="000000"/>
              </w:rPr>
            </w:pPr>
            <w:r>
              <w:rPr>
                <w:color w:val="000000"/>
              </w:rPr>
              <w:t>51 years and above</w:t>
            </w:r>
          </w:p>
        </w:tc>
        <w:tc>
          <w:tcPr>
            <w:tcW w:w="1300" w:type="dxa"/>
            <w:tcBorders/>
            <w:shd w:val="clear" w:color="auto" w:fill="auto"/>
          </w:tcPr>
          <w:p>
            <w:pPr>
              <w:pStyle w:val="style0"/>
              <w:spacing w:before="0" w:beforeAutospacing="false" w:after="0" w:afterAutospacing="false" w:lineRule="auto" w:line="240"/>
              <w:rPr>
                <w:color w:val="000000"/>
              </w:rPr>
            </w:pPr>
            <w:r>
              <w:rPr>
                <w:color w:val="000000"/>
              </w:rPr>
              <w:t>28</w:t>
            </w:r>
          </w:p>
        </w:tc>
        <w:tc>
          <w:tcPr>
            <w:tcW w:w="1924" w:type="dxa"/>
            <w:tcBorders/>
            <w:shd w:val="clear" w:color="auto" w:fill="auto"/>
          </w:tcPr>
          <w:p>
            <w:pPr>
              <w:pStyle w:val="style0"/>
              <w:keepNext/>
              <w:spacing w:before="0" w:beforeAutospacing="false" w:after="0" w:afterAutospacing="false" w:lineRule="auto" w:line="240"/>
              <w:rPr>
                <w:color w:val="000000"/>
              </w:rPr>
            </w:pPr>
            <w:r>
              <w:rPr>
                <w:color w:val="000000"/>
              </w:rPr>
              <w:t>28.3</w:t>
            </w:r>
          </w:p>
        </w:tc>
      </w:tr>
      <w:tr>
        <w:tblPrEx/>
        <w:trPr>
          <w:gridAfter w:val="1"/>
          <w:wAfter w:w="61" w:type="dxa"/>
          <w:cantSplit/>
          <w:trHeight w:val="327" w:hRule="atLeast"/>
        </w:trPr>
        <w:tc>
          <w:tcPr>
            <w:tcW w:w="4820" w:type="dxa"/>
            <w:tcBorders>
              <w:bottom w:val="single" w:sz="18" w:space="0" w:color="auto"/>
            </w:tcBorders>
            <w:shd w:val="clear" w:color="auto" w:fill="auto"/>
          </w:tcPr>
          <w:p>
            <w:pPr>
              <w:pStyle w:val="style0"/>
              <w:spacing w:before="0" w:beforeAutospacing="false" w:after="0" w:afterAutospacing="false" w:lineRule="auto" w:line="240"/>
              <w:rPr>
                <w:b/>
                <w:bCs/>
                <w:color w:val="000000"/>
              </w:rPr>
            </w:pPr>
            <w:r>
              <w:rPr>
                <w:b/>
                <w:bCs/>
                <w:color w:val="000000"/>
              </w:rPr>
              <w:t>Total</w:t>
            </w:r>
          </w:p>
        </w:tc>
        <w:tc>
          <w:tcPr>
            <w:tcW w:w="1300" w:type="dxa"/>
            <w:tcBorders>
              <w:bottom w:val="single" w:sz="18" w:space="0" w:color="auto"/>
            </w:tcBorders>
            <w:shd w:val="clear" w:color="auto" w:fill="auto"/>
          </w:tcPr>
          <w:p>
            <w:pPr>
              <w:pStyle w:val="style0"/>
              <w:spacing w:before="0" w:beforeAutospacing="false" w:after="0" w:afterAutospacing="false" w:lineRule="auto" w:line="240"/>
              <w:rPr>
                <w:b/>
                <w:bCs/>
                <w:color w:val="000000"/>
              </w:rPr>
            </w:pPr>
            <w:r>
              <w:rPr>
                <w:b/>
                <w:bCs/>
                <w:color w:val="000000"/>
              </w:rPr>
              <w:t>99</w:t>
            </w:r>
          </w:p>
        </w:tc>
        <w:tc>
          <w:tcPr>
            <w:tcW w:w="1924" w:type="dxa"/>
            <w:tcBorders>
              <w:bottom w:val="single" w:sz="18" w:space="0" w:color="auto"/>
            </w:tcBorders>
            <w:shd w:val="clear" w:color="auto" w:fill="auto"/>
          </w:tcPr>
          <w:p>
            <w:pPr>
              <w:pStyle w:val="style0"/>
              <w:keepNext/>
              <w:spacing w:before="0" w:beforeAutospacing="false" w:after="0" w:afterAutospacing="false" w:lineRule="auto" w:line="240"/>
              <w:rPr>
                <w:b/>
                <w:bCs/>
                <w:color w:val="000000"/>
              </w:rPr>
            </w:pPr>
            <w:r>
              <w:rPr>
                <w:b/>
                <w:bCs/>
                <w:color w:val="000000"/>
              </w:rPr>
              <w:t>100</w:t>
            </w:r>
          </w:p>
        </w:tc>
      </w:tr>
      <w:bookmarkStart w:id="110" w:name="_Toc178076735"/>
    </w:tbl>
    <w:p>
      <w:pPr>
        <w:pStyle w:val="style2"/>
        <w:tabs>
          <w:tab w:val="left" w:leader="none" w:pos="540"/>
          <w:tab w:val="left" w:leader="none" w:pos="3240"/>
        </w:tabs>
        <w:spacing w:before="240" w:beforeAutospacing="false" w:lineRule="auto" w:line="480"/>
        <w:rPr>
          <w:rFonts w:ascii="Times New Roman" w:cs="Times New Roman" w:hAnsi="Times New Roman"/>
          <w:b/>
          <w:color w:val="000000"/>
          <w:sz w:val="24"/>
          <w:szCs w:val="24"/>
        </w:rPr>
      </w:pPr>
      <w:r>
        <w:rPr>
          <w:rFonts w:ascii="Times New Roman" w:cs="Times New Roman" w:hAnsi="Times New Roman"/>
          <w:b/>
          <w:color w:val="000000"/>
          <w:sz w:val="24"/>
          <w:szCs w:val="24"/>
        </w:rPr>
        <w:t xml:space="preserve">4.2 Current trend of </w:t>
      </w:r>
      <w:r>
        <w:rPr>
          <w:rFonts w:ascii="Times New Roman" w:cs="Times New Roman" w:hAnsi="Times New Roman"/>
          <w:b/>
          <w:color w:val="000000"/>
          <w:sz w:val="24"/>
          <w:szCs w:val="24"/>
        </w:rPr>
        <w:t>wood fuel</w:t>
      </w:r>
      <w:r>
        <w:rPr>
          <w:rFonts w:ascii="Times New Roman" w:cs="Times New Roman" w:hAnsi="Times New Roman"/>
          <w:b/>
          <w:color w:val="000000"/>
          <w:sz w:val="24"/>
          <w:szCs w:val="24"/>
        </w:rPr>
        <w:t xml:space="preserve"> consumption</w:t>
      </w:r>
      <w:bookmarkEnd w:id="110"/>
    </w:p>
    <w:bookmarkStart w:id="111" w:name="_Toc178076736"/>
    <w:p>
      <w:pPr>
        <w:pStyle w:val="style2"/>
        <w:tabs>
          <w:tab w:val="left" w:leader="none" w:pos="540"/>
          <w:tab w:val="left" w:leader="none" w:pos="3240"/>
        </w:tabs>
        <w:spacing w:before="0" w:beforeAutospacing="false" w:lineRule="auto" w:line="480"/>
        <w:rPr>
          <w:rFonts w:ascii="Times New Roman" w:cs="Times New Roman" w:hAnsi="Times New Roman"/>
          <w:b/>
          <w:color w:val="000000"/>
          <w:sz w:val="24"/>
          <w:szCs w:val="24"/>
        </w:rPr>
      </w:pPr>
      <w:r>
        <w:rPr>
          <w:rFonts w:ascii="Times New Roman" w:cs="Times New Roman" w:hAnsi="Times New Roman"/>
          <w:b/>
          <w:color w:val="000000"/>
          <w:sz w:val="24"/>
          <w:szCs w:val="24"/>
        </w:rPr>
        <w:t xml:space="preserve">4.2.1 Types of </w:t>
      </w:r>
      <w:r>
        <w:rPr>
          <w:rFonts w:ascii="Times New Roman" w:cs="Times New Roman" w:hAnsi="Times New Roman"/>
          <w:b/>
          <w:color w:val="000000"/>
          <w:sz w:val="24"/>
          <w:szCs w:val="24"/>
        </w:rPr>
        <w:t>wood fuel</w:t>
      </w:r>
      <w:r>
        <w:rPr>
          <w:rFonts w:ascii="Times New Roman" w:cs="Times New Roman" w:hAnsi="Times New Roman"/>
          <w:b/>
          <w:color w:val="000000"/>
          <w:sz w:val="24"/>
          <w:szCs w:val="24"/>
        </w:rPr>
        <w:t xml:space="preserve"> commonly used</w:t>
      </w:r>
      <w:bookmarkEnd w:id="111"/>
    </w:p>
    <w:p>
      <w:pPr>
        <w:pStyle w:val="style0"/>
        <w:spacing w:lineRule="auto" w:line="480"/>
        <w:rPr>
          <w:color w:val="000000"/>
        </w:rPr>
      </w:pPr>
      <w:r>
        <w:t xml:space="preserve">The analysis of </w:t>
      </w:r>
      <w:r>
        <w:t>wood fuel</w:t>
      </w:r>
      <w:r>
        <w:t xml:space="preserve"> types used by respondents reveals a strong preference for wood as the primary energy source. Out of the total sample, 75 respondents, </w:t>
      </w:r>
      <w:r>
        <w:t>representing 75.8%, reported using wood for their energy needs</w:t>
      </w:r>
      <w:r>
        <w:t xml:space="preserve"> (Plate 1)</w:t>
      </w:r>
      <w:r>
        <w:t>. Charcoal is used by 16 respondents, making up 16.2% of the participants</w:t>
      </w:r>
      <w:r>
        <w:t xml:space="preserve"> (Table 3)</w:t>
      </w:r>
      <w:r>
        <w:t xml:space="preserve">. A smaller group of respondents, 8 individuals (8.1%), indicated using other types of </w:t>
      </w:r>
      <w:r>
        <w:t>wood fuel</w:t>
      </w:r>
      <w:r>
        <w:t xml:space="preserve">. This distribution highlights the dominance of wood as a </w:t>
      </w:r>
      <w:r>
        <w:t>wood fuel</w:t>
      </w:r>
      <w:r>
        <w:t xml:space="preserve"> source, which may be due to its availability, cost-effectiveness, or cultural practices in the study area. However, 8 respondents (8.1%) reported using both charcoal and wood</w:t>
      </w:r>
      <w:r>
        <w:t xml:space="preserve"> (Table 3)</w:t>
      </w:r>
      <w:r>
        <w:t xml:space="preserve">. These findings are similar to those of Msuya et al., (2011) who suggests that while most individuals rely on a single type of </w:t>
      </w:r>
      <w:r>
        <w:t>wood fuel</w:t>
      </w:r>
      <w:r>
        <w:t xml:space="preserve">, there is a notable minority that combines multiple sources, potentially to enhance energy efficiency or availability. Assuming fuel-switching takes place at the same rate in urban areas and considering that Dar es salaam accounts for about one third of the total urban population, there would still be demand for approximately 1.5 million </w:t>
      </w:r>
      <w:r>
        <w:t>tons</w:t>
      </w:r>
      <w:r>
        <w:t xml:space="preserve"> of charcoal per year (TFCG, 2020).</w:t>
      </w:r>
    </w:p>
    <w:bookmarkStart w:id="112" w:name="_Toc177668538"/>
    <w:p>
      <w:pPr>
        <w:pStyle w:val="style34"/>
        <w:keepNext/>
        <w:rPr>
          <w:b/>
          <w:bCs/>
          <w:i w:val="false"/>
          <w:iCs w:val="false"/>
          <w:color w:val="000000"/>
          <w:sz w:val="24"/>
          <w:szCs w:val="24"/>
        </w:rPr>
      </w:pPr>
      <w:r>
        <w:rPr>
          <w:b/>
          <w:bCs/>
          <w:i w:val="false"/>
          <w:iCs w:val="false"/>
          <w:color w:val="000000"/>
          <w:sz w:val="24"/>
          <w:szCs w:val="24"/>
        </w:rPr>
        <w:t xml:space="preserve">Table </w:t>
      </w:r>
      <w:r>
        <w:rPr>
          <w:b/>
          <w:bCs/>
          <w:i w:val="false"/>
          <w:iCs w:val="false"/>
          <w:color w:val="000000"/>
          <w:sz w:val="24"/>
          <w:szCs w:val="24"/>
        </w:rPr>
        <w:fldChar w:fldCharType="begin"/>
      </w:r>
      <w:r>
        <w:rPr>
          <w:b/>
          <w:bCs/>
          <w:i w:val="false"/>
          <w:iCs w:val="false"/>
          <w:color w:val="000000"/>
          <w:sz w:val="24"/>
          <w:szCs w:val="24"/>
        </w:rPr>
        <w:instrText xml:space="preserve"> SEQ Table \* ARABIC </w:instrText>
      </w:r>
      <w:r>
        <w:rPr>
          <w:b/>
          <w:bCs/>
          <w:i w:val="false"/>
          <w:iCs w:val="false"/>
          <w:color w:val="000000"/>
          <w:sz w:val="24"/>
          <w:szCs w:val="24"/>
        </w:rPr>
        <w:fldChar w:fldCharType="separate"/>
      </w:r>
      <w:r>
        <w:rPr>
          <w:b/>
          <w:bCs/>
          <w:i w:val="false"/>
          <w:iCs w:val="false"/>
          <w:noProof/>
          <w:color w:val="000000"/>
          <w:sz w:val="24"/>
          <w:szCs w:val="24"/>
        </w:rPr>
        <w:t>3</w:t>
      </w:r>
      <w:r>
        <w:rPr>
          <w:b/>
          <w:bCs/>
          <w:i w:val="false"/>
          <w:iCs w:val="false"/>
          <w:noProof/>
          <w:color w:val="000000"/>
          <w:sz w:val="24"/>
          <w:szCs w:val="24"/>
        </w:rPr>
        <w:fldChar w:fldCharType="end"/>
      </w:r>
      <w:r>
        <w:rPr>
          <w:b/>
          <w:bCs/>
          <w:i w:val="false"/>
          <w:iCs w:val="false"/>
          <w:color w:val="000000"/>
          <w:sz w:val="24"/>
          <w:szCs w:val="24"/>
        </w:rPr>
        <w:t xml:space="preserve">: Type of </w:t>
      </w:r>
      <w:r>
        <w:rPr>
          <w:b/>
          <w:bCs/>
          <w:i w:val="false"/>
          <w:iCs w:val="false"/>
          <w:color w:val="000000"/>
          <w:sz w:val="24"/>
          <w:szCs w:val="24"/>
        </w:rPr>
        <w:t>wood fuel</w:t>
      </w:r>
      <w:r>
        <w:rPr>
          <w:b/>
          <w:bCs/>
          <w:i w:val="false"/>
          <w:iCs w:val="false"/>
          <w:color w:val="000000"/>
          <w:sz w:val="24"/>
          <w:szCs w:val="24"/>
        </w:rPr>
        <w:t xml:space="preserve"> (n = 99)</w:t>
      </w:r>
      <w:bookmarkEnd w:id="112"/>
    </w:p>
    <w:tbl>
      <w:tblPr>
        <w:tblW w:w="7761" w:type="dxa"/>
        <w:tblLayout w:type="fixed"/>
        <w:tblCellMar>
          <w:left w:w="0" w:type="dxa"/>
          <w:right w:w="0" w:type="dxa"/>
        </w:tblCellMar>
        <w:tblLook w:val="0000" w:firstRow="0" w:lastRow="0" w:firstColumn="0" w:lastColumn="0" w:noHBand="0" w:noVBand="0"/>
      </w:tblPr>
      <w:tblGrid>
        <w:gridCol w:w="3261"/>
        <w:gridCol w:w="2049"/>
        <w:gridCol w:w="2451"/>
      </w:tblGrid>
      <w:tr>
        <w:trPr>
          <w:cantSplit/>
          <w:trHeight w:val="519" w:hRule="atLeast"/>
        </w:trPr>
        <w:tc>
          <w:tcPr>
            <w:tcW w:w="3261" w:type="dxa"/>
            <w:tcBorders>
              <w:top w:val="single" w:sz="18" w:space="0" w:color="auto"/>
              <w:bottom w:val="single" w:sz="18" w:space="0" w:color="auto"/>
            </w:tcBorders>
            <w:shd w:val="clear" w:color="auto" w:fill="auto"/>
            <w:vAlign w:val="bottom"/>
          </w:tcPr>
          <w:p>
            <w:pPr>
              <w:pStyle w:val="style0"/>
              <w:spacing w:lineRule="auto" w:line="480"/>
              <w:rPr>
                <w:color w:val="000000"/>
              </w:rPr>
            </w:pPr>
            <w:r>
              <w:rPr>
                <w:color w:val="000000"/>
              </w:rPr>
              <w:t>Types of wood fuel</w:t>
            </w:r>
          </w:p>
        </w:tc>
        <w:tc>
          <w:tcPr>
            <w:tcW w:w="2049" w:type="dxa"/>
            <w:tcBorders>
              <w:top w:val="single" w:sz="18" w:space="0" w:color="auto"/>
              <w:bottom w:val="single" w:sz="18" w:space="0" w:color="auto"/>
            </w:tcBorders>
            <w:shd w:val="clear" w:color="auto" w:fill="auto"/>
            <w:vAlign w:val="bottom"/>
          </w:tcPr>
          <w:p>
            <w:pPr>
              <w:pStyle w:val="style0"/>
              <w:spacing w:lineRule="auto" w:line="480"/>
              <w:ind w:left="60" w:right="60"/>
              <w:jc w:val="center"/>
              <w:rPr>
                <w:color w:val="000000"/>
              </w:rPr>
            </w:pPr>
            <w:r>
              <w:rPr>
                <w:color w:val="000000"/>
              </w:rPr>
              <w:t>Frequency</w:t>
            </w:r>
          </w:p>
        </w:tc>
        <w:tc>
          <w:tcPr>
            <w:tcW w:w="2451" w:type="dxa"/>
            <w:tcBorders>
              <w:top w:val="single" w:sz="18" w:space="0" w:color="auto"/>
              <w:bottom w:val="single" w:sz="18" w:space="0" w:color="auto"/>
            </w:tcBorders>
            <w:shd w:val="clear" w:color="auto" w:fill="auto"/>
            <w:vAlign w:val="bottom"/>
          </w:tcPr>
          <w:p>
            <w:pPr>
              <w:pStyle w:val="style0"/>
              <w:spacing w:lineRule="auto" w:line="480"/>
              <w:ind w:left="60" w:right="60"/>
              <w:jc w:val="center"/>
              <w:rPr>
                <w:color w:val="000000"/>
              </w:rPr>
            </w:pPr>
            <w:r>
              <w:rPr>
                <w:color w:val="000000"/>
              </w:rPr>
              <w:t>Percentage (%)</w:t>
            </w:r>
          </w:p>
        </w:tc>
      </w:tr>
      <w:tr>
        <w:tblPrEx/>
        <w:trPr>
          <w:cantSplit/>
          <w:trHeight w:val="495" w:hRule="atLeast"/>
        </w:trPr>
        <w:tc>
          <w:tcPr>
            <w:tcW w:w="3261" w:type="dxa"/>
            <w:tcBorders>
              <w:top w:val="single" w:sz="18" w:space="0" w:color="auto"/>
            </w:tcBorders>
            <w:shd w:val="clear" w:color="auto" w:fill="auto"/>
          </w:tcPr>
          <w:p>
            <w:pPr>
              <w:pStyle w:val="style0"/>
              <w:spacing w:lineRule="auto" w:line="480"/>
              <w:ind w:left="60" w:right="60"/>
              <w:rPr>
                <w:color w:val="000000"/>
              </w:rPr>
            </w:pPr>
            <w:r>
              <w:rPr>
                <w:color w:val="000000"/>
              </w:rPr>
              <w:t>Charcoal</w:t>
            </w:r>
          </w:p>
        </w:tc>
        <w:tc>
          <w:tcPr>
            <w:tcW w:w="2049" w:type="dxa"/>
            <w:tcBorders>
              <w:top w:val="single" w:sz="18" w:space="0" w:color="auto"/>
            </w:tcBorders>
            <w:shd w:val="clear" w:color="auto" w:fill="auto"/>
          </w:tcPr>
          <w:p>
            <w:pPr>
              <w:pStyle w:val="style0"/>
              <w:spacing w:lineRule="auto" w:line="480"/>
              <w:ind w:left="60" w:right="60"/>
              <w:jc w:val="center"/>
              <w:rPr>
                <w:color w:val="000000"/>
              </w:rPr>
            </w:pPr>
            <w:r>
              <w:rPr>
                <w:color w:val="000000"/>
              </w:rPr>
              <w:t>16</w:t>
            </w:r>
          </w:p>
        </w:tc>
        <w:tc>
          <w:tcPr>
            <w:tcW w:w="2451" w:type="dxa"/>
            <w:tcBorders>
              <w:top w:val="single" w:sz="18" w:space="0" w:color="auto"/>
            </w:tcBorders>
            <w:shd w:val="clear" w:color="auto" w:fill="auto"/>
            <w:vAlign w:val="bottom"/>
          </w:tcPr>
          <w:p>
            <w:pPr>
              <w:pStyle w:val="style0"/>
              <w:spacing w:lineRule="auto" w:line="480"/>
              <w:ind w:left="60" w:right="60"/>
              <w:jc w:val="center"/>
              <w:rPr>
                <w:color w:val="000000"/>
              </w:rPr>
            </w:pPr>
            <w:r>
              <w:rPr>
                <w:color w:val="000000"/>
              </w:rPr>
              <w:t>16.16</w:t>
            </w:r>
          </w:p>
        </w:tc>
      </w:tr>
      <w:tr>
        <w:tblPrEx/>
        <w:trPr>
          <w:cantSplit/>
          <w:trHeight w:val="519" w:hRule="atLeast"/>
        </w:trPr>
        <w:tc>
          <w:tcPr>
            <w:tcW w:w="3261" w:type="dxa"/>
            <w:tcBorders/>
            <w:shd w:val="clear" w:color="auto" w:fill="auto"/>
          </w:tcPr>
          <w:p>
            <w:pPr>
              <w:pStyle w:val="style0"/>
              <w:spacing w:lineRule="auto" w:line="480"/>
              <w:ind w:left="60" w:right="60"/>
              <w:rPr>
                <w:color w:val="000000"/>
              </w:rPr>
            </w:pPr>
            <w:r>
              <w:rPr>
                <w:color w:val="000000"/>
              </w:rPr>
              <w:t>Firewood</w:t>
            </w:r>
          </w:p>
        </w:tc>
        <w:tc>
          <w:tcPr>
            <w:tcW w:w="2049" w:type="dxa"/>
            <w:tcBorders/>
            <w:shd w:val="clear" w:color="auto" w:fill="auto"/>
          </w:tcPr>
          <w:p>
            <w:pPr>
              <w:pStyle w:val="style0"/>
              <w:spacing w:lineRule="auto" w:line="480"/>
              <w:ind w:left="60" w:right="60"/>
              <w:jc w:val="center"/>
              <w:rPr>
                <w:color w:val="000000"/>
              </w:rPr>
            </w:pPr>
            <w:r>
              <w:rPr>
                <w:color w:val="000000"/>
              </w:rPr>
              <w:t>75</w:t>
            </w:r>
          </w:p>
        </w:tc>
        <w:tc>
          <w:tcPr>
            <w:tcW w:w="2451" w:type="dxa"/>
            <w:tcBorders/>
            <w:shd w:val="clear" w:color="auto" w:fill="auto"/>
            <w:vAlign w:val="bottom"/>
          </w:tcPr>
          <w:p>
            <w:pPr>
              <w:pStyle w:val="style0"/>
              <w:spacing w:lineRule="auto" w:line="480"/>
              <w:ind w:left="60" w:right="60"/>
              <w:jc w:val="center"/>
              <w:rPr>
                <w:color w:val="000000"/>
              </w:rPr>
            </w:pPr>
            <w:r>
              <w:rPr>
                <w:color w:val="000000"/>
              </w:rPr>
              <w:t>75.8</w:t>
            </w:r>
          </w:p>
        </w:tc>
      </w:tr>
      <w:tr>
        <w:tblPrEx/>
        <w:trPr>
          <w:cantSplit/>
          <w:trHeight w:val="519" w:hRule="atLeast"/>
        </w:trPr>
        <w:tc>
          <w:tcPr>
            <w:tcW w:w="3261" w:type="dxa"/>
            <w:tcBorders>
              <w:bottom w:val="single" w:sz="18" w:space="0" w:color="auto"/>
            </w:tcBorders>
            <w:shd w:val="clear" w:color="auto" w:fill="auto"/>
          </w:tcPr>
          <w:p>
            <w:pPr>
              <w:pStyle w:val="style0"/>
              <w:spacing w:lineRule="auto" w:line="480"/>
              <w:ind w:left="60" w:right="60"/>
              <w:rPr>
                <w:color w:val="000000"/>
              </w:rPr>
            </w:pPr>
            <w:r>
              <w:rPr>
                <w:color w:val="000000"/>
              </w:rPr>
              <w:t>Both Charcoal and Firewood</w:t>
            </w:r>
          </w:p>
        </w:tc>
        <w:tc>
          <w:tcPr>
            <w:tcW w:w="2049" w:type="dxa"/>
            <w:tcBorders>
              <w:bottom w:val="single" w:sz="18" w:space="0" w:color="auto"/>
            </w:tcBorders>
            <w:shd w:val="clear" w:color="auto" w:fill="auto"/>
          </w:tcPr>
          <w:p>
            <w:pPr>
              <w:pStyle w:val="style0"/>
              <w:spacing w:lineRule="auto" w:line="480"/>
              <w:ind w:left="60" w:right="60"/>
              <w:jc w:val="center"/>
              <w:rPr>
                <w:color w:val="000000"/>
              </w:rPr>
            </w:pPr>
            <w:r>
              <w:rPr>
                <w:color w:val="000000"/>
              </w:rPr>
              <w:t>8</w:t>
            </w:r>
          </w:p>
        </w:tc>
        <w:tc>
          <w:tcPr>
            <w:tcW w:w="2451" w:type="dxa"/>
            <w:tcBorders>
              <w:bottom w:val="single" w:sz="18" w:space="0" w:color="auto"/>
            </w:tcBorders>
            <w:shd w:val="clear" w:color="auto" w:fill="auto"/>
            <w:vAlign w:val="bottom"/>
          </w:tcPr>
          <w:p>
            <w:pPr>
              <w:pStyle w:val="style0"/>
              <w:spacing w:lineRule="auto" w:line="480"/>
              <w:ind w:left="60" w:right="60"/>
              <w:jc w:val="center"/>
              <w:rPr>
                <w:color w:val="000000"/>
              </w:rPr>
            </w:pPr>
            <w:r>
              <w:rPr>
                <w:color w:val="000000"/>
              </w:rPr>
              <w:t>8.1</w:t>
            </w:r>
          </w:p>
        </w:tc>
      </w:tr>
    </w:tbl>
    <w:p>
      <w:pPr>
        <w:pStyle w:val="style34"/>
        <w:keepNext/>
        <w:rPr/>
      </w:pPr>
      <w:r>
        <w:rPr>
          <w:i w:val="false"/>
          <w:iCs w:val="false"/>
          <w:noProof/>
          <w:color w:val="000000"/>
          <w:sz w:val="24"/>
          <w:szCs w:val="24"/>
        </w:rPr>
        <w:drawing>
          <wp:inline distL="0" distT="0" distB="0" distR="0">
            <wp:extent cx="5038927" cy="4282188"/>
            <wp:effectExtent l="0" t="0" r="0" b="4445"/>
            <wp:docPr id="1043" name="Picture 2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23"/>
                    <pic:cNvPicPr/>
                  </pic:nvPicPr>
                  <pic:blipFill>
                    <a:blip r:embed="rId6" cstate="print"/>
                    <a:srcRect l="0" t="0" r="0" b="0"/>
                    <a:stretch/>
                  </pic:blipFill>
                  <pic:spPr>
                    <a:xfrm rot="0">
                      <a:off x="0" y="0"/>
                      <a:ext cx="5038927" cy="4282188"/>
                    </a:xfrm>
                    <a:prstGeom prst="rect"/>
                  </pic:spPr>
                </pic:pic>
              </a:graphicData>
            </a:graphic>
          </wp:inline>
        </w:drawing>
      </w:r>
    </w:p>
    <w:bookmarkStart w:id="113" w:name="_Toc177668498"/>
    <w:p>
      <w:pPr>
        <w:pStyle w:val="style34"/>
        <w:rPr>
          <w:i w:val="false"/>
          <w:iCs w:val="false"/>
          <w:color w:val="000000"/>
          <w:sz w:val="24"/>
          <w:szCs w:val="24"/>
        </w:rPr>
      </w:pPr>
      <w:r>
        <w:rPr>
          <w:i w:val="false"/>
          <w:iCs w:val="false"/>
          <w:color w:val="000000"/>
          <w:sz w:val="24"/>
          <w:szCs w:val="24"/>
        </w:rPr>
        <w:t xml:space="preserve">Plate </w:t>
      </w:r>
      <w:r>
        <w:rPr>
          <w:i w:val="false"/>
          <w:iCs w:val="false"/>
          <w:color w:val="000000"/>
          <w:sz w:val="24"/>
          <w:szCs w:val="24"/>
        </w:rPr>
        <w:fldChar w:fldCharType="begin"/>
      </w:r>
      <w:r>
        <w:rPr>
          <w:i w:val="false"/>
          <w:iCs w:val="false"/>
          <w:color w:val="000000"/>
          <w:sz w:val="24"/>
          <w:szCs w:val="24"/>
        </w:rPr>
        <w:instrText xml:space="preserve"> SEQ Plate \* ARABIC </w:instrText>
      </w:r>
      <w:r>
        <w:rPr>
          <w:i w:val="false"/>
          <w:iCs w:val="false"/>
          <w:color w:val="000000"/>
          <w:sz w:val="24"/>
          <w:szCs w:val="24"/>
        </w:rPr>
        <w:fldChar w:fldCharType="separate"/>
      </w:r>
      <w:r>
        <w:rPr>
          <w:i w:val="false"/>
          <w:iCs w:val="false"/>
          <w:noProof/>
          <w:color w:val="000000"/>
          <w:sz w:val="24"/>
          <w:szCs w:val="24"/>
        </w:rPr>
        <w:t>1</w:t>
      </w:r>
      <w:r>
        <w:rPr>
          <w:i w:val="false"/>
          <w:iCs w:val="false"/>
          <w:color w:val="000000"/>
          <w:sz w:val="24"/>
          <w:szCs w:val="24"/>
        </w:rPr>
        <w:fldChar w:fldCharType="end"/>
      </w:r>
      <w:r>
        <w:rPr>
          <w:i w:val="false"/>
          <w:iCs w:val="false"/>
          <w:color w:val="000000"/>
          <w:sz w:val="24"/>
          <w:szCs w:val="24"/>
        </w:rPr>
        <w:t>: Three stones cooking stoves</w:t>
      </w:r>
      <w:bookmarkEnd w:id="113"/>
    </w:p>
    <w:p>
      <w:pPr>
        <w:pStyle w:val="style0"/>
        <w:rPr>
          <w:b/>
          <w:color w:val="000000"/>
        </w:rPr>
      </w:pPr>
      <w:r>
        <w:rPr>
          <w:b/>
          <w:color w:val="000000"/>
        </w:rPr>
        <w:t>4.2.2 Amount per each type</w:t>
      </w:r>
    </w:p>
    <w:p>
      <w:pPr>
        <w:pStyle w:val="style0"/>
        <w:spacing w:lineRule="auto" w:line="480"/>
        <w:rPr>
          <w:color w:val="000000"/>
        </w:rPr>
      </w:pPr>
      <w:r>
        <w:rPr>
          <w:color w:val="000000"/>
        </w:rPr>
        <w:t xml:space="preserve">Regarding the data on charcoal usage highlights significant reliance on this traditional </w:t>
      </w:r>
      <w:r>
        <w:rPr>
          <w:color w:val="000000"/>
        </w:rPr>
        <w:t>wood fuel</w:t>
      </w:r>
      <w:r>
        <w:rPr>
          <w:color w:val="000000"/>
        </w:rPr>
        <w:t xml:space="preserve"> among respondents</w:t>
      </w:r>
      <w:r>
        <w:rPr>
          <w:color w:val="000000"/>
        </w:rPr>
        <w:t xml:space="preserve"> as shown in table 4</w:t>
      </w:r>
      <w:r>
        <w:rPr>
          <w:color w:val="000000"/>
        </w:rPr>
        <w:t>, with 44.44% using between 11 to 20 buckets, indicating high consumption levels. Another 22.22% use between 5 to 10 buckets, and 13.13% use more than 20 buckets, reflecting substantial demand across different household sizes and energy needs. Only 20.20% of respondents use between 0 to 5 buckets</w:t>
      </w:r>
      <w:r>
        <w:rPr>
          <w:color w:val="000000"/>
        </w:rPr>
        <w:t xml:space="preserve"> (Plate 2)</w:t>
      </w:r>
      <w:r>
        <w:rPr>
          <w:color w:val="000000"/>
        </w:rPr>
        <w:t xml:space="preserve">, suggesting that while some households are less reliant on charcoal, a significant portion still depends heavily on this fuel source. These findings </w:t>
      </w:r>
      <w:r>
        <w:rPr>
          <w:color w:val="000000"/>
        </w:rPr>
        <w:t>imply</w:t>
      </w:r>
      <w:r>
        <w:rPr>
          <w:color w:val="000000"/>
        </w:rPr>
        <w:t xml:space="preserve"> the high levels of charcoal consumption identified in this study underscore the </w:t>
      </w:r>
      <w:r>
        <w:rPr>
          <w:color w:val="000000"/>
        </w:rPr>
        <w:t xml:space="preserve">urgency of implementing these strategies to achieve the plan’s goals of reducing deforestation and improving public health outcomes. When considering Tanzania's Clean Energy Strategic Plan 2024 to 2034, which aims to reduce the country's reliance on </w:t>
      </w:r>
      <w:r>
        <w:rPr>
          <w:color w:val="000000"/>
        </w:rPr>
        <w:t>wood fuel</w:t>
      </w:r>
      <w:r>
        <w:rPr>
          <w:color w:val="000000"/>
        </w:rPr>
        <w:t xml:space="preserve"> fuels like charcoal by promoting cleaner, more sustainable energy alternatives. The plan's objectives include increasing access to affordable clean energy solutions, such as liquefied petroleum gas (LPG), solar energy, and improved cookstoves, to mitigate the health risks and environmental degradation associated with </w:t>
      </w:r>
      <w:r>
        <w:rPr>
          <w:color w:val="000000"/>
        </w:rPr>
        <w:t>wood fuel</w:t>
      </w:r>
      <w:r>
        <w:rPr>
          <w:color w:val="000000"/>
        </w:rPr>
        <w:t xml:space="preserve"> use.</w:t>
      </w:r>
    </w:p>
    <w:p>
      <w:pPr>
        <w:pStyle w:val="style0"/>
        <w:spacing w:lineRule="auto" w:line="480"/>
        <w:rPr>
          <w:color w:val="000000"/>
        </w:rPr>
      </w:pPr>
      <w:r>
        <w:rPr>
          <w:color w:val="000000"/>
        </w:rPr>
        <w:t xml:space="preserve">The data on firewood consumption also reveals a significant dependence on </w:t>
      </w:r>
      <w:r>
        <w:rPr>
          <w:color w:val="000000"/>
        </w:rPr>
        <w:t>wood fuel</w:t>
      </w:r>
      <w:r>
        <w:rPr>
          <w:color w:val="000000"/>
        </w:rPr>
        <w:t xml:space="preserve"> energy, with 38.38% of respondents using between 5 to 10 bundles, making this the most common consumption level. Another 29.29% of respondents use between 11 to 20 bundles, indicating that a substantial portion of households relies heavily on firewood for their energy needs. Meanwhile, 18.18% of respondents use between 0 to 5 bundles, and 14.14% use more than 20 bundles, reflecting a broad range of firewood usage across different households</w:t>
      </w:r>
      <w:r>
        <w:rPr>
          <w:color w:val="000000"/>
        </w:rPr>
        <w:t xml:space="preserve"> (Table 4)</w:t>
      </w:r>
      <w:r>
        <w:rPr>
          <w:color w:val="000000"/>
        </w:rPr>
        <w:t xml:space="preserve">. This heavy reliance on firewood aligns with the broader challenges addressed in Tanzania's Clean Energy Strategic Plan 2024 to 2034, which seeks to transition communities away from traditional </w:t>
      </w:r>
      <w:r>
        <w:rPr>
          <w:color w:val="000000"/>
        </w:rPr>
        <w:t>wood fuel</w:t>
      </w:r>
      <w:r>
        <w:rPr>
          <w:color w:val="000000"/>
        </w:rPr>
        <w:t xml:space="preserve"> fuels toward more sustainable energy sources. The plan emphasizes the importance of enhancing awareness and access to clean energy technologies, which can help reduce the environmental impacts of widespread firewood use, such as deforestation and soil degradation. The data suggests that significant efforts are needed to promote the adoption of alternative energy sources in order to achieve the strategic plan’s long-</w:t>
      </w:r>
      <w:r>
        <w:rPr>
          <w:color w:val="000000"/>
        </w:rPr>
        <w:t xml:space="preserve">term environmental and health objectives. The data on both charcoal and firewood usage illustrates the persistent dependence on </w:t>
      </w:r>
      <w:r>
        <w:rPr>
          <w:color w:val="000000"/>
        </w:rPr>
        <w:t>wood fuel</w:t>
      </w:r>
      <w:r>
        <w:rPr>
          <w:color w:val="000000"/>
        </w:rPr>
        <w:t xml:space="preserve"> fuels in Tanzania, despite the government's efforts to promote clean energy alternatives. The Clean Energy Strategic Plan 2024 to 2034 outlines a comprehensive approach to addressing these challenges, including expanding clean energy infrastructure, providing subsidies for clean energy products, and conducting public awareness campaigns. However, the variations in </w:t>
      </w:r>
      <w:r>
        <w:rPr>
          <w:color w:val="000000"/>
        </w:rPr>
        <w:t>wood fuel</w:t>
      </w:r>
      <w:r>
        <w:rPr>
          <w:color w:val="000000"/>
        </w:rPr>
        <w:t xml:space="preserve"> </w:t>
      </w:r>
      <w:r>
        <w:rPr>
          <w:color w:val="000000"/>
        </w:rPr>
        <w:t>imply</w:t>
      </w:r>
      <w:r>
        <w:rPr>
          <w:color w:val="000000"/>
        </w:rPr>
        <w:t xml:space="preserve"> consumption identified in this study indicate that tailored interventions may be necessary to address the specific energy needs and consumption patterns of different communities. By aligning these interventions with the strategic plan's goals, Tanzania can make significant progress toward reducing </w:t>
      </w:r>
      <w:r>
        <w:rPr>
          <w:color w:val="000000"/>
        </w:rPr>
        <w:t>wood fuel</w:t>
      </w:r>
      <w:r>
        <w:rPr>
          <w:color w:val="000000"/>
        </w:rPr>
        <w:t xml:space="preserve"> </w:t>
      </w:r>
      <w:r>
        <w:rPr>
          <w:color w:val="000000"/>
        </w:rPr>
        <w:t>imply</w:t>
      </w:r>
      <w:r>
        <w:rPr>
          <w:color w:val="000000"/>
        </w:rPr>
        <w:t xml:space="preserve"> use and achieving a more sustainable energy future.</w:t>
      </w:r>
    </w:p>
    <w:bookmarkStart w:id="114" w:name="_Toc177668539"/>
    <w:p>
      <w:pPr>
        <w:pStyle w:val="style34"/>
        <w:keepNext/>
        <w:rPr>
          <w:i w:val="false"/>
          <w:iCs w:val="false"/>
          <w:color w:val="000000"/>
          <w:sz w:val="24"/>
          <w:szCs w:val="24"/>
        </w:rPr>
      </w:pPr>
      <w:r>
        <w:rPr>
          <w:i w:val="false"/>
          <w:iCs w:val="false"/>
          <w:color w:val="000000"/>
          <w:sz w:val="24"/>
          <w:szCs w:val="24"/>
        </w:rPr>
        <w:t xml:space="preserve">Table </w:t>
      </w:r>
      <w:r>
        <w:rPr>
          <w:i w:val="false"/>
          <w:iCs w:val="false"/>
          <w:color w:val="000000"/>
          <w:sz w:val="24"/>
          <w:szCs w:val="24"/>
        </w:rPr>
        <w:fldChar w:fldCharType="begin"/>
      </w:r>
      <w:r>
        <w:rPr>
          <w:i w:val="false"/>
          <w:iCs w:val="false"/>
          <w:color w:val="000000"/>
          <w:sz w:val="24"/>
          <w:szCs w:val="24"/>
        </w:rPr>
        <w:instrText xml:space="preserve"> SEQ Table \* ARABIC </w:instrText>
      </w:r>
      <w:r>
        <w:rPr>
          <w:i w:val="false"/>
          <w:iCs w:val="false"/>
          <w:color w:val="000000"/>
          <w:sz w:val="24"/>
          <w:szCs w:val="24"/>
        </w:rPr>
        <w:fldChar w:fldCharType="separate"/>
      </w:r>
      <w:r>
        <w:rPr>
          <w:i w:val="false"/>
          <w:iCs w:val="false"/>
          <w:noProof/>
          <w:color w:val="000000"/>
          <w:sz w:val="24"/>
          <w:szCs w:val="24"/>
        </w:rPr>
        <w:t>4</w:t>
      </w:r>
      <w:r>
        <w:rPr>
          <w:i w:val="false"/>
          <w:iCs w:val="false"/>
          <w:color w:val="000000"/>
          <w:sz w:val="24"/>
          <w:szCs w:val="24"/>
        </w:rPr>
        <w:fldChar w:fldCharType="end"/>
      </w:r>
      <w:r>
        <w:rPr>
          <w:i w:val="false"/>
          <w:iCs w:val="false"/>
          <w:color w:val="000000"/>
          <w:sz w:val="24"/>
          <w:szCs w:val="24"/>
        </w:rPr>
        <w:t xml:space="preserve">: Amount of </w:t>
      </w:r>
      <w:r>
        <w:rPr>
          <w:i w:val="false"/>
          <w:iCs w:val="false"/>
          <w:color w:val="000000"/>
          <w:sz w:val="24"/>
          <w:szCs w:val="24"/>
        </w:rPr>
        <w:t>wood fuel</w:t>
      </w:r>
      <w:r>
        <w:rPr>
          <w:i w:val="false"/>
          <w:iCs w:val="false"/>
          <w:color w:val="000000"/>
          <w:sz w:val="24"/>
          <w:szCs w:val="24"/>
        </w:rPr>
        <w:t xml:space="preserve"> per each type (n = 99)</w:t>
      </w:r>
      <w:bookmarkEnd w:id="114"/>
    </w:p>
    <w:tbl>
      <w:tblPr>
        <w:tblW w:w="8100" w:type="dxa"/>
        <w:tblLook w:val="04A0" w:firstRow="1" w:lastRow="0" w:firstColumn="1" w:lastColumn="0" w:noHBand="0" w:noVBand="1"/>
      </w:tblPr>
      <w:tblGrid>
        <w:gridCol w:w="2640"/>
        <w:gridCol w:w="2340"/>
        <w:gridCol w:w="1380"/>
        <w:gridCol w:w="1740"/>
      </w:tblGrid>
      <w:tr>
        <w:trPr>
          <w:trHeight w:val="315" w:hRule="atLeast"/>
        </w:trPr>
        <w:tc>
          <w:tcPr>
            <w:tcW w:w="2640" w:type="dxa"/>
            <w:vMerge w:val="restart"/>
            <w:tcBorders>
              <w:top w:val="single" w:sz="4" w:space="0" w:color="auto"/>
            </w:tcBorders>
            <w:shd w:val="clear" w:color="auto" w:fill="auto"/>
            <w:noWrap/>
            <w:vAlign w:val="center"/>
            <w:hideMark/>
          </w:tcPr>
          <w:p>
            <w:pPr>
              <w:pStyle w:val="style0"/>
              <w:spacing w:before="0" w:beforeAutospacing="false" w:after="0" w:afterAutospacing="false" w:lineRule="auto" w:line="240"/>
              <w:jc w:val="center"/>
              <w:rPr>
                <w:rFonts w:ascii="Calibri" w:cs="Calibri" w:hAnsi="Calibri"/>
                <w:color w:val="000000"/>
                <w:sz w:val="22"/>
                <w:szCs w:val="22"/>
              </w:rPr>
            </w:pPr>
            <w:r>
              <w:rPr>
                <w:rFonts w:ascii="Calibri" w:cs="Calibri" w:hAnsi="Calibri"/>
                <w:color w:val="000000"/>
                <w:sz w:val="22"/>
                <w:szCs w:val="22"/>
              </w:rPr>
              <w:t>Charcoal</w:t>
            </w:r>
          </w:p>
        </w:tc>
        <w:tc>
          <w:tcPr>
            <w:tcW w:w="2340" w:type="dxa"/>
            <w:tcBorders>
              <w:top w:val="single" w:sz="4" w:space="0" w:color="auto"/>
              <w:bottom w:val="single" w:sz="4" w:space="0" w:color="auto"/>
            </w:tcBorders>
            <w:shd w:val="clear" w:color="auto" w:fill="auto"/>
            <w:noWrap/>
            <w:vAlign w:val="bottom"/>
            <w:hideMark/>
          </w:tcPr>
          <w:p>
            <w:pPr>
              <w:pStyle w:val="style0"/>
              <w:spacing w:before="0" w:beforeAutospacing="false" w:after="0" w:afterAutospacing="false" w:lineRule="auto" w:line="240"/>
              <w:jc w:val="left"/>
              <w:rPr>
                <w:rFonts w:ascii="Calibri" w:cs="Calibri" w:hAnsi="Calibri"/>
                <w:b/>
                <w:bCs/>
                <w:color w:val="000000"/>
                <w:sz w:val="22"/>
                <w:szCs w:val="22"/>
              </w:rPr>
            </w:pPr>
            <w:r>
              <w:rPr>
                <w:rFonts w:ascii="Calibri" w:cs="Calibri" w:hAnsi="Calibri"/>
                <w:b/>
                <w:bCs/>
                <w:color w:val="000000"/>
                <w:sz w:val="22"/>
                <w:szCs w:val="22"/>
              </w:rPr>
              <w:t>Quantity of Wood fuel</w:t>
            </w:r>
          </w:p>
        </w:tc>
        <w:tc>
          <w:tcPr>
            <w:tcW w:w="1380" w:type="dxa"/>
            <w:tcBorders>
              <w:top w:val="single" w:sz="4" w:space="0" w:color="auto"/>
              <w:bottom w:val="single" w:sz="4" w:space="0" w:color="auto"/>
            </w:tcBorders>
            <w:shd w:val="clear" w:color="auto" w:fill="auto"/>
            <w:noWrap/>
            <w:vAlign w:val="bottom"/>
            <w:hideMark/>
          </w:tcPr>
          <w:p>
            <w:pPr>
              <w:pStyle w:val="style0"/>
              <w:spacing w:before="0" w:beforeAutospacing="false" w:after="0" w:afterAutospacing="false" w:lineRule="auto" w:line="240"/>
              <w:jc w:val="left"/>
              <w:rPr>
                <w:rFonts w:ascii="Calibri" w:cs="Calibri" w:hAnsi="Calibri"/>
                <w:b/>
                <w:bCs/>
                <w:color w:val="000000"/>
                <w:sz w:val="22"/>
                <w:szCs w:val="22"/>
              </w:rPr>
            </w:pPr>
            <w:r>
              <w:rPr>
                <w:color w:val="000000"/>
              </w:rPr>
              <w:t>Frequency</w:t>
            </w:r>
          </w:p>
        </w:tc>
        <w:tc>
          <w:tcPr>
            <w:tcW w:w="1740" w:type="dxa"/>
            <w:tcBorders>
              <w:top w:val="single" w:sz="4" w:space="0" w:color="auto"/>
              <w:bottom w:val="single" w:sz="4" w:space="0" w:color="auto"/>
            </w:tcBorders>
            <w:shd w:val="clear" w:color="auto" w:fill="auto"/>
            <w:noWrap/>
            <w:vAlign w:val="bottom"/>
            <w:hideMark/>
          </w:tcPr>
          <w:p>
            <w:pPr>
              <w:pStyle w:val="style0"/>
              <w:spacing w:before="0" w:beforeAutospacing="false" w:after="0" w:afterAutospacing="false" w:lineRule="auto" w:line="240"/>
              <w:jc w:val="left"/>
              <w:rPr>
                <w:rFonts w:ascii="Calibri" w:cs="Calibri" w:hAnsi="Calibri"/>
                <w:b/>
                <w:bCs/>
                <w:color w:val="000000"/>
                <w:sz w:val="22"/>
                <w:szCs w:val="22"/>
              </w:rPr>
            </w:pPr>
            <w:r>
              <w:rPr>
                <w:color w:val="000000"/>
              </w:rPr>
              <w:t>Percentage (%)</w:t>
            </w:r>
          </w:p>
        </w:tc>
      </w:tr>
      <w:tr>
        <w:tblPrEx/>
        <w:trPr>
          <w:trHeight w:val="330" w:hRule="atLeast"/>
        </w:trPr>
        <w:tc>
          <w:tcPr>
            <w:tcW w:w="2640" w:type="dxa"/>
            <w:vMerge w:val="continue"/>
            <w:tcBorders/>
            <w:shd w:val="clear" w:color="auto" w:fill="auto"/>
            <w:vAlign w:val="center"/>
            <w:hideMark/>
          </w:tcPr>
          <w:p>
            <w:pPr>
              <w:pStyle w:val="style0"/>
              <w:spacing w:before="0" w:beforeAutospacing="false" w:after="0" w:afterAutospacing="false" w:lineRule="auto" w:line="240"/>
              <w:jc w:val="left"/>
              <w:rPr>
                <w:rFonts w:ascii="Calibri" w:cs="Calibri" w:hAnsi="Calibri"/>
                <w:color w:val="000000"/>
                <w:sz w:val="22"/>
                <w:szCs w:val="22"/>
              </w:rPr>
            </w:pPr>
          </w:p>
        </w:tc>
        <w:tc>
          <w:tcPr>
            <w:tcW w:w="2340" w:type="dxa"/>
            <w:tcBorders>
              <w:top w:val="single" w:sz="4" w:space="0" w:color="auto"/>
            </w:tcBorders>
            <w:shd w:val="clear" w:color="auto" w:fill="auto"/>
            <w:noWrap/>
            <w:vAlign w:val="bottom"/>
            <w:hideMark/>
          </w:tcPr>
          <w:p>
            <w:pPr>
              <w:pStyle w:val="style0"/>
              <w:spacing w:before="0" w:beforeAutospacing="false" w:after="0" w:afterAutospacing="false" w:lineRule="auto" w:line="240"/>
              <w:jc w:val="left"/>
              <w:rPr>
                <w:rFonts w:ascii="Calibri" w:cs="Calibri" w:hAnsi="Calibri"/>
                <w:color w:val="000000"/>
                <w:sz w:val="22"/>
                <w:szCs w:val="22"/>
              </w:rPr>
            </w:pPr>
            <w:r>
              <w:rPr>
                <w:rFonts w:ascii="Calibri" w:cs="Calibri" w:hAnsi="Calibri"/>
                <w:color w:val="000000"/>
                <w:sz w:val="22"/>
                <w:szCs w:val="22"/>
              </w:rPr>
              <w:t xml:space="preserve">0 – 5 </w:t>
            </w:r>
            <w:r>
              <w:rPr>
                <w:rFonts w:ascii="Calibri" w:cs="Calibri" w:hAnsi="Calibri"/>
                <w:color w:val="000000"/>
                <w:sz w:val="22"/>
                <w:szCs w:val="22"/>
              </w:rPr>
              <w:t>kg</w:t>
            </w:r>
          </w:p>
        </w:tc>
        <w:tc>
          <w:tcPr>
            <w:tcW w:w="1380" w:type="dxa"/>
            <w:tcBorders>
              <w:top w:val="single" w:sz="4" w:space="0" w:color="auto"/>
            </w:tcBorders>
            <w:shd w:val="clear" w:color="auto" w:fill="auto"/>
            <w:noWrap/>
            <w:vAlign w:val="bottom"/>
            <w:hideMark/>
          </w:tcPr>
          <w:p>
            <w:pPr>
              <w:pStyle w:val="style0"/>
              <w:spacing w:before="0" w:beforeAutospacing="false" w:after="0" w:afterAutospacing="false" w:lineRule="auto" w:line="240"/>
              <w:jc w:val="center"/>
              <w:rPr>
                <w:rFonts w:ascii="Calibri" w:cs="Calibri" w:hAnsi="Calibri"/>
                <w:color w:val="000000"/>
                <w:sz w:val="22"/>
                <w:szCs w:val="22"/>
              </w:rPr>
            </w:pPr>
            <w:r>
              <w:rPr>
                <w:rFonts w:ascii="Calibri" w:cs="Calibri" w:hAnsi="Calibri"/>
                <w:color w:val="000000"/>
                <w:sz w:val="22"/>
                <w:szCs w:val="22"/>
              </w:rPr>
              <w:t>20</w:t>
            </w:r>
          </w:p>
        </w:tc>
        <w:tc>
          <w:tcPr>
            <w:tcW w:w="1740" w:type="dxa"/>
            <w:tcBorders>
              <w:top w:val="single" w:sz="4" w:space="0" w:color="auto"/>
            </w:tcBorders>
            <w:shd w:val="clear" w:color="auto" w:fill="auto"/>
            <w:noWrap/>
            <w:vAlign w:val="bottom"/>
            <w:hideMark/>
          </w:tcPr>
          <w:p>
            <w:pPr>
              <w:pStyle w:val="style0"/>
              <w:spacing w:before="0" w:beforeAutospacing="false" w:after="0" w:afterAutospacing="false" w:lineRule="auto" w:line="240"/>
              <w:jc w:val="center"/>
              <w:rPr>
                <w:rFonts w:ascii="Calibri" w:cs="Calibri" w:hAnsi="Calibri"/>
                <w:color w:val="000000"/>
                <w:sz w:val="22"/>
                <w:szCs w:val="22"/>
              </w:rPr>
            </w:pPr>
            <w:r>
              <w:rPr>
                <w:rFonts w:ascii="Calibri" w:cs="Calibri" w:hAnsi="Calibri"/>
                <w:color w:val="000000"/>
                <w:sz w:val="22"/>
                <w:szCs w:val="22"/>
              </w:rPr>
              <w:t>20.20</w:t>
            </w:r>
          </w:p>
        </w:tc>
      </w:tr>
      <w:tr>
        <w:tblPrEx/>
        <w:trPr>
          <w:trHeight w:val="315" w:hRule="atLeast"/>
        </w:trPr>
        <w:tc>
          <w:tcPr>
            <w:tcW w:w="2640" w:type="dxa"/>
            <w:vMerge w:val="continue"/>
            <w:tcBorders/>
            <w:shd w:val="clear" w:color="auto" w:fill="auto"/>
            <w:vAlign w:val="center"/>
            <w:hideMark/>
          </w:tcPr>
          <w:p>
            <w:pPr>
              <w:pStyle w:val="style0"/>
              <w:spacing w:before="0" w:beforeAutospacing="false" w:after="0" w:afterAutospacing="false" w:lineRule="auto" w:line="240"/>
              <w:jc w:val="left"/>
              <w:rPr>
                <w:rFonts w:ascii="Calibri" w:cs="Calibri" w:hAnsi="Calibri"/>
                <w:color w:val="000000"/>
                <w:sz w:val="22"/>
                <w:szCs w:val="22"/>
              </w:rPr>
            </w:pPr>
          </w:p>
        </w:tc>
        <w:tc>
          <w:tcPr>
            <w:tcW w:w="2340" w:type="dxa"/>
            <w:tcBorders/>
            <w:shd w:val="clear" w:color="auto" w:fill="auto"/>
            <w:noWrap/>
            <w:vAlign w:val="bottom"/>
            <w:hideMark/>
          </w:tcPr>
          <w:p>
            <w:pPr>
              <w:pStyle w:val="style0"/>
              <w:spacing w:before="0" w:beforeAutospacing="false" w:after="0" w:afterAutospacing="false" w:lineRule="auto" w:line="240"/>
              <w:jc w:val="left"/>
              <w:rPr>
                <w:rFonts w:ascii="Calibri" w:cs="Calibri" w:hAnsi="Calibri"/>
                <w:color w:val="000000"/>
                <w:sz w:val="22"/>
                <w:szCs w:val="22"/>
              </w:rPr>
            </w:pPr>
            <w:r>
              <w:rPr>
                <w:rFonts w:ascii="Calibri" w:cs="Calibri" w:hAnsi="Calibri"/>
                <w:color w:val="000000"/>
                <w:sz w:val="22"/>
                <w:szCs w:val="22"/>
              </w:rPr>
              <w:t xml:space="preserve">5 – 10 </w:t>
            </w:r>
            <w:r>
              <w:rPr>
                <w:rFonts w:ascii="Calibri" w:cs="Calibri" w:hAnsi="Calibri"/>
                <w:color w:val="000000"/>
                <w:sz w:val="22"/>
                <w:szCs w:val="22"/>
              </w:rPr>
              <w:t>kg</w:t>
            </w:r>
          </w:p>
        </w:tc>
        <w:tc>
          <w:tcPr>
            <w:tcW w:w="1380" w:type="dxa"/>
            <w:tcBorders/>
            <w:shd w:val="clear" w:color="auto" w:fill="auto"/>
            <w:noWrap/>
            <w:vAlign w:val="bottom"/>
            <w:hideMark/>
          </w:tcPr>
          <w:p>
            <w:pPr>
              <w:pStyle w:val="style0"/>
              <w:spacing w:before="0" w:beforeAutospacing="false" w:after="0" w:afterAutospacing="false" w:lineRule="auto" w:line="240"/>
              <w:jc w:val="center"/>
              <w:rPr>
                <w:rFonts w:ascii="Calibri" w:cs="Calibri" w:hAnsi="Calibri"/>
                <w:color w:val="000000"/>
                <w:sz w:val="22"/>
                <w:szCs w:val="22"/>
              </w:rPr>
            </w:pPr>
            <w:r>
              <w:rPr>
                <w:rFonts w:ascii="Calibri" w:cs="Calibri" w:hAnsi="Calibri"/>
                <w:color w:val="000000"/>
                <w:sz w:val="22"/>
                <w:szCs w:val="22"/>
              </w:rPr>
              <w:t>22</w:t>
            </w:r>
          </w:p>
        </w:tc>
        <w:tc>
          <w:tcPr>
            <w:tcW w:w="1740" w:type="dxa"/>
            <w:tcBorders/>
            <w:shd w:val="clear" w:color="auto" w:fill="auto"/>
            <w:noWrap/>
            <w:vAlign w:val="bottom"/>
            <w:hideMark/>
          </w:tcPr>
          <w:p>
            <w:pPr>
              <w:pStyle w:val="style0"/>
              <w:spacing w:before="0" w:beforeAutospacing="false" w:after="0" w:afterAutospacing="false" w:lineRule="auto" w:line="240"/>
              <w:jc w:val="center"/>
              <w:rPr>
                <w:rFonts w:ascii="Calibri" w:cs="Calibri" w:hAnsi="Calibri"/>
                <w:color w:val="000000"/>
                <w:sz w:val="22"/>
                <w:szCs w:val="22"/>
              </w:rPr>
            </w:pPr>
            <w:r>
              <w:rPr>
                <w:rFonts w:ascii="Calibri" w:cs="Calibri" w:hAnsi="Calibri"/>
                <w:color w:val="000000"/>
                <w:sz w:val="22"/>
                <w:szCs w:val="22"/>
              </w:rPr>
              <w:t>22.22</w:t>
            </w:r>
          </w:p>
        </w:tc>
      </w:tr>
      <w:tr>
        <w:tblPrEx/>
        <w:trPr>
          <w:trHeight w:val="300" w:hRule="atLeast"/>
        </w:trPr>
        <w:tc>
          <w:tcPr>
            <w:tcW w:w="2640" w:type="dxa"/>
            <w:vMerge w:val="continue"/>
            <w:tcBorders/>
            <w:shd w:val="clear" w:color="auto" w:fill="auto"/>
            <w:vAlign w:val="center"/>
            <w:hideMark/>
          </w:tcPr>
          <w:p>
            <w:pPr>
              <w:pStyle w:val="style0"/>
              <w:spacing w:before="0" w:beforeAutospacing="false" w:after="0" w:afterAutospacing="false" w:lineRule="auto" w:line="240"/>
              <w:jc w:val="left"/>
              <w:rPr>
                <w:rFonts w:ascii="Calibri" w:cs="Calibri" w:hAnsi="Calibri"/>
                <w:color w:val="000000"/>
                <w:sz w:val="22"/>
                <w:szCs w:val="22"/>
              </w:rPr>
            </w:pPr>
          </w:p>
        </w:tc>
        <w:tc>
          <w:tcPr>
            <w:tcW w:w="2340" w:type="dxa"/>
            <w:tcBorders/>
            <w:shd w:val="clear" w:color="auto" w:fill="auto"/>
            <w:noWrap/>
            <w:vAlign w:val="bottom"/>
            <w:hideMark/>
          </w:tcPr>
          <w:p>
            <w:pPr>
              <w:pStyle w:val="style0"/>
              <w:spacing w:before="0" w:beforeAutospacing="false" w:after="0" w:afterAutospacing="false" w:lineRule="auto" w:line="240"/>
              <w:jc w:val="left"/>
              <w:rPr>
                <w:rFonts w:ascii="Calibri" w:cs="Calibri" w:hAnsi="Calibri"/>
                <w:color w:val="000000"/>
                <w:sz w:val="22"/>
                <w:szCs w:val="22"/>
              </w:rPr>
            </w:pPr>
            <w:r>
              <w:rPr>
                <w:rFonts w:ascii="Calibri" w:cs="Calibri" w:hAnsi="Calibri"/>
                <w:color w:val="000000"/>
                <w:sz w:val="22"/>
                <w:szCs w:val="22"/>
              </w:rPr>
              <w:t xml:space="preserve">11 – 20 </w:t>
            </w:r>
            <w:r>
              <w:rPr>
                <w:rFonts w:ascii="Calibri" w:cs="Calibri" w:hAnsi="Calibri"/>
                <w:color w:val="000000"/>
                <w:sz w:val="22"/>
                <w:szCs w:val="22"/>
              </w:rPr>
              <w:t>kg</w:t>
            </w:r>
          </w:p>
        </w:tc>
        <w:tc>
          <w:tcPr>
            <w:tcW w:w="1380" w:type="dxa"/>
            <w:tcBorders/>
            <w:shd w:val="clear" w:color="auto" w:fill="auto"/>
            <w:noWrap/>
            <w:vAlign w:val="bottom"/>
            <w:hideMark/>
          </w:tcPr>
          <w:p>
            <w:pPr>
              <w:pStyle w:val="style0"/>
              <w:spacing w:before="0" w:beforeAutospacing="false" w:after="0" w:afterAutospacing="false" w:lineRule="auto" w:line="240"/>
              <w:jc w:val="center"/>
              <w:rPr>
                <w:rFonts w:ascii="Calibri" w:cs="Calibri" w:hAnsi="Calibri"/>
                <w:color w:val="000000"/>
                <w:sz w:val="22"/>
                <w:szCs w:val="22"/>
              </w:rPr>
            </w:pPr>
            <w:r>
              <w:rPr>
                <w:rFonts w:ascii="Calibri" w:cs="Calibri" w:hAnsi="Calibri"/>
                <w:color w:val="000000"/>
                <w:sz w:val="22"/>
                <w:szCs w:val="22"/>
              </w:rPr>
              <w:t>44</w:t>
            </w:r>
          </w:p>
        </w:tc>
        <w:tc>
          <w:tcPr>
            <w:tcW w:w="1740" w:type="dxa"/>
            <w:tcBorders/>
            <w:shd w:val="clear" w:color="auto" w:fill="auto"/>
            <w:noWrap/>
            <w:vAlign w:val="bottom"/>
            <w:hideMark/>
          </w:tcPr>
          <w:p>
            <w:pPr>
              <w:pStyle w:val="style0"/>
              <w:spacing w:before="0" w:beforeAutospacing="false" w:after="0" w:afterAutospacing="false" w:lineRule="auto" w:line="240"/>
              <w:jc w:val="center"/>
              <w:rPr>
                <w:rFonts w:ascii="Calibri" w:cs="Calibri" w:hAnsi="Calibri"/>
                <w:color w:val="000000"/>
                <w:sz w:val="22"/>
                <w:szCs w:val="22"/>
              </w:rPr>
            </w:pPr>
            <w:r>
              <w:rPr>
                <w:rFonts w:ascii="Calibri" w:cs="Calibri" w:hAnsi="Calibri"/>
                <w:color w:val="000000"/>
                <w:sz w:val="22"/>
                <w:szCs w:val="22"/>
              </w:rPr>
              <w:t>44.44</w:t>
            </w:r>
          </w:p>
        </w:tc>
      </w:tr>
      <w:tr>
        <w:tblPrEx/>
        <w:trPr>
          <w:trHeight w:val="300" w:hRule="atLeast"/>
        </w:trPr>
        <w:tc>
          <w:tcPr>
            <w:tcW w:w="2640" w:type="dxa"/>
            <w:vMerge w:val="continue"/>
            <w:tcBorders>
              <w:bottom w:val="single" w:sz="4" w:space="0" w:color="auto"/>
            </w:tcBorders>
            <w:shd w:val="clear" w:color="auto" w:fill="auto"/>
            <w:vAlign w:val="center"/>
            <w:hideMark/>
          </w:tcPr>
          <w:p>
            <w:pPr>
              <w:pStyle w:val="style0"/>
              <w:spacing w:before="0" w:beforeAutospacing="false" w:after="0" w:afterAutospacing="false" w:lineRule="auto" w:line="240"/>
              <w:jc w:val="left"/>
              <w:rPr>
                <w:rFonts w:ascii="Calibri" w:cs="Calibri" w:hAnsi="Calibri"/>
                <w:color w:val="000000"/>
                <w:sz w:val="22"/>
                <w:szCs w:val="22"/>
              </w:rPr>
            </w:pPr>
          </w:p>
        </w:tc>
        <w:tc>
          <w:tcPr>
            <w:tcW w:w="2340" w:type="dxa"/>
            <w:tcBorders>
              <w:bottom w:val="single" w:sz="4" w:space="0" w:color="auto"/>
            </w:tcBorders>
            <w:shd w:val="clear" w:color="auto" w:fill="auto"/>
            <w:noWrap/>
            <w:vAlign w:val="bottom"/>
            <w:hideMark/>
          </w:tcPr>
          <w:p>
            <w:pPr>
              <w:pStyle w:val="style0"/>
              <w:spacing w:before="0" w:beforeAutospacing="false" w:after="0" w:afterAutospacing="false" w:lineRule="auto" w:line="240"/>
              <w:jc w:val="left"/>
              <w:rPr>
                <w:rFonts w:ascii="Calibri" w:cs="Calibri" w:hAnsi="Calibri"/>
                <w:color w:val="000000"/>
                <w:sz w:val="22"/>
                <w:szCs w:val="22"/>
              </w:rPr>
            </w:pPr>
            <w:r>
              <w:rPr>
                <w:rFonts w:ascii="Calibri" w:cs="Calibri" w:hAnsi="Calibri"/>
                <w:color w:val="000000"/>
                <w:sz w:val="22"/>
                <w:szCs w:val="22"/>
              </w:rPr>
              <w:t xml:space="preserve">More than 20 </w:t>
            </w:r>
            <w:r>
              <w:rPr>
                <w:rFonts w:ascii="Calibri" w:cs="Calibri" w:hAnsi="Calibri"/>
                <w:color w:val="000000"/>
                <w:sz w:val="22"/>
                <w:szCs w:val="22"/>
              </w:rPr>
              <w:t>kg</w:t>
            </w:r>
          </w:p>
        </w:tc>
        <w:tc>
          <w:tcPr>
            <w:tcW w:w="1380" w:type="dxa"/>
            <w:tcBorders>
              <w:bottom w:val="single" w:sz="4" w:space="0" w:color="auto"/>
            </w:tcBorders>
            <w:shd w:val="clear" w:color="auto" w:fill="auto"/>
            <w:noWrap/>
            <w:vAlign w:val="bottom"/>
            <w:hideMark/>
          </w:tcPr>
          <w:p>
            <w:pPr>
              <w:pStyle w:val="style0"/>
              <w:spacing w:before="0" w:beforeAutospacing="false" w:after="0" w:afterAutospacing="false" w:lineRule="auto" w:line="240"/>
              <w:jc w:val="center"/>
              <w:rPr>
                <w:rFonts w:ascii="Calibri" w:cs="Calibri" w:hAnsi="Calibri"/>
                <w:color w:val="000000"/>
                <w:sz w:val="22"/>
                <w:szCs w:val="22"/>
              </w:rPr>
            </w:pPr>
            <w:r>
              <w:rPr>
                <w:rFonts w:ascii="Calibri" w:cs="Calibri" w:hAnsi="Calibri"/>
                <w:color w:val="000000"/>
                <w:sz w:val="22"/>
                <w:szCs w:val="22"/>
              </w:rPr>
              <w:t>13</w:t>
            </w:r>
          </w:p>
        </w:tc>
        <w:tc>
          <w:tcPr>
            <w:tcW w:w="1740" w:type="dxa"/>
            <w:tcBorders>
              <w:bottom w:val="single" w:sz="4" w:space="0" w:color="auto"/>
            </w:tcBorders>
            <w:shd w:val="clear" w:color="auto" w:fill="auto"/>
            <w:noWrap/>
            <w:vAlign w:val="bottom"/>
            <w:hideMark/>
          </w:tcPr>
          <w:p>
            <w:pPr>
              <w:pStyle w:val="style0"/>
              <w:spacing w:before="0" w:beforeAutospacing="false" w:after="0" w:afterAutospacing="false" w:lineRule="auto" w:line="240"/>
              <w:jc w:val="center"/>
              <w:rPr>
                <w:rFonts w:ascii="Calibri" w:cs="Calibri" w:hAnsi="Calibri"/>
                <w:color w:val="000000"/>
                <w:sz w:val="22"/>
                <w:szCs w:val="22"/>
              </w:rPr>
            </w:pPr>
            <w:r>
              <w:rPr>
                <w:rFonts w:ascii="Calibri" w:cs="Calibri" w:hAnsi="Calibri"/>
                <w:color w:val="000000"/>
                <w:sz w:val="22"/>
                <w:szCs w:val="22"/>
              </w:rPr>
              <w:t>13.13</w:t>
            </w:r>
          </w:p>
        </w:tc>
      </w:tr>
      <w:tr>
        <w:tblPrEx/>
        <w:trPr>
          <w:trHeight w:val="300" w:hRule="atLeast"/>
        </w:trPr>
        <w:tc>
          <w:tcPr>
            <w:tcW w:w="4980" w:type="dxa"/>
            <w:gridSpan w:val="2"/>
            <w:tcBorders>
              <w:top w:val="single" w:sz="4" w:space="0" w:color="auto"/>
              <w:bottom w:val="single" w:sz="4" w:space="0" w:color="auto"/>
            </w:tcBorders>
            <w:shd w:val="clear" w:color="auto" w:fill="auto"/>
            <w:noWrap/>
            <w:vAlign w:val="center"/>
            <w:hideMark/>
          </w:tcPr>
          <w:p>
            <w:pPr>
              <w:pStyle w:val="style0"/>
              <w:spacing w:before="0" w:beforeAutospacing="false" w:after="0" w:afterAutospacing="false" w:lineRule="auto" w:line="240"/>
              <w:jc w:val="right"/>
              <w:rPr>
                <w:rFonts w:ascii="Calibri" w:cs="Calibri" w:hAnsi="Calibri"/>
                <w:color w:val="000000"/>
                <w:sz w:val="22"/>
                <w:szCs w:val="22"/>
              </w:rPr>
            </w:pPr>
            <w:r>
              <w:rPr>
                <w:rFonts w:ascii="Calibri" w:cs="Calibri" w:hAnsi="Calibri"/>
                <w:color w:val="000000"/>
                <w:sz w:val="22"/>
                <w:szCs w:val="22"/>
              </w:rPr>
              <w:t>Total</w:t>
            </w:r>
          </w:p>
        </w:tc>
        <w:tc>
          <w:tcPr>
            <w:tcW w:w="1380" w:type="dxa"/>
            <w:tcBorders>
              <w:top w:val="single" w:sz="4" w:space="0" w:color="auto"/>
              <w:bottom w:val="single" w:sz="4" w:space="0" w:color="auto"/>
            </w:tcBorders>
            <w:shd w:val="clear" w:color="auto" w:fill="auto"/>
            <w:noWrap/>
            <w:vAlign w:val="bottom"/>
            <w:hideMark/>
          </w:tcPr>
          <w:p>
            <w:pPr>
              <w:pStyle w:val="style0"/>
              <w:spacing w:before="0" w:beforeAutospacing="false" w:after="0" w:afterAutospacing="false" w:lineRule="auto" w:line="240"/>
              <w:jc w:val="center"/>
              <w:rPr>
                <w:rFonts w:ascii="Calibri" w:cs="Calibri" w:hAnsi="Calibri"/>
                <w:color w:val="000000"/>
                <w:sz w:val="22"/>
                <w:szCs w:val="22"/>
              </w:rPr>
            </w:pPr>
            <w:r>
              <w:rPr>
                <w:rFonts w:ascii="Calibri" w:cs="Calibri" w:hAnsi="Calibri"/>
                <w:color w:val="000000"/>
                <w:sz w:val="22"/>
                <w:szCs w:val="22"/>
              </w:rPr>
              <w:t>99</w:t>
            </w:r>
          </w:p>
        </w:tc>
        <w:tc>
          <w:tcPr>
            <w:tcW w:w="1740" w:type="dxa"/>
            <w:tcBorders>
              <w:top w:val="single" w:sz="4" w:space="0" w:color="auto"/>
              <w:bottom w:val="single" w:sz="4" w:space="0" w:color="auto"/>
            </w:tcBorders>
            <w:shd w:val="clear" w:color="auto" w:fill="auto"/>
            <w:noWrap/>
            <w:vAlign w:val="bottom"/>
            <w:hideMark/>
          </w:tcPr>
          <w:p>
            <w:pPr>
              <w:pStyle w:val="style0"/>
              <w:spacing w:before="0" w:beforeAutospacing="false" w:after="0" w:afterAutospacing="false" w:lineRule="auto" w:line="240"/>
              <w:jc w:val="center"/>
              <w:rPr>
                <w:rFonts w:ascii="Calibri" w:cs="Calibri" w:hAnsi="Calibri"/>
                <w:color w:val="000000"/>
                <w:sz w:val="22"/>
                <w:szCs w:val="22"/>
              </w:rPr>
            </w:pPr>
            <w:r>
              <w:rPr>
                <w:rFonts w:ascii="Calibri" w:cs="Calibri" w:hAnsi="Calibri"/>
                <w:color w:val="000000"/>
                <w:sz w:val="22"/>
                <w:szCs w:val="22"/>
              </w:rPr>
              <w:t>100</w:t>
            </w:r>
          </w:p>
        </w:tc>
      </w:tr>
      <w:tr>
        <w:tblPrEx/>
        <w:trPr>
          <w:trHeight w:val="300" w:hRule="atLeast"/>
        </w:trPr>
        <w:tc>
          <w:tcPr>
            <w:tcW w:w="2640" w:type="dxa"/>
            <w:vMerge w:val="restart"/>
            <w:tcBorders>
              <w:top w:val="single" w:sz="4" w:space="0" w:color="auto"/>
            </w:tcBorders>
            <w:shd w:val="clear" w:color="auto" w:fill="auto"/>
            <w:noWrap/>
            <w:vAlign w:val="center"/>
            <w:hideMark/>
          </w:tcPr>
          <w:p>
            <w:pPr>
              <w:pStyle w:val="style0"/>
              <w:spacing w:before="0" w:beforeAutospacing="false" w:after="0" w:afterAutospacing="false" w:lineRule="auto" w:line="240"/>
              <w:jc w:val="center"/>
              <w:rPr>
                <w:rFonts w:ascii="Calibri" w:cs="Calibri" w:hAnsi="Calibri"/>
                <w:color w:val="000000"/>
                <w:sz w:val="22"/>
                <w:szCs w:val="22"/>
              </w:rPr>
            </w:pPr>
            <w:r>
              <w:rPr>
                <w:rFonts w:ascii="Calibri" w:cs="Calibri" w:hAnsi="Calibri"/>
                <w:color w:val="000000"/>
                <w:sz w:val="22"/>
                <w:szCs w:val="22"/>
              </w:rPr>
              <w:t>Firewood</w:t>
            </w:r>
          </w:p>
        </w:tc>
        <w:tc>
          <w:tcPr>
            <w:tcW w:w="2340" w:type="dxa"/>
            <w:tcBorders>
              <w:top w:val="single" w:sz="4" w:space="0" w:color="auto"/>
            </w:tcBorders>
            <w:shd w:val="clear" w:color="auto" w:fill="auto"/>
            <w:noWrap/>
            <w:vAlign w:val="bottom"/>
            <w:hideMark/>
          </w:tcPr>
          <w:p>
            <w:pPr>
              <w:pStyle w:val="style0"/>
              <w:spacing w:before="0" w:beforeAutospacing="false" w:after="0" w:afterAutospacing="false" w:lineRule="auto" w:line="240"/>
              <w:jc w:val="left"/>
              <w:rPr>
                <w:rFonts w:ascii="Calibri" w:cs="Calibri" w:hAnsi="Calibri"/>
                <w:color w:val="000000"/>
                <w:sz w:val="22"/>
                <w:szCs w:val="22"/>
              </w:rPr>
            </w:pPr>
            <w:r>
              <w:rPr>
                <w:rFonts w:ascii="Calibri" w:cs="Calibri" w:hAnsi="Calibri"/>
                <w:color w:val="000000"/>
                <w:sz w:val="22"/>
                <w:szCs w:val="22"/>
              </w:rPr>
              <w:t xml:space="preserve">0 – 5 </w:t>
            </w:r>
            <w:r>
              <w:rPr>
                <w:rFonts w:ascii="Calibri" w:cs="Calibri" w:hAnsi="Calibri"/>
                <w:color w:val="000000"/>
                <w:sz w:val="22"/>
                <w:szCs w:val="22"/>
              </w:rPr>
              <w:t>kg</w:t>
            </w:r>
          </w:p>
        </w:tc>
        <w:tc>
          <w:tcPr>
            <w:tcW w:w="1380" w:type="dxa"/>
            <w:tcBorders>
              <w:top w:val="single" w:sz="4" w:space="0" w:color="auto"/>
            </w:tcBorders>
            <w:shd w:val="clear" w:color="auto" w:fill="auto"/>
            <w:noWrap/>
            <w:vAlign w:val="bottom"/>
            <w:hideMark/>
          </w:tcPr>
          <w:p>
            <w:pPr>
              <w:pStyle w:val="style0"/>
              <w:spacing w:before="0" w:beforeAutospacing="false" w:after="0" w:afterAutospacing="false" w:lineRule="auto" w:line="240"/>
              <w:jc w:val="center"/>
              <w:rPr>
                <w:rFonts w:ascii="Calibri" w:cs="Calibri" w:hAnsi="Calibri"/>
                <w:color w:val="000000"/>
                <w:sz w:val="22"/>
                <w:szCs w:val="22"/>
              </w:rPr>
            </w:pPr>
            <w:r>
              <w:rPr>
                <w:rFonts w:ascii="Calibri" w:cs="Calibri" w:hAnsi="Calibri"/>
                <w:color w:val="000000"/>
                <w:sz w:val="22"/>
                <w:szCs w:val="22"/>
              </w:rPr>
              <w:t>18</w:t>
            </w:r>
          </w:p>
        </w:tc>
        <w:tc>
          <w:tcPr>
            <w:tcW w:w="1740" w:type="dxa"/>
            <w:tcBorders>
              <w:top w:val="single" w:sz="4" w:space="0" w:color="auto"/>
            </w:tcBorders>
            <w:shd w:val="clear" w:color="auto" w:fill="auto"/>
            <w:noWrap/>
            <w:vAlign w:val="bottom"/>
            <w:hideMark/>
          </w:tcPr>
          <w:p>
            <w:pPr>
              <w:pStyle w:val="style0"/>
              <w:spacing w:before="0" w:beforeAutospacing="false" w:after="0" w:afterAutospacing="false" w:lineRule="auto" w:line="240"/>
              <w:jc w:val="center"/>
              <w:rPr>
                <w:rFonts w:ascii="Calibri" w:cs="Calibri" w:hAnsi="Calibri"/>
                <w:color w:val="000000"/>
                <w:sz w:val="22"/>
                <w:szCs w:val="22"/>
              </w:rPr>
            </w:pPr>
            <w:r>
              <w:rPr>
                <w:rFonts w:ascii="Calibri" w:cs="Calibri" w:hAnsi="Calibri"/>
                <w:color w:val="000000"/>
                <w:sz w:val="22"/>
                <w:szCs w:val="22"/>
              </w:rPr>
              <w:t>18.18</w:t>
            </w:r>
          </w:p>
        </w:tc>
      </w:tr>
      <w:tr>
        <w:tblPrEx/>
        <w:trPr>
          <w:trHeight w:val="300" w:hRule="atLeast"/>
        </w:trPr>
        <w:tc>
          <w:tcPr>
            <w:tcW w:w="2640" w:type="dxa"/>
            <w:vMerge w:val="continue"/>
            <w:tcBorders/>
            <w:shd w:val="clear" w:color="auto" w:fill="auto"/>
            <w:vAlign w:val="center"/>
            <w:hideMark/>
          </w:tcPr>
          <w:p>
            <w:pPr>
              <w:pStyle w:val="style0"/>
              <w:spacing w:before="0" w:beforeAutospacing="false" w:after="0" w:afterAutospacing="false" w:lineRule="auto" w:line="240"/>
              <w:jc w:val="left"/>
              <w:rPr>
                <w:rFonts w:ascii="Calibri" w:cs="Calibri" w:hAnsi="Calibri"/>
                <w:color w:val="000000"/>
                <w:sz w:val="22"/>
                <w:szCs w:val="22"/>
              </w:rPr>
            </w:pPr>
          </w:p>
        </w:tc>
        <w:tc>
          <w:tcPr>
            <w:tcW w:w="2340" w:type="dxa"/>
            <w:tcBorders/>
            <w:shd w:val="clear" w:color="auto" w:fill="auto"/>
            <w:noWrap/>
            <w:vAlign w:val="bottom"/>
            <w:hideMark/>
          </w:tcPr>
          <w:p>
            <w:pPr>
              <w:pStyle w:val="style0"/>
              <w:spacing w:before="0" w:beforeAutospacing="false" w:after="0" w:afterAutospacing="false" w:lineRule="auto" w:line="240"/>
              <w:jc w:val="left"/>
              <w:rPr>
                <w:rFonts w:ascii="Calibri" w:cs="Calibri" w:hAnsi="Calibri"/>
                <w:color w:val="000000"/>
                <w:sz w:val="22"/>
                <w:szCs w:val="22"/>
              </w:rPr>
            </w:pPr>
            <w:r>
              <w:rPr>
                <w:rFonts w:ascii="Calibri" w:cs="Calibri" w:hAnsi="Calibri"/>
                <w:color w:val="000000"/>
                <w:sz w:val="22"/>
                <w:szCs w:val="22"/>
              </w:rPr>
              <w:t xml:space="preserve">5 – 10 </w:t>
            </w:r>
            <w:r>
              <w:rPr>
                <w:rFonts w:ascii="Calibri" w:cs="Calibri" w:hAnsi="Calibri"/>
                <w:color w:val="000000"/>
                <w:sz w:val="22"/>
                <w:szCs w:val="22"/>
              </w:rPr>
              <w:t>kg</w:t>
            </w:r>
          </w:p>
        </w:tc>
        <w:tc>
          <w:tcPr>
            <w:tcW w:w="1380" w:type="dxa"/>
            <w:tcBorders/>
            <w:shd w:val="clear" w:color="auto" w:fill="auto"/>
            <w:noWrap/>
            <w:vAlign w:val="bottom"/>
            <w:hideMark/>
          </w:tcPr>
          <w:p>
            <w:pPr>
              <w:pStyle w:val="style0"/>
              <w:spacing w:before="0" w:beforeAutospacing="false" w:after="0" w:afterAutospacing="false" w:lineRule="auto" w:line="240"/>
              <w:jc w:val="center"/>
              <w:rPr>
                <w:rFonts w:ascii="Calibri" w:cs="Calibri" w:hAnsi="Calibri"/>
                <w:color w:val="000000"/>
                <w:sz w:val="22"/>
                <w:szCs w:val="22"/>
              </w:rPr>
            </w:pPr>
            <w:r>
              <w:rPr>
                <w:rFonts w:ascii="Calibri" w:cs="Calibri" w:hAnsi="Calibri"/>
                <w:color w:val="000000"/>
                <w:sz w:val="22"/>
                <w:szCs w:val="22"/>
              </w:rPr>
              <w:t>38</w:t>
            </w:r>
          </w:p>
        </w:tc>
        <w:tc>
          <w:tcPr>
            <w:tcW w:w="1740" w:type="dxa"/>
            <w:tcBorders/>
            <w:shd w:val="clear" w:color="auto" w:fill="auto"/>
            <w:noWrap/>
            <w:vAlign w:val="bottom"/>
            <w:hideMark/>
          </w:tcPr>
          <w:p>
            <w:pPr>
              <w:pStyle w:val="style0"/>
              <w:spacing w:before="0" w:beforeAutospacing="false" w:after="0" w:afterAutospacing="false" w:lineRule="auto" w:line="240"/>
              <w:jc w:val="center"/>
              <w:rPr>
                <w:rFonts w:ascii="Calibri" w:cs="Calibri" w:hAnsi="Calibri"/>
                <w:color w:val="000000"/>
                <w:sz w:val="22"/>
                <w:szCs w:val="22"/>
              </w:rPr>
            </w:pPr>
            <w:r>
              <w:rPr>
                <w:rFonts w:ascii="Calibri" w:cs="Calibri" w:hAnsi="Calibri"/>
                <w:color w:val="000000"/>
                <w:sz w:val="22"/>
                <w:szCs w:val="22"/>
              </w:rPr>
              <w:t>38.38</w:t>
            </w:r>
          </w:p>
        </w:tc>
      </w:tr>
      <w:tr>
        <w:tblPrEx/>
        <w:trPr>
          <w:trHeight w:val="300" w:hRule="atLeast"/>
        </w:trPr>
        <w:tc>
          <w:tcPr>
            <w:tcW w:w="2640" w:type="dxa"/>
            <w:vMerge w:val="continue"/>
            <w:tcBorders/>
            <w:shd w:val="clear" w:color="auto" w:fill="auto"/>
            <w:vAlign w:val="center"/>
            <w:hideMark/>
          </w:tcPr>
          <w:p>
            <w:pPr>
              <w:pStyle w:val="style0"/>
              <w:spacing w:before="0" w:beforeAutospacing="false" w:after="0" w:afterAutospacing="false" w:lineRule="auto" w:line="240"/>
              <w:jc w:val="left"/>
              <w:rPr>
                <w:rFonts w:ascii="Calibri" w:cs="Calibri" w:hAnsi="Calibri"/>
                <w:color w:val="000000"/>
                <w:sz w:val="22"/>
                <w:szCs w:val="22"/>
              </w:rPr>
            </w:pPr>
          </w:p>
        </w:tc>
        <w:tc>
          <w:tcPr>
            <w:tcW w:w="2340" w:type="dxa"/>
            <w:tcBorders/>
            <w:shd w:val="clear" w:color="auto" w:fill="auto"/>
            <w:noWrap/>
            <w:vAlign w:val="bottom"/>
            <w:hideMark/>
          </w:tcPr>
          <w:p>
            <w:pPr>
              <w:pStyle w:val="style0"/>
              <w:spacing w:before="0" w:beforeAutospacing="false" w:after="0" w:afterAutospacing="false" w:lineRule="auto" w:line="240"/>
              <w:jc w:val="left"/>
              <w:rPr>
                <w:rFonts w:ascii="Calibri" w:cs="Calibri" w:hAnsi="Calibri"/>
                <w:color w:val="000000"/>
                <w:sz w:val="22"/>
                <w:szCs w:val="22"/>
              </w:rPr>
            </w:pPr>
            <w:r>
              <w:rPr>
                <w:rFonts w:ascii="Calibri" w:cs="Calibri" w:hAnsi="Calibri"/>
                <w:color w:val="000000"/>
                <w:sz w:val="22"/>
                <w:szCs w:val="22"/>
              </w:rPr>
              <w:t xml:space="preserve">11 – 20 </w:t>
            </w:r>
            <w:r>
              <w:rPr>
                <w:rFonts w:ascii="Calibri" w:cs="Calibri" w:hAnsi="Calibri"/>
                <w:color w:val="000000"/>
                <w:sz w:val="22"/>
                <w:szCs w:val="22"/>
              </w:rPr>
              <w:t>kg</w:t>
            </w:r>
          </w:p>
        </w:tc>
        <w:tc>
          <w:tcPr>
            <w:tcW w:w="1380" w:type="dxa"/>
            <w:tcBorders/>
            <w:shd w:val="clear" w:color="auto" w:fill="auto"/>
            <w:noWrap/>
            <w:vAlign w:val="bottom"/>
            <w:hideMark/>
          </w:tcPr>
          <w:p>
            <w:pPr>
              <w:pStyle w:val="style0"/>
              <w:spacing w:before="0" w:beforeAutospacing="false" w:after="0" w:afterAutospacing="false" w:lineRule="auto" w:line="240"/>
              <w:jc w:val="center"/>
              <w:rPr>
                <w:rFonts w:ascii="Calibri" w:cs="Calibri" w:hAnsi="Calibri"/>
                <w:color w:val="000000"/>
                <w:sz w:val="22"/>
                <w:szCs w:val="22"/>
              </w:rPr>
            </w:pPr>
            <w:r>
              <w:rPr>
                <w:rFonts w:ascii="Calibri" w:cs="Calibri" w:hAnsi="Calibri"/>
                <w:color w:val="000000"/>
                <w:sz w:val="22"/>
                <w:szCs w:val="22"/>
              </w:rPr>
              <w:t>29</w:t>
            </w:r>
          </w:p>
        </w:tc>
        <w:tc>
          <w:tcPr>
            <w:tcW w:w="1740" w:type="dxa"/>
            <w:tcBorders/>
            <w:shd w:val="clear" w:color="auto" w:fill="auto"/>
            <w:noWrap/>
            <w:vAlign w:val="bottom"/>
            <w:hideMark/>
          </w:tcPr>
          <w:p>
            <w:pPr>
              <w:pStyle w:val="style0"/>
              <w:spacing w:before="0" w:beforeAutospacing="false" w:after="0" w:afterAutospacing="false" w:lineRule="auto" w:line="240"/>
              <w:jc w:val="center"/>
              <w:rPr>
                <w:rFonts w:ascii="Calibri" w:cs="Calibri" w:hAnsi="Calibri"/>
                <w:color w:val="000000"/>
                <w:sz w:val="22"/>
                <w:szCs w:val="22"/>
              </w:rPr>
            </w:pPr>
            <w:r>
              <w:rPr>
                <w:rFonts w:ascii="Calibri" w:cs="Calibri" w:hAnsi="Calibri"/>
                <w:color w:val="000000"/>
                <w:sz w:val="22"/>
                <w:szCs w:val="22"/>
              </w:rPr>
              <w:t>29.29</w:t>
            </w:r>
          </w:p>
        </w:tc>
      </w:tr>
      <w:tr>
        <w:tblPrEx/>
        <w:trPr>
          <w:trHeight w:val="300" w:hRule="atLeast"/>
        </w:trPr>
        <w:tc>
          <w:tcPr>
            <w:tcW w:w="2640" w:type="dxa"/>
            <w:vMerge w:val="continue"/>
            <w:tcBorders>
              <w:bottom w:val="single" w:sz="4" w:space="0" w:color="auto"/>
            </w:tcBorders>
            <w:shd w:val="clear" w:color="auto" w:fill="auto"/>
            <w:vAlign w:val="center"/>
            <w:hideMark/>
          </w:tcPr>
          <w:p>
            <w:pPr>
              <w:pStyle w:val="style0"/>
              <w:spacing w:before="0" w:beforeAutospacing="false" w:after="0" w:afterAutospacing="false" w:lineRule="auto" w:line="240"/>
              <w:jc w:val="left"/>
              <w:rPr>
                <w:rFonts w:ascii="Calibri" w:cs="Calibri" w:hAnsi="Calibri"/>
                <w:color w:val="000000"/>
                <w:sz w:val="22"/>
                <w:szCs w:val="22"/>
              </w:rPr>
            </w:pPr>
          </w:p>
        </w:tc>
        <w:tc>
          <w:tcPr>
            <w:tcW w:w="2340" w:type="dxa"/>
            <w:tcBorders>
              <w:bottom w:val="single" w:sz="4" w:space="0" w:color="auto"/>
            </w:tcBorders>
            <w:shd w:val="clear" w:color="auto" w:fill="auto"/>
            <w:noWrap/>
            <w:vAlign w:val="bottom"/>
            <w:hideMark/>
          </w:tcPr>
          <w:p>
            <w:pPr>
              <w:pStyle w:val="style0"/>
              <w:spacing w:before="0" w:beforeAutospacing="false" w:after="0" w:afterAutospacing="false" w:lineRule="auto" w:line="240"/>
              <w:jc w:val="left"/>
              <w:rPr>
                <w:rFonts w:ascii="Calibri" w:cs="Calibri" w:hAnsi="Calibri"/>
                <w:color w:val="000000"/>
                <w:sz w:val="22"/>
                <w:szCs w:val="22"/>
              </w:rPr>
            </w:pPr>
            <w:r>
              <w:rPr>
                <w:rFonts w:ascii="Calibri" w:cs="Calibri" w:hAnsi="Calibri"/>
                <w:color w:val="000000"/>
                <w:sz w:val="22"/>
                <w:szCs w:val="22"/>
              </w:rPr>
              <w:t xml:space="preserve">More than 20 </w:t>
            </w:r>
            <w:r>
              <w:rPr>
                <w:rFonts w:ascii="Calibri" w:cs="Calibri" w:hAnsi="Calibri"/>
                <w:color w:val="000000"/>
                <w:sz w:val="22"/>
                <w:szCs w:val="22"/>
              </w:rPr>
              <w:t>kg</w:t>
            </w:r>
          </w:p>
        </w:tc>
        <w:tc>
          <w:tcPr>
            <w:tcW w:w="1380" w:type="dxa"/>
            <w:tcBorders>
              <w:bottom w:val="single" w:sz="4" w:space="0" w:color="auto"/>
            </w:tcBorders>
            <w:shd w:val="clear" w:color="auto" w:fill="auto"/>
            <w:noWrap/>
            <w:vAlign w:val="bottom"/>
            <w:hideMark/>
          </w:tcPr>
          <w:p>
            <w:pPr>
              <w:pStyle w:val="style0"/>
              <w:spacing w:before="0" w:beforeAutospacing="false" w:after="0" w:afterAutospacing="false" w:lineRule="auto" w:line="240"/>
              <w:jc w:val="center"/>
              <w:rPr>
                <w:rFonts w:ascii="Calibri" w:cs="Calibri" w:hAnsi="Calibri"/>
                <w:color w:val="000000"/>
                <w:sz w:val="22"/>
                <w:szCs w:val="22"/>
              </w:rPr>
            </w:pPr>
            <w:r>
              <w:rPr>
                <w:rFonts w:ascii="Calibri" w:cs="Calibri" w:hAnsi="Calibri"/>
                <w:color w:val="000000"/>
                <w:sz w:val="22"/>
                <w:szCs w:val="22"/>
              </w:rPr>
              <w:t>14</w:t>
            </w:r>
          </w:p>
        </w:tc>
        <w:tc>
          <w:tcPr>
            <w:tcW w:w="1740" w:type="dxa"/>
            <w:tcBorders>
              <w:bottom w:val="single" w:sz="4" w:space="0" w:color="auto"/>
            </w:tcBorders>
            <w:shd w:val="clear" w:color="auto" w:fill="auto"/>
            <w:noWrap/>
            <w:vAlign w:val="bottom"/>
            <w:hideMark/>
          </w:tcPr>
          <w:p>
            <w:pPr>
              <w:pStyle w:val="style0"/>
              <w:spacing w:before="0" w:beforeAutospacing="false" w:after="0" w:afterAutospacing="false" w:lineRule="auto" w:line="240"/>
              <w:jc w:val="center"/>
              <w:rPr>
                <w:rFonts w:ascii="Calibri" w:cs="Calibri" w:hAnsi="Calibri"/>
                <w:color w:val="000000"/>
                <w:sz w:val="22"/>
                <w:szCs w:val="22"/>
              </w:rPr>
            </w:pPr>
            <w:r>
              <w:rPr>
                <w:rFonts w:ascii="Calibri" w:cs="Calibri" w:hAnsi="Calibri"/>
                <w:color w:val="000000"/>
                <w:sz w:val="22"/>
                <w:szCs w:val="22"/>
              </w:rPr>
              <w:t>14.14</w:t>
            </w:r>
          </w:p>
        </w:tc>
      </w:tr>
      <w:tr>
        <w:tblPrEx/>
        <w:trPr>
          <w:trHeight w:val="300" w:hRule="atLeast"/>
        </w:trPr>
        <w:tc>
          <w:tcPr>
            <w:tcW w:w="4980" w:type="dxa"/>
            <w:gridSpan w:val="2"/>
            <w:tcBorders>
              <w:top w:val="single" w:sz="4" w:space="0" w:color="auto"/>
              <w:bottom w:val="single" w:sz="4" w:space="0" w:color="auto"/>
            </w:tcBorders>
            <w:shd w:val="clear" w:color="auto" w:fill="auto"/>
            <w:noWrap/>
            <w:vAlign w:val="bottom"/>
            <w:hideMark/>
          </w:tcPr>
          <w:p>
            <w:pPr>
              <w:pStyle w:val="style0"/>
              <w:spacing w:before="0" w:beforeAutospacing="false" w:after="0" w:afterAutospacing="false" w:lineRule="auto" w:line="240"/>
              <w:jc w:val="right"/>
              <w:rPr>
                <w:rFonts w:ascii="Calibri" w:cs="Calibri" w:hAnsi="Calibri"/>
                <w:color w:val="000000"/>
                <w:sz w:val="22"/>
                <w:szCs w:val="22"/>
              </w:rPr>
            </w:pPr>
            <w:r>
              <w:rPr>
                <w:rFonts w:ascii="Calibri" w:cs="Calibri" w:hAnsi="Calibri"/>
                <w:color w:val="000000"/>
                <w:sz w:val="22"/>
                <w:szCs w:val="22"/>
              </w:rPr>
              <w:t>Total</w:t>
            </w:r>
          </w:p>
        </w:tc>
        <w:tc>
          <w:tcPr>
            <w:tcW w:w="1380" w:type="dxa"/>
            <w:tcBorders>
              <w:top w:val="single" w:sz="4" w:space="0" w:color="auto"/>
              <w:bottom w:val="single" w:sz="4" w:space="0" w:color="auto"/>
            </w:tcBorders>
            <w:shd w:val="clear" w:color="auto" w:fill="auto"/>
            <w:noWrap/>
            <w:vAlign w:val="bottom"/>
            <w:hideMark/>
          </w:tcPr>
          <w:p>
            <w:pPr>
              <w:pStyle w:val="style0"/>
              <w:spacing w:before="0" w:beforeAutospacing="false" w:after="0" w:afterAutospacing="false" w:lineRule="auto" w:line="240"/>
              <w:jc w:val="center"/>
              <w:rPr>
                <w:rFonts w:ascii="Calibri" w:cs="Calibri" w:hAnsi="Calibri"/>
                <w:color w:val="000000"/>
                <w:sz w:val="22"/>
                <w:szCs w:val="22"/>
              </w:rPr>
            </w:pPr>
            <w:r>
              <w:rPr>
                <w:rFonts w:ascii="Calibri" w:cs="Calibri" w:hAnsi="Calibri"/>
                <w:color w:val="000000"/>
                <w:sz w:val="22"/>
                <w:szCs w:val="22"/>
              </w:rPr>
              <w:t>99</w:t>
            </w:r>
          </w:p>
        </w:tc>
        <w:tc>
          <w:tcPr>
            <w:tcW w:w="1740" w:type="dxa"/>
            <w:tcBorders>
              <w:top w:val="single" w:sz="4" w:space="0" w:color="auto"/>
              <w:bottom w:val="single" w:sz="4" w:space="0" w:color="auto"/>
            </w:tcBorders>
            <w:shd w:val="clear" w:color="auto" w:fill="auto"/>
            <w:noWrap/>
            <w:vAlign w:val="bottom"/>
            <w:hideMark/>
          </w:tcPr>
          <w:p>
            <w:pPr>
              <w:pStyle w:val="style0"/>
              <w:spacing w:before="0" w:beforeAutospacing="false" w:after="0" w:afterAutospacing="false" w:lineRule="auto" w:line="240"/>
              <w:jc w:val="center"/>
              <w:rPr>
                <w:rFonts w:ascii="Calibri" w:cs="Calibri" w:hAnsi="Calibri"/>
                <w:color w:val="000000"/>
                <w:sz w:val="22"/>
                <w:szCs w:val="22"/>
              </w:rPr>
            </w:pPr>
            <w:r>
              <w:rPr>
                <w:rFonts w:ascii="Calibri" w:cs="Calibri" w:hAnsi="Calibri"/>
                <w:color w:val="000000"/>
                <w:sz w:val="22"/>
                <w:szCs w:val="22"/>
              </w:rPr>
              <w:t>100</w:t>
            </w:r>
          </w:p>
        </w:tc>
      </w:tr>
    </w:tbl>
    <w:p>
      <w:pPr>
        <w:pStyle w:val="style0"/>
        <w:spacing w:before="0" w:beforeAutospacing="false" w:after="0" w:afterAutospacing="false" w:lineRule="auto" w:line="240"/>
        <w:rPr/>
      </w:pPr>
      <w:r>
        <w:t xml:space="preserve">Note: </w:t>
      </w:r>
    </w:p>
    <w:p>
      <w:pPr>
        <w:pStyle w:val="style0"/>
        <w:spacing w:before="0" w:beforeAutospacing="false" w:after="0" w:afterAutospacing="false" w:lineRule="auto" w:line="240"/>
        <w:rPr/>
      </w:pPr>
      <w:r>
        <w:t>1 Bucket = 4kg</w:t>
      </w:r>
    </w:p>
    <w:p>
      <w:pPr>
        <w:pStyle w:val="style0"/>
        <w:spacing w:before="0" w:beforeAutospacing="false" w:after="0" w:afterAutospacing="false" w:lineRule="auto" w:line="240"/>
        <w:rPr/>
      </w:pPr>
      <w:r>
        <w:t xml:space="preserve">1 bundle = </w:t>
      </w:r>
      <w:r>
        <w:t>6kg</w:t>
      </w:r>
    </w:p>
    <w:p>
      <w:pPr>
        <w:pStyle w:val="style0"/>
        <w:keepNext/>
        <w:spacing w:lineRule="auto" w:line="480"/>
        <w:rPr/>
      </w:pPr>
      <w:r>
        <w:rPr>
          <w:noProof/>
          <w:color w:val="000000"/>
        </w:rPr>
        <w:drawing>
          <wp:inline distL="0" distT="0" distB="0" distR="0">
            <wp:extent cx="5219700" cy="4233545"/>
            <wp:effectExtent l="0" t="0" r="0" b="0"/>
            <wp:docPr id="1044" name="Picture 2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24"/>
                    <pic:cNvPicPr/>
                  </pic:nvPicPr>
                  <pic:blipFill>
                    <a:blip r:embed="rId7" cstate="print"/>
                    <a:srcRect l="0" t="0" r="0" b="0"/>
                    <a:stretch/>
                  </pic:blipFill>
                  <pic:spPr>
                    <a:xfrm rot="0">
                      <a:off x="0" y="0"/>
                      <a:ext cx="5219700" cy="4233545"/>
                    </a:xfrm>
                    <a:prstGeom prst="rect"/>
                  </pic:spPr>
                </pic:pic>
              </a:graphicData>
            </a:graphic>
          </wp:inline>
        </w:drawing>
      </w:r>
    </w:p>
    <w:bookmarkStart w:id="115" w:name="_Toc177668499"/>
    <w:p>
      <w:pPr>
        <w:pStyle w:val="style34"/>
        <w:rPr>
          <w:i w:val="false"/>
          <w:iCs w:val="false"/>
          <w:color w:val="auto"/>
          <w:sz w:val="24"/>
          <w:szCs w:val="24"/>
        </w:rPr>
      </w:pPr>
      <w:r>
        <w:rPr>
          <w:i w:val="false"/>
          <w:iCs w:val="false"/>
          <w:color w:val="auto"/>
          <w:sz w:val="24"/>
          <w:szCs w:val="24"/>
        </w:rPr>
        <w:t xml:space="preserve">Plate </w:t>
      </w:r>
      <w:r>
        <w:rPr>
          <w:i w:val="false"/>
          <w:iCs w:val="false"/>
          <w:color w:val="auto"/>
          <w:sz w:val="24"/>
          <w:szCs w:val="24"/>
        </w:rPr>
        <w:fldChar w:fldCharType="begin"/>
      </w:r>
      <w:r>
        <w:rPr>
          <w:i w:val="false"/>
          <w:iCs w:val="false"/>
          <w:color w:val="auto"/>
          <w:sz w:val="24"/>
          <w:szCs w:val="24"/>
        </w:rPr>
        <w:instrText xml:space="preserve"> SEQ Plate \* ARABIC </w:instrText>
      </w:r>
      <w:r>
        <w:rPr>
          <w:i w:val="false"/>
          <w:iCs w:val="false"/>
          <w:color w:val="auto"/>
          <w:sz w:val="24"/>
          <w:szCs w:val="24"/>
        </w:rPr>
        <w:fldChar w:fldCharType="separate"/>
      </w:r>
      <w:r>
        <w:rPr>
          <w:i w:val="false"/>
          <w:iCs w:val="false"/>
          <w:noProof/>
          <w:color w:val="auto"/>
          <w:sz w:val="24"/>
          <w:szCs w:val="24"/>
        </w:rPr>
        <w:t>2</w:t>
      </w:r>
      <w:r>
        <w:rPr>
          <w:i w:val="false"/>
          <w:iCs w:val="false"/>
          <w:color w:val="auto"/>
          <w:sz w:val="24"/>
          <w:szCs w:val="24"/>
        </w:rPr>
        <w:fldChar w:fldCharType="end"/>
      </w:r>
      <w:r>
        <w:rPr>
          <w:i w:val="false"/>
          <w:iCs w:val="false"/>
          <w:color w:val="auto"/>
          <w:sz w:val="24"/>
          <w:szCs w:val="24"/>
        </w:rPr>
        <w:t>: Buckets of charcoal</w:t>
      </w:r>
      <w:bookmarkEnd w:id="115"/>
    </w:p>
    <w:p>
      <w:pPr>
        <w:pStyle w:val="style0"/>
        <w:spacing w:lineRule="auto" w:line="480"/>
        <w:rPr/>
      </w:pPr>
      <w:r>
        <w:t>The data from TFS regarding charcoal and firewood production in Mazingara ward from 2014 to 2023 shows fluctuating trends in both energy sources, with no consistent pattern of increase or decrease over the years. Charcoal consumption in Mazingara ward peaked in 2022 at 56 tons but saw a slight decline to 53 tons in 2023, while firewood consumption remained relatively stable, with minor variations and a decrease from 58 tons in 2019 to 51 tons in 2023</w:t>
      </w:r>
      <w:r>
        <w:t xml:space="preserve"> (Figure 3)</w:t>
      </w:r>
      <w:r>
        <w:t>. This variability suggests that while both charcoal and firewood remain essential energy sources, their consumption is subject to influences that cause annual fluctuations, possibly reflecting changes in demand, resource availability, or policy interventions.</w:t>
      </w:r>
    </w:p>
    <w:p>
      <w:pPr>
        <w:pStyle w:val="style0"/>
        <w:keepNext/>
        <w:jc w:val="center"/>
        <w:rPr/>
      </w:pPr>
      <w:r>
        <w:rPr>
          <w:noProof/>
        </w:rPr>
      </w:r>
      <w:r>
        <w:rPr>
          <w:noProof/>
        </w:rPr>
      </w:r>
      <w:r>
        <w:rPr>
          <w:noProof/>
        </w:rPr>
      </w:r>
      <w:r>
        <w:rPr>
          <w:noProof/>
        </w:rPr>
        <w:drawing>
          <wp:inline distL="114300" distT="0" distB="0" distR="114300">
            <wp:extent cx="5219700" cy="3118485"/>
            <wp:effectExtent l="0" t="0" r="0" b="0"/>
            <wp:docPr id="104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Pr>
          <w:noProof/>
        </w:rPr>
      </w:r>
    </w:p>
    <w:bookmarkStart w:id="116" w:name="_Toc177668518"/>
    <w:p>
      <w:pPr>
        <w:pStyle w:val="style34"/>
        <w:rPr>
          <w:i w:val="false"/>
          <w:iCs w:val="false"/>
          <w:color w:val="000000"/>
          <w:sz w:val="24"/>
          <w:szCs w:val="24"/>
        </w:rPr>
      </w:pPr>
      <w:r>
        <w:rPr>
          <w:i w:val="false"/>
          <w:iCs w:val="false"/>
          <w:color w:val="000000"/>
          <w:sz w:val="24"/>
          <w:szCs w:val="24"/>
        </w:rPr>
        <w:t xml:space="preserve">Figure </w:t>
      </w:r>
      <w:r>
        <w:rPr>
          <w:i w:val="false"/>
          <w:iCs w:val="false"/>
          <w:color w:val="000000"/>
          <w:sz w:val="24"/>
          <w:szCs w:val="24"/>
        </w:rPr>
        <w:fldChar w:fldCharType="begin"/>
      </w:r>
      <w:r>
        <w:rPr>
          <w:i w:val="false"/>
          <w:iCs w:val="false"/>
          <w:color w:val="000000"/>
          <w:sz w:val="24"/>
          <w:szCs w:val="24"/>
        </w:rPr>
        <w:instrText xml:space="preserve"> SEQ Figure \* ARABIC </w:instrText>
      </w:r>
      <w:r>
        <w:rPr>
          <w:i w:val="false"/>
          <w:iCs w:val="false"/>
          <w:color w:val="000000"/>
          <w:sz w:val="24"/>
          <w:szCs w:val="24"/>
        </w:rPr>
        <w:fldChar w:fldCharType="separate"/>
      </w:r>
      <w:r>
        <w:rPr>
          <w:i w:val="false"/>
          <w:iCs w:val="false"/>
          <w:noProof/>
          <w:color w:val="000000"/>
          <w:sz w:val="24"/>
          <w:szCs w:val="24"/>
        </w:rPr>
        <w:t>3</w:t>
      </w:r>
      <w:r>
        <w:rPr>
          <w:i w:val="false"/>
          <w:iCs w:val="false"/>
          <w:color w:val="000000"/>
          <w:sz w:val="24"/>
          <w:szCs w:val="24"/>
        </w:rPr>
        <w:fldChar w:fldCharType="end"/>
      </w:r>
      <w:r>
        <w:rPr>
          <w:i w:val="false"/>
          <w:iCs w:val="false"/>
          <w:color w:val="000000"/>
          <w:sz w:val="24"/>
          <w:szCs w:val="24"/>
        </w:rPr>
        <w:t xml:space="preserve">: </w:t>
      </w:r>
      <w:r>
        <w:rPr>
          <w:i w:val="false"/>
          <w:iCs w:val="false"/>
          <w:color w:val="000000"/>
          <w:sz w:val="24"/>
          <w:szCs w:val="24"/>
        </w:rPr>
        <w:t>Wood fuel</w:t>
      </w:r>
      <w:r>
        <w:rPr>
          <w:i w:val="false"/>
          <w:iCs w:val="false"/>
          <w:color w:val="000000"/>
          <w:sz w:val="24"/>
          <w:szCs w:val="24"/>
        </w:rPr>
        <w:t xml:space="preserve"> consumption at Mazingara Ward for the last 10 years</w:t>
      </w:r>
      <w:bookmarkEnd w:id="116"/>
    </w:p>
    <w:bookmarkStart w:id="117" w:name="_Toc178076737"/>
    <w:p>
      <w:pPr>
        <w:pStyle w:val="style2"/>
        <w:tabs>
          <w:tab w:val="left" w:leader="none" w:pos="540"/>
          <w:tab w:val="left" w:leader="none" w:pos="3240"/>
        </w:tabs>
        <w:spacing w:before="0" w:beforeAutospacing="false" w:lineRule="auto" w:line="480"/>
        <w:rPr>
          <w:rFonts w:ascii="Times New Roman" w:cs="Times New Roman" w:hAnsi="Times New Roman"/>
          <w:b/>
          <w:color w:val="000000"/>
          <w:sz w:val="24"/>
          <w:szCs w:val="24"/>
        </w:rPr>
      </w:pPr>
      <w:r>
        <w:rPr>
          <w:rFonts w:ascii="Times New Roman" w:cs="Times New Roman" w:hAnsi="Times New Roman"/>
          <w:b/>
          <w:color w:val="000000"/>
          <w:sz w:val="24"/>
          <w:szCs w:val="24"/>
        </w:rPr>
        <w:t xml:space="preserve">4.2.3 Source of </w:t>
      </w:r>
      <w:r>
        <w:rPr>
          <w:rFonts w:ascii="Times New Roman" w:cs="Times New Roman" w:hAnsi="Times New Roman"/>
          <w:b/>
          <w:color w:val="000000"/>
          <w:sz w:val="24"/>
          <w:szCs w:val="24"/>
        </w:rPr>
        <w:t>Wood fuel</w:t>
      </w:r>
      <w:r>
        <w:rPr>
          <w:rFonts w:ascii="Times New Roman" w:cs="Times New Roman" w:hAnsi="Times New Roman"/>
          <w:b/>
          <w:color w:val="000000"/>
          <w:sz w:val="24"/>
          <w:szCs w:val="24"/>
        </w:rPr>
        <w:t xml:space="preserve"> Energy</w:t>
      </w:r>
      <w:bookmarkEnd w:id="117"/>
    </w:p>
    <w:p>
      <w:pPr>
        <w:pStyle w:val="style0"/>
        <w:spacing w:lineRule="auto" w:line="480"/>
        <w:rPr>
          <w:color w:val="000000"/>
        </w:rPr>
      </w:pPr>
      <w:r>
        <w:rPr>
          <w:color w:val="000000"/>
        </w:rPr>
        <w:t xml:space="preserve">The analysis of primary </w:t>
      </w:r>
      <w:r>
        <w:rPr>
          <w:color w:val="000000"/>
        </w:rPr>
        <w:t>wood fuel</w:t>
      </w:r>
      <w:r>
        <w:rPr>
          <w:color w:val="000000"/>
        </w:rPr>
        <w:t xml:space="preserve"> sources reveals that a majority of respondents, 65 individuals (65.7%), purchase their </w:t>
      </w:r>
      <w:r>
        <w:rPr>
          <w:color w:val="000000"/>
        </w:rPr>
        <w:t>wood fuel</w:t>
      </w:r>
      <w:r>
        <w:rPr>
          <w:color w:val="000000"/>
        </w:rPr>
        <w:t xml:space="preserve"> from local suppliers. In contrast, 34 respondents (34.3%) reported sourcing their </w:t>
      </w:r>
      <w:r>
        <w:rPr>
          <w:color w:val="000000"/>
        </w:rPr>
        <w:t>wood fuel</w:t>
      </w:r>
      <w:r>
        <w:rPr>
          <w:color w:val="000000"/>
        </w:rPr>
        <w:t xml:space="preserve"> from the nearby bushes</w:t>
      </w:r>
      <w:r>
        <w:rPr>
          <w:color w:val="000000"/>
        </w:rPr>
        <w:t xml:space="preserve"> (Table 5)</w:t>
      </w:r>
      <w:r>
        <w:rPr>
          <w:color w:val="000000"/>
        </w:rPr>
        <w:t xml:space="preserve">. These findings imply that the distribution highlights the reliance on local suppliers for </w:t>
      </w:r>
      <w:r>
        <w:rPr>
          <w:color w:val="000000"/>
        </w:rPr>
        <w:t>wood fuel</w:t>
      </w:r>
      <w:r>
        <w:rPr>
          <w:color w:val="000000"/>
        </w:rPr>
        <w:t xml:space="preserve"> similar to what Felix </w:t>
      </w:r>
      <w:r>
        <w:rPr>
          <w:i/>
          <w:iCs/>
          <w:color w:val="000000"/>
        </w:rPr>
        <w:t xml:space="preserve">et al. </w:t>
      </w:r>
      <w:r>
        <w:rPr>
          <w:color w:val="000000"/>
        </w:rPr>
        <w:t xml:space="preserve">(2011) who found that factors such as convenience, lack of personal land resources, or the quality and variety of </w:t>
      </w:r>
      <w:r>
        <w:rPr>
          <w:color w:val="000000"/>
        </w:rPr>
        <w:t>wood fuel</w:t>
      </w:r>
      <w:r>
        <w:rPr>
          <w:color w:val="000000"/>
        </w:rPr>
        <w:t xml:space="preserve"> available through local markets. According to Felix </w:t>
      </w:r>
      <w:r>
        <w:rPr>
          <w:i/>
          <w:iCs/>
          <w:color w:val="000000"/>
        </w:rPr>
        <w:t xml:space="preserve">et al. </w:t>
      </w:r>
      <w:r>
        <w:rPr>
          <w:color w:val="000000"/>
        </w:rPr>
        <w:t xml:space="preserve">(2011), </w:t>
      </w:r>
      <w:r>
        <w:t xml:space="preserve">More than 80% of Tanzanians depend on </w:t>
      </w:r>
      <w:r>
        <w:t>wood fuel</w:t>
      </w:r>
      <w:r>
        <w:t xml:space="preserve"> as a source of energy by burning firewood, dung, and other traditional fuels. </w:t>
      </w:r>
      <w:r>
        <w:t>Wood fuel</w:t>
      </w:r>
      <w:r>
        <w:t xml:space="preserve"> use accounts for over 90% of total energy consumption</w:t>
      </w:r>
      <w:r>
        <w:t xml:space="preserve"> (Table 5)</w:t>
      </w:r>
      <w:r>
        <w:t xml:space="preserve">. Recently, for the year 2024 according to the NBS data the current consumption of 63.5% of household in Tanzania mainland use firewood while </w:t>
      </w:r>
      <w:r>
        <w:t xml:space="preserve">26.2% use charcoal as energy for cooking, and their main sources are found mainly in remote bushes and abandoned forests. </w:t>
      </w:r>
    </w:p>
    <w:bookmarkStart w:id="118" w:name="_Toc177668540"/>
    <w:p>
      <w:pPr>
        <w:pStyle w:val="style0"/>
        <w:spacing w:lineRule="auto" w:line="480"/>
        <w:rPr>
          <w:color w:val="000000"/>
        </w:rPr>
      </w:pPr>
      <w:r>
        <w:rPr>
          <w:b/>
          <w:bCs/>
          <w:color w:val="000000"/>
        </w:rPr>
        <w:t xml:space="preserve">Table </w:t>
      </w:r>
      <w:r>
        <w:rPr>
          <w:b/>
          <w:bCs/>
          <w:color w:val="000000"/>
        </w:rPr>
        <w:fldChar w:fldCharType="begin"/>
      </w:r>
      <w:r>
        <w:rPr>
          <w:b/>
          <w:bCs/>
          <w:color w:val="000000"/>
        </w:rPr>
        <w:instrText xml:space="preserve"> SEQ Table \* ARABIC </w:instrText>
      </w:r>
      <w:r>
        <w:rPr>
          <w:b/>
          <w:bCs/>
          <w:color w:val="000000"/>
        </w:rPr>
        <w:fldChar w:fldCharType="separate"/>
      </w:r>
      <w:r>
        <w:rPr>
          <w:b/>
          <w:bCs/>
          <w:noProof/>
          <w:color w:val="000000"/>
        </w:rPr>
        <w:t>5</w:t>
      </w:r>
      <w:r>
        <w:rPr>
          <w:b/>
          <w:bCs/>
          <w:noProof/>
          <w:color w:val="000000"/>
        </w:rPr>
        <w:fldChar w:fldCharType="end"/>
      </w:r>
      <w:r>
        <w:rPr>
          <w:b/>
          <w:bCs/>
          <w:color w:val="000000"/>
        </w:rPr>
        <w:t xml:space="preserve">: Sources of </w:t>
      </w:r>
      <w:r>
        <w:rPr>
          <w:b/>
          <w:bCs/>
          <w:color w:val="000000"/>
        </w:rPr>
        <w:t>wood fuel</w:t>
      </w:r>
      <w:r>
        <w:rPr>
          <w:b/>
          <w:bCs/>
          <w:color w:val="000000"/>
        </w:rPr>
        <w:t xml:space="preserve"> energy</w:t>
      </w:r>
      <w:bookmarkEnd w:id="118"/>
    </w:p>
    <w:tbl>
      <w:tblPr>
        <w:tblW w:w="8268" w:type="dxa"/>
        <w:tblLayout w:type="fixed"/>
        <w:tblCellMar>
          <w:left w:w="0" w:type="dxa"/>
          <w:right w:w="0" w:type="dxa"/>
        </w:tblCellMar>
        <w:tblLook w:val="0000" w:firstRow="0" w:lastRow="0" w:firstColumn="0" w:lastColumn="0" w:noHBand="0" w:noVBand="0"/>
      </w:tblPr>
      <w:tblGrid>
        <w:gridCol w:w="3969"/>
        <w:gridCol w:w="2552"/>
        <w:gridCol w:w="1747"/>
      </w:tblGrid>
      <w:tr>
        <w:trPr>
          <w:cantSplit/>
          <w:trHeight w:val="455" w:hRule="atLeast"/>
        </w:trPr>
        <w:tc>
          <w:tcPr>
            <w:tcW w:w="3969" w:type="dxa"/>
            <w:tcBorders>
              <w:top w:val="single" w:sz="8" w:space="0" w:color="auto"/>
              <w:bottom w:val="single" w:sz="8" w:space="0" w:color="auto"/>
            </w:tcBorders>
            <w:shd w:val="clear" w:color="auto" w:fill="auto"/>
            <w:vAlign w:val="bottom"/>
          </w:tcPr>
          <w:p>
            <w:pPr>
              <w:pStyle w:val="style0"/>
              <w:spacing w:lineRule="auto" w:line="480"/>
              <w:rPr>
                <w:b/>
                <w:bCs/>
                <w:color w:val="000000"/>
              </w:rPr>
            </w:pPr>
            <w:r>
              <w:rPr>
                <w:b/>
                <w:bCs/>
                <w:color w:val="000000"/>
              </w:rPr>
              <w:t>Charcoal</w:t>
            </w:r>
          </w:p>
        </w:tc>
        <w:tc>
          <w:tcPr>
            <w:tcW w:w="2552" w:type="dxa"/>
            <w:tcBorders>
              <w:top w:val="single" w:sz="8" w:space="0" w:color="auto"/>
              <w:bottom w:val="single" w:sz="8" w:space="0" w:color="auto"/>
            </w:tcBorders>
            <w:shd w:val="clear" w:color="auto" w:fill="auto"/>
            <w:vAlign w:val="bottom"/>
          </w:tcPr>
          <w:p>
            <w:pPr>
              <w:pStyle w:val="style0"/>
              <w:spacing w:lineRule="auto" w:line="480"/>
              <w:ind w:right="60"/>
              <w:jc w:val="center"/>
              <w:rPr>
                <w:color w:val="000000"/>
              </w:rPr>
            </w:pPr>
            <w:r>
              <w:rPr>
                <w:color w:val="000000"/>
              </w:rPr>
              <w:t>Frequency</w:t>
            </w:r>
          </w:p>
        </w:tc>
        <w:tc>
          <w:tcPr>
            <w:tcW w:w="1747" w:type="dxa"/>
            <w:tcBorders>
              <w:top w:val="single" w:sz="8" w:space="0" w:color="auto"/>
              <w:bottom w:val="single" w:sz="8" w:space="0" w:color="auto"/>
            </w:tcBorders>
            <w:shd w:val="clear" w:color="auto" w:fill="auto"/>
            <w:vAlign w:val="bottom"/>
          </w:tcPr>
          <w:p>
            <w:pPr>
              <w:pStyle w:val="style0"/>
              <w:spacing w:lineRule="auto" w:line="480"/>
              <w:ind w:left="60" w:right="60"/>
              <w:rPr>
                <w:color w:val="000000"/>
              </w:rPr>
            </w:pPr>
            <w:r>
              <w:rPr>
                <w:color w:val="000000"/>
              </w:rPr>
              <w:t>Percentage</w:t>
            </w:r>
            <w:r>
              <w:rPr>
                <w:color w:val="000000"/>
              </w:rPr>
              <w:t xml:space="preserve"> (</w:t>
            </w:r>
            <w:r>
              <w:rPr>
                <w:color w:val="000000"/>
              </w:rPr>
              <w:t>%</w:t>
            </w:r>
            <w:r>
              <w:rPr>
                <w:color w:val="000000"/>
              </w:rPr>
              <w:t>)</w:t>
            </w:r>
          </w:p>
        </w:tc>
      </w:tr>
      <w:tr>
        <w:tblPrEx/>
        <w:trPr>
          <w:cantSplit/>
          <w:trHeight w:val="434" w:hRule="atLeast"/>
        </w:trPr>
        <w:tc>
          <w:tcPr>
            <w:tcW w:w="3969" w:type="dxa"/>
            <w:tcBorders>
              <w:top w:val="single" w:sz="8" w:space="0" w:color="auto"/>
            </w:tcBorders>
            <w:shd w:val="clear" w:color="auto" w:fill="auto"/>
          </w:tcPr>
          <w:p>
            <w:pPr>
              <w:pStyle w:val="style0"/>
              <w:spacing w:lineRule="auto" w:line="480"/>
              <w:ind w:left="60" w:right="60"/>
              <w:rPr>
                <w:color w:val="000000"/>
              </w:rPr>
            </w:pPr>
            <w:r>
              <w:rPr>
                <w:color w:val="000000"/>
              </w:rPr>
              <w:t xml:space="preserve">Purchasing from </w:t>
            </w:r>
            <w:r>
              <w:rPr>
                <w:color w:val="000000"/>
              </w:rPr>
              <w:t xml:space="preserve">charcoal </w:t>
            </w:r>
            <w:r>
              <w:rPr>
                <w:color w:val="000000"/>
              </w:rPr>
              <w:t>vendors</w:t>
            </w:r>
          </w:p>
        </w:tc>
        <w:tc>
          <w:tcPr>
            <w:tcW w:w="2552" w:type="dxa"/>
            <w:tcBorders>
              <w:top w:val="single" w:sz="8" w:space="0" w:color="auto"/>
            </w:tcBorders>
            <w:shd w:val="clear" w:color="auto" w:fill="auto"/>
          </w:tcPr>
          <w:p>
            <w:pPr>
              <w:pStyle w:val="style0"/>
              <w:spacing w:lineRule="auto" w:line="480"/>
              <w:ind w:left="60" w:right="60"/>
              <w:jc w:val="center"/>
              <w:rPr>
                <w:color w:val="000000"/>
              </w:rPr>
            </w:pPr>
            <w:r>
              <w:rPr>
                <w:color w:val="000000"/>
              </w:rPr>
              <w:t>6</w:t>
            </w:r>
            <w:r>
              <w:rPr>
                <w:color w:val="000000"/>
              </w:rPr>
              <w:t>9</w:t>
            </w:r>
          </w:p>
        </w:tc>
        <w:tc>
          <w:tcPr>
            <w:tcW w:w="1747" w:type="dxa"/>
            <w:tcBorders>
              <w:top w:val="single" w:sz="8" w:space="0" w:color="auto"/>
            </w:tcBorders>
            <w:shd w:val="clear" w:color="auto" w:fill="auto"/>
          </w:tcPr>
          <w:p>
            <w:pPr>
              <w:pStyle w:val="style0"/>
              <w:spacing w:lineRule="auto" w:line="480"/>
              <w:ind w:left="60" w:right="60"/>
              <w:jc w:val="center"/>
              <w:rPr>
                <w:color w:val="000000"/>
              </w:rPr>
            </w:pPr>
            <w:r>
              <w:rPr>
                <w:color w:val="000000"/>
              </w:rPr>
              <w:t>6</w:t>
            </w:r>
            <w:r>
              <w:rPr>
                <w:color w:val="000000"/>
              </w:rPr>
              <w:t>9.7</w:t>
            </w:r>
          </w:p>
        </w:tc>
      </w:tr>
      <w:tr>
        <w:tblPrEx/>
        <w:trPr>
          <w:cantSplit/>
          <w:trHeight w:val="455" w:hRule="atLeast"/>
        </w:trPr>
        <w:tc>
          <w:tcPr>
            <w:tcW w:w="3969" w:type="dxa"/>
            <w:tcBorders>
              <w:bottom w:val="single" w:sz="8" w:space="0" w:color="auto"/>
            </w:tcBorders>
            <w:shd w:val="clear" w:color="auto" w:fill="auto"/>
          </w:tcPr>
          <w:p>
            <w:pPr>
              <w:pStyle w:val="style0"/>
              <w:spacing w:lineRule="auto" w:line="480"/>
              <w:ind w:left="60" w:right="60"/>
              <w:rPr>
                <w:color w:val="000000"/>
              </w:rPr>
            </w:pPr>
            <w:r>
              <w:rPr>
                <w:color w:val="000000"/>
              </w:rPr>
              <w:t>Harvesting from charcoal furnaces</w:t>
            </w:r>
          </w:p>
        </w:tc>
        <w:tc>
          <w:tcPr>
            <w:tcW w:w="2552" w:type="dxa"/>
            <w:tcBorders>
              <w:bottom w:val="single" w:sz="8" w:space="0" w:color="auto"/>
            </w:tcBorders>
            <w:shd w:val="clear" w:color="auto" w:fill="auto"/>
          </w:tcPr>
          <w:p>
            <w:pPr>
              <w:pStyle w:val="style0"/>
              <w:spacing w:lineRule="auto" w:line="480"/>
              <w:ind w:left="60" w:right="60"/>
              <w:jc w:val="center"/>
              <w:rPr>
                <w:color w:val="000000"/>
              </w:rPr>
            </w:pPr>
            <w:r>
              <w:rPr>
                <w:color w:val="000000"/>
              </w:rPr>
              <w:t>3</w:t>
            </w:r>
            <w:r>
              <w:rPr>
                <w:color w:val="000000"/>
              </w:rPr>
              <w:t>0</w:t>
            </w:r>
          </w:p>
        </w:tc>
        <w:tc>
          <w:tcPr>
            <w:tcW w:w="1747" w:type="dxa"/>
            <w:tcBorders>
              <w:bottom w:val="single" w:sz="8" w:space="0" w:color="auto"/>
            </w:tcBorders>
            <w:shd w:val="clear" w:color="auto" w:fill="auto"/>
          </w:tcPr>
          <w:p>
            <w:pPr>
              <w:pStyle w:val="style0"/>
              <w:spacing w:lineRule="auto" w:line="480"/>
              <w:ind w:left="60" w:right="60"/>
              <w:jc w:val="center"/>
              <w:rPr>
                <w:color w:val="000000"/>
              </w:rPr>
            </w:pPr>
            <w:r>
              <w:rPr>
                <w:color w:val="000000"/>
              </w:rPr>
              <w:t>3</w:t>
            </w:r>
            <w:r>
              <w:rPr>
                <w:color w:val="000000"/>
              </w:rPr>
              <w:t>0.3</w:t>
            </w:r>
          </w:p>
        </w:tc>
      </w:tr>
      <w:tr>
        <w:tblPrEx/>
        <w:trPr>
          <w:cantSplit/>
          <w:trHeight w:val="455" w:hRule="atLeast"/>
        </w:trPr>
        <w:tc>
          <w:tcPr>
            <w:tcW w:w="3969" w:type="dxa"/>
            <w:tcBorders>
              <w:top w:val="single" w:sz="8" w:space="0" w:color="auto"/>
            </w:tcBorders>
            <w:shd w:val="clear" w:color="auto" w:fill="auto"/>
          </w:tcPr>
          <w:p>
            <w:pPr>
              <w:pStyle w:val="style0"/>
              <w:spacing w:lineRule="auto" w:line="480"/>
              <w:ind w:left="60" w:right="60"/>
              <w:rPr>
                <w:b/>
                <w:bCs/>
                <w:color w:val="000000"/>
              </w:rPr>
            </w:pPr>
            <w:r>
              <w:rPr>
                <w:b/>
                <w:bCs/>
                <w:color w:val="000000"/>
              </w:rPr>
              <w:t>Firewood</w:t>
            </w:r>
          </w:p>
        </w:tc>
        <w:tc>
          <w:tcPr>
            <w:tcW w:w="2552" w:type="dxa"/>
            <w:tcBorders>
              <w:top w:val="single" w:sz="8" w:space="0" w:color="auto"/>
            </w:tcBorders>
            <w:shd w:val="clear" w:color="auto" w:fill="auto"/>
          </w:tcPr>
          <w:p>
            <w:pPr>
              <w:pStyle w:val="style0"/>
              <w:spacing w:lineRule="auto" w:line="480"/>
              <w:ind w:left="60" w:right="60"/>
              <w:jc w:val="center"/>
              <w:rPr>
                <w:color w:val="000000"/>
              </w:rPr>
            </w:pPr>
          </w:p>
        </w:tc>
        <w:tc>
          <w:tcPr>
            <w:tcW w:w="1747" w:type="dxa"/>
            <w:tcBorders>
              <w:top w:val="single" w:sz="8" w:space="0" w:color="auto"/>
            </w:tcBorders>
            <w:shd w:val="clear" w:color="auto" w:fill="auto"/>
          </w:tcPr>
          <w:p>
            <w:pPr>
              <w:pStyle w:val="style0"/>
              <w:spacing w:lineRule="auto" w:line="480"/>
              <w:ind w:left="60" w:right="60"/>
              <w:jc w:val="center"/>
              <w:rPr>
                <w:color w:val="000000"/>
              </w:rPr>
            </w:pPr>
          </w:p>
        </w:tc>
      </w:tr>
      <w:tr>
        <w:tblPrEx/>
        <w:trPr>
          <w:cantSplit/>
          <w:trHeight w:val="455" w:hRule="atLeast"/>
        </w:trPr>
        <w:tc>
          <w:tcPr>
            <w:tcW w:w="3969" w:type="dxa"/>
            <w:tcBorders/>
            <w:shd w:val="clear" w:color="auto" w:fill="auto"/>
          </w:tcPr>
          <w:p>
            <w:pPr>
              <w:pStyle w:val="style0"/>
              <w:spacing w:lineRule="auto" w:line="480"/>
              <w:ind w:left="60" w:right="60"/>
              <w:rPr>
                <w:color w:val="000000"/>
              </w:rPr>
            </w:pPr>
            <w:r>
              <w:rPr>
                <w:color w:val="000000"/>
              </w:rPr>
              <w:t>Purchasing from firewood vendors</w:t>
            </w:r>
          </w:p>
        </w:tc>
        <w:tc>
          <w:tcPr>
            <w:tcW w:w="2552" w:type="dxa"/>
            <w:tcBorders/>
            <w:shd w:val="clear" w:color="auto" w:fill="auto"/>
          </w:tcPr>
          <w:p>
            <w:pPr>
              <w:pStyle w:val="style0"/>
              <w:spacing w:lineRule="auto" w:line="480"/>
              <w:ind w:left="60" w:right="60"/>
              <w:jc w:val="center"/>
              <w:rPr>
                <w:color w:val="000000"/>
              </w:rPr>
            </w:pPr>
            <w:r>
              <w:rPr>
                <w:color w:val="000000"/>
              </w:rPr>
              <w:t>37</w:t>
            </w:r>
          </w:p>
        </w:tc>
        <w:tc>
          <w:tcPr>
            <w:tcW w:w="1747" w:type="dxa"/>
            <w:tcBorders/>
            <w:shd w:val="clear" w:color="auto" w:fill="auto"/>
          </w:tcPr>
          <w:p>
            <w:pPr>
              <w:pStyle w:val="style0"/>
              <w:spacing w:lineRule="auto" w:line="480"/>
              <w:ind w:left="60" w:right="60"/>
              <w:jc w:val="center"/>
              <w:rPr>
                <w:color w:val="000000"/>
              </w:rPr>
            </w:pPr>
            <w:r>
              <w:rPr>
                <w:color w:val="000000"/>
              </w:rPr>
              <w:t>37.4</w:t>
            </w:r>
          </w:p>
        </w:tc>
      </w:tr>
      <w:tr>
        <w:tblPrEx/>
        <w:trPr>
          <w:cantSplit/>
          <w:trHeight w:val="455" w:hRule="atLeast"/>
        </w:trPr>
        <w:tc>
          <w:tcPr>
            <w:tcW w:w="3969" w:type="dxa"/>
            <w:tcBorders>
              <w:bottom w:val="single" w:sz="8" w:space="0" w:color="auto"/>
            </w:tcBorders>
            <w:shd w:val="clear" w:color="auto" w:fill="auto"/>
          </w:tcPr>
          <w:p>
            <w:pPr>
              <w:pStyle w:val="style0"/>
              <w:spacing w:lineRule="auto" w:line="480"/>
              <w:ind w:left="60" w:right="60"/>
              <w:rPr>
                <w:color w:val="000000"/>
              </w:rPr>
            </w:pPr>
            <w:r>
              <w:rPr>
                <w:color w:val="000000"/>
              </w:rPr>
              <w:t>Collecting from bushes</w:t>
            </w:r>
          </w:p>
        </w:tc>
        <w:tc>
          <w:tcPr>
            <w:tcW w:w="2552" w:type="dxa"/>
            <w:tcBorders>
              <w:bottom w:val="single" w:sz="8" w:space="0" w:color="auto"/>
            </w:tcBorders>
            <w:shd w:val="clear" w:color="auto" w:fill="auto"/>
          </w:tcPr>
          <w:p>
            <w:pPr>
              <w:pStyle w:val="style0"/>
              <w:spacing w:lineRule="auto" w:line="480"/>
              <w:ind w:left="60" w:right="60"/>
              <w:jc w:val="center"/>
              <w:rPr>
                <w:color w:val="000000"/>
              </w:rPr>
            </w:pPr>
            <w:r>
              <w:rPr>
                <w:color w:val="000000"/>
              </w:rPr>
              <w:t>62</w:t>
            </w:r>
          </w:p>
        </w:tc>
        <w:tc>
          <w:tcPr>
            <w:tcW w:w="1747" w:type="dxa"/>
            <w:tcBorders>
              <w:bottom w:val="single" w:sz="8" w:space="0" w:color="auto"/>
            </w:tcBorders>
            <w:shd w:val="clear" w:color="auto" w:fill="auto"/>
          </w:tcPr>
          <w:p>
            <w:pPr>
              <w:pStyle w:val="style0"/>
              <w:spacing w:lineRule="auto" w:line="480"/>
              <w:ind w:left="60" w:right="60"/>
              <w:jc w:val="center"/>
              <w:rPr>
                <w:color w:val="000000"/>
              </w:rPr>
            </w:pPr>
            <w:r>
              <w:rPr>
                <w:color w:val="000000"/>
              </w:rPr>
              <w:t>62.6</w:t>
            </w:r>
          </w:p>
        </w:tc>
      </w:tr>
      <w:bookmarkStart w:id="119" w:name="_Toc178076738"/>
    </w:tbl>
    <w:p>
      <w:pPr>
        <w:pStyle w:val="style2"/>
        <w:tabs>
          <w:tab w:val="left" w:leader="none" w:pos="540"/>
          <w:tab w:val="left" w:leader="none" w:pos="3240"/>
        </w:tabs>
        <w:spacing w:before="240" w:beforeAutospacing="false" w:lineRule="auto" w:line="480"/>
        <w:rPr>
          <w:rFonts w:ascii="Times New Roman" w:cs="Times New Roman" w:hAnsi="Times New Roman"/>
          <w:b/>
          <w:color w:val="000000"/>
          <w:sz w:val="24"/>
          <w:szCs w:val="24"/>
        </w:rPr>
      </w:pPr>
      <w:r>
        <w:rPr>
          <w:rFonts w:ascii="Times New Roman" w:cs="Times New Roman" w:hAnsi="Times New Roman"/>
          <w:b/>
          <w:color w:val="000000"/>
          <w:sz w:val="24"/>
          <w:szCs w:val="24"/>
        </w:rPr>
        <w:t xml:space="preserve">4.3 Perceived effects of </w:t>
      </w:r>
      <w:r>
        <w:rPr>
          <w:rFonts w:ascii="Times New Roman" w:cs="Times New Roman" w:hAnsi="Times New Roman"/>
          <w:b/>
          <w:color w:val="000000"/>
          <w:sz w:val="24"/>
          <w:szCs w:val="24"/>
        </w:rPr>
        <w:t>wood fuel</w:t>
      </w:r>
      <w:r>
        <w:rPr>
          <w:rFonts w:ascii="Times New Roman" w:cs="Times New Roman" w:hAnsi="Times New Roman"/>
          <w:b/>
          <w:color w:val="000000"/>
          <w:sz w:val="24"/>
          <w:szCs w:val="24"/>
        </w:rPr>
        <w:t xml:space="preserve"> consumption on the community</w:t>
      </w:r>
      <w:bookmarkEnd w:id="119"/>
    </w:p>
    <w:bookmarkStart w:id="120" w:name="_Toc178076739"/>
    <w:p>
      <w:pPr>
        <w:pStyle w:val="style2"/>
        <w:tabs>
          <w:tab w:val="left" w:leader="none" w:pos="540"/>
          <w:tab w:val="left" w:leader="none" w:pos="3240"/>
        </w:tabs>
        <w:spacing w:before="0" w:beforeAutospacing="false" w:lineRule="auto" w:line="480"/>
        <w:rPr>
          <w:rFonts w:ascii="Times New Roman" w:cs="Times New Roman" w:hAnsi="Times New Roman"/>
          <w:b/>
          <w:color w:val="000000"/>
          <w:sz w:val="24"/>
          <w:szCs w:val="24"/>
        </w:rPr>
      </w:pPr>
      <w:r>
        <w:rPr>
          <w:rFonts w:ascii="Times New Roman" w:cs="Times New Roman" w:hAnsi="Times New Roman"/>
          <w:b/>
          <w:color w:val="000000"/>
          <w:sz w:val="24"/>
          <w:szCs w:val="24"/>
        </w:rPr>
        <w:t>4.3.1 Health impacts</w:t>
      </w:r>
      <w:bookmarkEnd w:id="120"/>
    </w:p>
    <w:p>
      <w:pPr>
        <w:pStyle w:val="style0"/>
        <w:spacing w:lineRule="auto" w:line="480"/>
        <w:rPr/>
      </w:pPr>
      <w:r>
        <w:t>Table 6 presents the respondents' perceptions of the health impacts of wood fuel consumption. A majority, 51% of respondents, either strongly agree (18%) or agree (33%) that wood fuel use leads to respiratory problems, with a mean score of 3.34 and a standard deviation (SD) of 1.20. In contrast, 28% disagree (21% disagree, 7% strongly disagree), while 20% are neutral</w:t>
      </w:r>
      <w:r>
        <w:t xml:space="preserve"> (Table 6)</w:t>
      </w:r>
      <w:r>
        <w:t>. These findings suggest that more than half of the respondents recognize the adverse health effects of wood fuel, particularly respiratory issues, which aligns with the general understanding that wood smoke contains harmful pollutants like particulate matter, carbon monoxide, and other toxins known to cause respiratory complications.</w:t>
      </w:r>
    </w:p>
    <w:p>
      <w:pPr>
        <w:pStyle w:val="style0"/>
        <w:spacing w:lineRule="auto" w:line="480"/>
        <w:rPr/>
      </w:pPr>
      <w:r>
        <w:t>When focusing on eye health, 65% of respondents (27% strongly agree, 38% agree) believe that wood fuel usage causes red eye problems, with a mean score of 3.35 and an SD of 1.27. Only a small minority (7%) disagree, and 4% strongly disagree, while 23% remain neutral</w:t>
      </w:r>
      <w:r>
        <w:t xml:space="preserve"> (Table 6)</w:t>
      </w:r>
      <w:r>
        <w:t>. This significant agreement highlights a common health issue associated with exposure to wood smoke during cooking, which can irritate the eyes due to the release of smoke and soot, especially in poorly ventilated areas.</w:t>
      </w:r>
    </w:p>
    <w:p>
      <w:pPr>
        <w:pStyle w:val="style0"/>
        <w:spacing w:lineRule="auto" w:line="480"/>
        <w:rPr/>
      </w:pPr>
      <w:r>
        <w:t>Regarding the risk of lung cancer, 51% of respondents (15% strongly agree, 36% agree) also acknowledge that wood fuel use can lead to lung cancer, supported by a mean score of 3.20 and an SD of 1.26. However, 36% disagree (26% disagree, 10% strongly disagree), and 12% are neutral, showing a more divided opinion on this specific health risk</w:t>
      </w:r>
      <w:r>
        <w:t xml:space="preserve"> (Table 6)</w:t>
      </w:r>
      <w:r>
        <w:t>. These findings suggest that while there is awareness of the potential severe health risks like lung cancer, a considerable proportion of the population remains either skeptical or uncertain about the strength of this link.</w:t>
      </w:r>
      <w:r>
        <w:t xml:space="preserve"> </w:t>
      </w:r>
      <w:r>
        <w:t xml:space="preserve">According to Kaale (2005), charcoal is often perceived as a safer alternative to firewood in urban areas due to its lower visible health effects and its widespread availability, reliability, and lower cost. However, the data from this study indicates that despite these perceptions, a significant proportion of respondents are aware of the health risks associated with wood fuel consumption, particularly respiratory problems, eye irritation, and the risk of lung cancer. This aligns with findings by Nuru </w:t>
      </w:r>
      <w:r>
        <w:rPr>
          <w:i/>
          <w:iCs/>
        </w:rPr>
        <w:t>at al</w:t>
      </w:r>
      <w:r>
        <w:t xml:space="preserve">. (2015), who noted similar concerns among communities using wood fuel. The mixed responses highlight the need for increased awareness and education regarding the </w:t>
      </w:r>
      <w:r>
        <w:t>health impacts of wood fuel, especially in communities that heavily rely on it for energy</w:t>
      </w:r>
      <w:r>
        <w:t>.</w:t>
      </w:r>
    </w:p>
    <w:bookmarkStart w:id="121" w:name="_Toc177668541"/>
    <w:p>
      <w:pPr>
        <w:pStyle w:val="style34"/>
        <w:keepNext/>
        <w:rPr>
          <w:b/>
          <w:bCs/>
          <w:i w:val="false"/>
          <w:iCs w:val="false"/>
          <w:color w:val="000000"/>
          <w:sz w:val="24"/>
          <w:szCs w:val="24"/>
        </w:rPr>
      </w:pPr>
      <w:r>
        <w:rPr>
          <w:b/>
          <w:bCs/>
          <w:i w:val="false"/>
          <w:iCs w:val="false"/>
          <w:color w:val="000000"/>
          <w:sz w:val="24"/>
          <w:szCs w:val="24"/>
        </w:rPr>
        <w:t xml:space="preserve">Table </w:t>
      </w:r>
      <w:r>
        <w:rPr>
          <w:b/>
          <w:bCs/>
          <w:i w:val="false"/>
          <w:iCs w:val="false"/>
          <w:color w:val="000000"/>
          <w:sz w:val="24"/>
          <w:szCs w:val="24"/>
        </w:rPr>
        <w:fldChar w:fldCharType="begin"/>
      </w:r>
      <w:r>
        <w:rPr>
          <w:b/>
          <w:bCs/>
          <w:i w:val="false"/>
          <w:iCs w:val="false"/>
          <w:color w:val="000000"/>
          <w:sz w:val="24"/>
          <w:szCs w:val="24"/>
        </w:rPr>
        <w:instrText xml:space="preserve"> SEQ Table \* ARABIC </w:instrText>
      </w:r>
      <w:r>
        <w:rPr>
          <w:b/>
          <w:bCs/>
          <w:i w:val="false"/>
          <w:iCs w:val="false"/>
          <w:color w:val="000000"/>
          <w:sz w:val="24"/>
          <w:szCs w:val="24"/>
        </w:rPr>
        <w:fldChar w:fldCharType="separate"/>
      </w:r>
      <w:r>
        <w:rPr>
          <w:b/>
          <w:bCs/>
          <w:i w:val="false"/>
          <w:iCs w:val="false"/>
          <w:noProof/>
          <w:color w:val="000000"/>
          <w:sz w:val="24"/>
          <w:szCs w:val="24"/>
        </w:rPr>
        <w:t>6</w:t>
      </w:r>
      <w:r>
        <w:rPr>
          <w:b/>
          <w:bCs/>
          <w:i w:val="false"/>
          <w:iCs w:val="false"/>
          <w:noProof/>
          <w:color w:val="000000"/>
          <w:sz w:val="24"/>
          <w:szCs w:val="24"/>
        </w:rPr>
        <w:fldChar w:fldCharType="end"/>
      </w:r>
      <w:r>
        <w:rPr>
          <w:b/>
          <w:bCs/>
          <w:i w:val="false"/>
          <w:iCs w:val="false"/>
          <w:color w:val="000000"/>
          <w:sz w:val="24"/>
          <w:szCs w:val="24"/>
        </w:rPr>
        <w:t xml:space="preserve">: Agreement with Health Impacts of </w:t>
      </w:r>
      <w:r>
        <w:rPr>
          <w:b/>
          <w:bCs/>
          <w:i w:val="false"/>
          <w:iCs w:val="false"/>
          <w:color w:val="000000"/>
          <w:sz w:val="24"/>
          <w:szCs w:val="24"/>
        </w:rPr>
        <w:t>Wood fuel</w:t>
      </w:r>
      <w:r>
        <w:rPr>
          <w:b/>
          <w:bCs/>
          <w:i w:val="false"/>
          <w:iCs w:val="false"/>
          <w:color w:val="000000"/>
          <w:sz w:val="24"/>
          <w:szCs w:val="24"/>
        </w:rPr>
        <w:t xml:space="preserve"> Consumption</w:t>
      </w:r>
      <w:bookmarkEnd w:id="121"/>
    </w:p>
    <w:tbl>
      <w:tblPr>
        <w:tblW w:w="8220" w:type="dxa"/>
        <w:tblLayout w:type="fixed"/>
        <w:tblLook w:val="04A0" w:firstRow="1" w:lastRow="0" w:firstColumn="1" w:lastColumn="0" w:noHBand="0" w:noVBand="1"/>
      </w:tblPr>
      <w:tblGrid>
        <w:gridCol w:w="2977"/>
        <w:gridCol w:w="851"/>
        <w:gridCol w:w="708"/>
        <w:gridCol w:w="709"/>
        <w:gridCol w:w="841"/>
        <w:gridCol w:w="850"/>
        <w:gridCol w:w="719"/>
        <w:gridCol w:w="565"/>
      </w:tblGrid>
      <w:tr>
        <w:trPr>
          <w:trHeight w:val="297" w:hRule="atLeast"/>
        </w:trPr>
        <w:tc>
          <w:tcPr>
            <w:tcW w:w="2977" w:type="dxa"/>
            <w:tcBorders>
              <w:top w:val="single" w:sz="8" w:space="0" w:color="auto"/>
              <w:bottom w:val="single" w:sz="8" w:space="0" w:color="auto"/>
            </w:tcBorders>
            <w:shd w:val="clear" w:color="auto" w:fill="auto"/>
            <w:noWrap/>
            <w:vAlign w:val="bottom"/>
            <w:hideMark/>
          </w:tcPr>
          <w:p>
            <w:pPr>
              <w:pStyle w:val="style0"/>
              <w:spacing w:before="0" w:beforeAutospacing="false" w:after="0" w:afterAutospacing="false" w:lineRule="auto" w:line="240"/>
              <w:jc w:val="left"/>
              <w:rPr>
                <w:rFonts w:ascii="Calibri" w:cs="Calibri" w:hAnsi="Calibri"/>
                <w:color w:val="000000"/>
                <w:sz w:val="22"/>
                <w:szCs w:val="22"/>
              </w:rPr>
            </w:pPr>
            <w:r>
              <w:rPr>
                <w:color w:val="000000"/>
              </w:rPr>
              <w:t>.</w:t>
            </w:r>
            <w:r>
              <w:rPr>
                <w:rFonts w:ascii="Calibri" w:cs="Calibri" w:hAnsi="Calibri"/>
                <w:color w:val="000000"/>
                <w:sz w:val="22"/>
                <w:szCs w:val="22"/>
              </w:rPr>
              <w:t> </w:t>
            </w:r>
          </w:p>
        </w:tc>
        <w:tc>
          <w:tcPr>
            <w:tcW w:w="851" w:type="dxa"/>
            <w:tcBorders>
              <w:top w:val="single" w:sz="8" w:space="0" w:color="auto"/>
              <w:bottom w:val="single" w:sz="8" w:space="0" w:color="auto"/>
            </w:tcBorders>
            <w:shd w:val="clear" w:color="auto" w:fill="auto"/>
            <w:noWrap/>
            <w:vAlign w:val="bottom"/>
            <w:hideMark/>
          </w:tcPr>
          <w:p>
            <w:pPr>
              <w:pStyle w:val="style0"/>
              <w:spacing w:before="0" w:beforeAutospacing="false" w:after="0" w:afterAutospacing="false" w:lineRule="auto" w:line="240"/>
              <w:jc w:val="center"/>
              <w:rPr>
                <w:color w:val="000000"/>
                <w:sz w:val="16"/>
                <w:szCs w:val="16"/>
              </w:rPr>
            </w:pPr>
            <w:r>
              <w:rPr>
                <w:color w:val="000000"/>
                <w:sz w:val="16"/>
                <w:szCs w:val="16"/>
              </w:rPr>
              <w:t>Strongly Agree</w:t>
            </w:r>
          </w:p>
        </w:tc>
        <w:tc>
          <w:tcPr>
            <w:tcW w:w="708" w:type="dxa"/>
            <w:tcBorders>
              <w:top w:val="single" w:sz="8" w:space="0" w:color="auto"/>
              <w:bottom w:val="single" w:sz="8" w:space="0" w:color="auto"/>
            </w:tcBorders>
            <w:shd w:val="clear" w:color="auto" w:fill="auto"/>
            <w:noWrap/>
            <w:vAlign w:val="bottom"/>
            <w:hideMark/>
          </w:tcPr>
          <w:p>
            <w:pPr>
              <w:pStyle w:val="style0"/>
              <w:spacing w:before="0" w:beforeAutospacing="false" w:after="0" w:afterAutospacing="false" w:lineRule="auto" w:line="240"/>
              <w:jc w:val="center"/>
              <w:rPr>
                <w:color w:val="000000"/>
                <w:sz w:val="16"/>
                <w:szCs w:val="16"/>
              </w:rPr>
            </w:pPr>
            <w:r>
              <w:rPr>
                <w:color w:val="000000"/>
                <w:sz w:val="16"/>
                <w:szCs w:val="16"/>
              </w:rPr>
              <w:t>Agree</w:t>
            </w:r>
          </w:p>
        </w:tc>
        <w:tc>
          <w:tcPr>
            <w:tcW w:w="709" w:type="dxa"/>
            <w:tcBorders>
              <w:top w:val="single" w:sz="8" w:space="0" w:color="auto"/>
              <w:bottom w:val="single" w:sz="8" w:space="0" w:color="auto"/>
            </w:tcBorders>
            <w:shd w:val="clear" w:color="auto" w:fill="auto"/>
            <w:noWrap/>
            <w:vAlign w:val="bottom"/>
            <w:hideMark/>
          </w:tcPr>
          <w:p>
            <w:pPr>
              <w:pStyle w:val="style0"/>
              <w:spacing w:before="0" w:beforeAutospacing="false" w:after="0" w:afterAutospacing="false" w:lineRule="auto" w:line="240"/>
              <w:jc w:val="center"/>
              <w:rPr>
                <w:color w:val="000000"/>
                <w:sz w:val="16"/>
                <w:szCs w:val="16"/>
              </w:rPr>
            </w:pPr>
            <w:r>
              <w:rPr>
                <w:color w:val="000000"/>
                <w:sz w:val="16"/>
                <w:szCs w:val="16"/>
              </w:rPr>
              <w:t>Neutral</w:t>
            </w:r>
          </w:p>
        </w:tc>
        <w:tc>
          <w:tcPr>
            <w:tcW w:w="841" w:type="dxa"/>
            <w:tcBorders>
              <w:top w:val="single" w:sz="8" w:space="0" w:color="auto"/>
              <w:bottom w:val="single" w:sz="8" w:space="0" w:color="auto"/>
            </w:tcBorders>
            <w:shd w:val="clear" w:color="auto" w:fill="auto"/>
            <w:noWrap/>
            <w:vAlign w:val="bottom"/>
            <w:hideMark/>
          </w:tcPr>
          <w:p>
            <w:pPr>
              <w:pStyle w:val="style0"/>
              <w:spacing w:before="0" w:beforeAutospacing="false" w:after="0" w:afterAutospacing="false" w:lineRule="auto" w:line="240"/>
              <w:jc w:val="center"/>
              <w:rPr>
                <w:color w:val="000000"/>
                <w:sz w:val="16"/>
                <w:szCs w:val="16"/>
              </w:rPr>
            </w:pPr>
            <w:r>
              <w:rPr>
                <w:color w:val="000000"/>
                <w:sz w:val="16"/>
                <w:szCs w:val="16"/>
              </w:rPr>
              <w:t>Disagree</w:t>
            </w:r>
          </w:p>
        </w:tc>
        <w:tc>
          <w:tcPr>
            <w:tcW w:w="850" w:type="dxa"/>
            <w:tcBorders>
              <w:top w:val="single" w:sz="8" w:space="0" w:color="auto"/>
              <w:bottom w:val="single" w:sz="8" w:space="0" w:color="auto"/>
            </w:tcBorders>
            <w:shd w:val="clear" w:color="auto" w:fill="auto"/>
            <w:noWrap/>
            <w:vAlign w:val="bottom"/>
            <w:hideMark/>
          </w:tcPr>
          <w:p>
            <w:pPr>
              <w:pStyle w:val="style0"/>
              <w:spacing w:before="0" w:beforeAutospacing="false" w:after="0" w:afterAutospacing="false" w:lineRule="auto" w:line="240"/>
              <w:jc w:val="center"/>
              <w:rPr>
                <w:color w:val="000000"/>
                <w:sz w:val="16"/>
                <w:szCs w:val="16"/>
              </w:rPr>
            </w:pPr>
            <w:r>
              <w:rPr>
                <w:color w:val="000000"/>
                <w:sz w:val="16"/>
                <w:szCs w:val="16"/>
              </w:rPr>
              <w:t>Strongly Disagree</w:t>
            </w:r>
          </w:p>
        </w:tc>
        <w:tc>
          <w:tcPr>
            <w:tcW w:w="719" w:type="dxa"/>
            <w:tcBorders>
              <w:top w:val="single" w:sz="8" w:space="0" w:color="auto"/>
              <w:bottom w:val="single" w:sz="8" w:space="0" w:color="auto"/>
            </w:tcBorders>
            <w:vAlign w:val="bottom"/>
          </w:tcPr>
          <w:p>
            <w:pPr>
              <w:pStyle w:val="style0"/>
              <w:spacing w:before="0" w:beforeAutospacing="false" w:after="0" w:afterAutospacing="false" w:lineRule="auto" w:line="240"/>
              <w:jc w:val="center"/>
              <w:rPr>
                <w:color w:val="000000"/>
                <w:sz w:val="18"/>
                <w:szCs w:val="18"/>
              </w:rPr>
            </w:pPr>
            <w:r>
              <w:rPr>
                <w:color w:val="000000"/>
                <w:sz w:val="18"/>
                <w:szCs w:val="18"/>
              </w:rPr>
              <w:t>Mean</w:t>
            </w:r>
          </w:p>
        </w:tc>
        <w:tc>
          <w:tcPr>
            <w:tcW w:w="565" w:type="dxa"/>
            <w:tcBorders>
              <w:top w:val="single" w:sz="8" w:space="0" w:color="auto"/>
              <w:bottom w:val="single" w:sz="8" w:space="0" w:color="auto"/>
            </w:tcBorders>
            <w:vAlign w:val="bottom"/>
          </w:tcPr>
          <w:p>
            <w:pPr>
              <w:pStyle w:val="style0"/>
              <w:spacing w:before="0" w:beforeAutospacing="false" w:after="0" w:afterAutospacing="false" w:lineRule="auto" w:line="240"/>
              <w:jc w:val="center"/>
              <w:rPr>
                <w:color w:val="000000"/>
                <w:sz w:val="18"/>
                <w:szCs w:val="18"/>
              </w:rPr>
            </w:pPr>
            <w:r>
              <w:rPr>
                <w:color w:val="000000"/>
                <w:sz w:val="18"/>
                <w:szCs w:val="18"/>
              </w:rPr>
              <w:t>SD</w:t>
            </w:r>
          </w:p>
        </w:tc>
      </w:tr>
      <w:tr>
        <w:tblPrEx/>
        <w:trPr>
          <w:trHeight w:val="297" w:hRule="atLeast"/>
        </w:trPr>
        <w:tc>
          <w:tcPr>
            <w:tcW w:w="2977" w:type="dxa"/>
            <w:tcBorders>
              <w:top w:val="single" w:sz="8" w:space="0" w:color="auto"/>
            </w:tcBorders>
            <w:shd w:val="clear" w:color="auto" w:fill="auto"/>
            <w:noWrap/>
            <w:vAlign w:val="bottom"/>
            <w:hideMark/>
          </w:tcPr>
          <w:p>
            <w:pPr>
              <w:pStyle w:val="style0"/>
              <w:spacing w:before="0" w:beforeAutospacing="false" w:after="0" w:afterAutospacing="false" w:lineRule="auto" w:line="240"/>
              <w:jc w:val="left"/>
              <w:rPr>
                <w:rFonts w:ascii="Calibri" w:cs="Calibri" w:hAnsi="Calibri"/>
                <w:color w:val="000000"/>
                <w:sz w:val="22"/>
                <w:szCs w:val="22"/>
              </w:rPr>
            </w:pPr>
            <w:r>
              <w:rPr>
                <w:rFonts w:ascii="Calibri" w:cs="Calibri" w:hAnsi="Calibri"/>
                <w:color w:val="000000"/>
                <w:sz w:val="22"/>
                <w:szCs w:val="22"/>
              </w:rPr>
              <w:t>Wood fuel</w:t>
            </w:r>
            <w:r>
              <w:rPr>
                <w:rFonts w:ascii="Calibri" w:cs="Calibri" w:hAnsi="Calibri"/>
                <w:color w:val="000000"/>
                <w:sz w:val="22"/>
                <w:szCs w:val="22"/>
              </w:rPr>
              <w:t xml:space="preserve"> energy use </w:t>
            </w:r>
          </w:p>
          <w:p>
            <w:pPr>
              <w:pStyle w:val="style0"/>
              <w:spacing w:before="0" w:beforeAutospacing="false" w:after="0" w:afterAutospacing="false" w:lineRule="auto" w:line="240"/>
              <w:jc w:val="left"/>
              <w:rPr>
                <w:rFonts w:ascii="Calibri" w:cs="Calibri" w:hAnsi="Calibri"/>
                <w:color w:val="000000"/>
                <w:sz w:val="22"/>
                <w:szCs w:val="22"/>
              </w:rPr>
            </w:pPr>
          </w:p>
          <w:p>
            <w:pPr>
              <w:pStyle w:val="style0"/>
              <w:spacing w:before="0" w:beforeAutospacing="false" w:after="0" w:afterAutospacing="false" w:lineRule="auto" w:line="240"/>
              <w:jc w:val="left"/>
              <w:rPr>
                <w:rFonts w:ascii="Calibri" w:cs="Calibri" w:hAnsi="Calibri"/>
                <w:color w:val="000000"/>
                <w:sz w:val="22"/>
                <w:szCs w:val="22"/>
              </w:rPr>
            </w:pPr>
            <w:r>
              <w:rPr>
                <w:rFonts w:ascii="Calibri" w:cs="Calibri" w:hAnsi="Calibri"/>
                <w:color w:val="000000"/>
                <w:sz w:val="22"/>
                <w:szCs w:val="22"/>
              </w:rPr>
              <w:t>Cause respiratory problems</w:t>
            </w:r>
          </w:p>
        </w:tc>
        <w:tc>
          <w:tcPr>
            <w:tcW w:w="851" w:type="dxa"/>
            <w:tcBorders>
              <w:top w:val="single" w:sz="8" w:space="0" w:color="auto"/>
            </w:tcBorders>
            <w:shd w:val="clear" w:color="auto" w:fill="auto"/>
            <w:noWrap/>
            <w:vAlign w:val="center"/>
            <w:hideMark/>
          </w:tcPr>
          <w:p>
            <w:pPr>
              <w:pStyle w:val="style0"/>
              <w:spacing w:before="0" w:beforeAutospacing="false" w:after="0" w:afterAutospacing="false" w:lineRule="auto" w:line="240"/>
              <w:jc w:val="center"/>
              <w:rPr>
                <w:color w:val="000000"/>
                <w:sz w:val="18"/>
                <w:szCs w:val="18"/>
              </w:rPr>
            </w:pPr>
            <w:r>
              <w:rPr>
                <w:color w:val="000000"/>
                <w:sz w:val="18"/>
                <w:szCs w:val="18"/>
              </w:rPr>
              <w:t>18</w:t>
            </w:r>
          </w:p>
        </w:tc>
        <w:tc>
          <w:tcPr>
            <w:tcW w:w="708" w:type="dxa"/>
            <w:tcBorders>
              <w:top w:val="single" w:sz="8" w:space="0" w:color="auto"/>
            </w:tcBorders>
            <w:shd w:val="clear" w:color="auto" w:fill="auto"/>
            <w:noWrap/>
            <w:vAlign w:val="center"/>
            <w:hideMark/>
          </w:tcPr>
          <w:p>
            <w:pPr>
              <w:pStyle w:val="style0"/>
              <w:spacing w:before="0" w:beforeAutospacing="false" w:after="0" w:afterAutospacing="false" w:lineRule="auto" w:line="240"/>
              <w:jc w:val="center"/>
              <w:rPr>
                <w:color w:val="000000"/>
                <w:sz w:val="18"/>
                <w:szCs w:val="18"/>
              </w:rPr>
            </w:pPr>
            <w:r>
              <w:rPr>
                <w:color w:val="000000"/>
                <w:sz w:val="18"/>
                <w:szCs w:val="18"/>
              </w:rPr>
              <w:t>33</w:t>
            </w:r>
          </w:p>
        </w:tc>
        <w:tc>
          <w:tcPr>
            <w:tcW w:w="709" w:type="dxa"/>
            <w:tcBorders>
              <w:top w:val="single" w:sz="8" w:space="0" w:color="auto"/>
            </w:tcBorders>
            <w:shd w:val="clear" w:color="auto" w:fill="auto"/>
            <w:noWrap/>
            <w:vAlign w:val="center"/>
            <w:hideMark/>
          </w:tcPr>
          <w:p>
            <w:pPr>
              <w:pStyle w:val="style0"/>
              <w:spacing w:before="0" w:beforeAutospacing="false" w:after="0" w:afterAutospacing="false" w:lineRule="auto" w:line="240"/>
              <w:jc w:val="center"/>
              <w:rPr>
                <w:color w:val="000000"/>
                <w:sz w:val="18"/>
                <w:szCs w:val="18"/>
              </w:rPr>
            </w:pPr>
            <w:r>
              <w:rPr>
                <w:color w:val="000000"/>
                <w:sz w:val="18"/>
                <w:szCs w:val="18"/>
              </w:rPr>
              <w:t>20</w:t>
            </w:r>
          </w:p>
        </w:tc>
        <w:tc>
          <w:tcPr>
            <w:tcW w:w="841" w:type="dxa"/>
            <w:tcBorders>
              <w:top w:val="single" w:sz="8" w:space="0" w:color="auto"/>
            </w:tcBorders>
            <w:shd w:val="clear" w:color="auto" w:fill="auto"/>
            <w:noWrap/>
            <w:vAlign w:val="center"/>
            <w:hideMark/>
          </w:tcPr>
          <w:p>
            <w:pPr>
              <w:pStyle w:val="style0"/>
              <w:spacing w:before="0" w:beforeAutospacing="false" w:after="0" w:afterAutospacing="false" w:lineRule="auto" w:line="240"/>
              <w:jc w:val="center"/>
              <w:rPr>
                <w:color w:val="000000"/>
                <w:sz w:val="18"/>
                <w:szCs w:val="18"/>
              </w:rPr>
            </w:pPr>
            <w:r>
              <w:rPr>
                <w:color w:val="000000"/>
                <w:sz w:val="18"/>
                <w:szCs w:val="18"/>
              </w:rPr>
              <w:t>21</w:t>
            </w:r>
          </w:p>
        </w:tc>
        <w:tc>
          <w:tcPr>
            <w:tcW w:w="850" w:type="dxa"/>
            <w:tcBorders>
              <w:top w:val="single" w:sz="8" w:space="0" w:color="auto"/>
            </w:tcBorders>
            <w:shd w:val="clear" w:color="auto" w:fill="auto"/>
            <w:noWrap/>
            <w:vAlign w:val="center"/>
            <w:hideMark/>
          </w:tcPr>
          <w:p>
            <w:pPr>
              <w:pStyle w:val="style0"/>
              <w:spacing w:before="0" w:beforeAutospacing="false" w:after="0" w:afterAutospacing="false" w:lineRule="auto" w:line="240"/>
              <w:jc w:val="center"/>
              <w:rPr>
                <w:color w:val="000000"/>
                <w:sz w:val="18"/>
                <w:szCs w:val="18"/>
              </w:rPr>
            </w:pPr>
            <w:r>
              <w:rPr>
                <w:color w:val="000000"/>
                <w:sz w:val="18"/>
                <w:szCs w:val="18"/>
              </w:rPr>
              <w:t>7</w:t>
            </w:r>
          </w:p>
        </w:tc>
        <w:tc>
          <w:tcPr>
            <w:tcW w:w="719" w:type="dxa"/>
            <w:tcBorders>
              <w:top w:val="single" w:sz="8" w:space="0" w:color="auto"/>
            </w:tcBorders>
            <w:vAlign w:val="center"/>
          </w:tcPr>
          <w:p>
            <w:pPr>
              <w:pStyle w:val="style0"/>
              <w:spacing w:before="0" w:beforeAutospacing="false" w:after="0" w:afterAutospacing="false" w:lineRule="auto" w:line="240"/>
              <w:jc w:val="center"/>
              <w:rPr>
                <w:color w:val="000000"/>
                <w:sz w:val="18"/>
                <w:szCs w:val="18"/>
              </w:rPr>
            </w:pPr>
            <w:r>
              <w:rPr>
                <w:sz w:val="18"/>
                <w:szCs w:val="18"/>
              </w:rPr>
              <w:t>3.34</w:t>
            </w:r>
          </w:p>
        </w:tc>
        <w:tc>
          <w:tcPr>
            <w:tcW w:w="565" w:type="dxa"/>
            <w:tcBorders>
              <w:top w:val="single" w:sz="8" w:space="0" w:color="auto"/>
            </w:tcBorders>
            <w:vAlign w:val="center"/>
          </w:tcPr>
          <w:p>
            <w:pPr>
              <w:pStyle w:val="style0"/>
              <w:spacing w:before="0" w:beforeAutospacing="false" w:after="0" w:afterAutospacing="false" w:lineRule="auto" w:line="240"/>
              <w:jc w:val="center"/>
              <w:rPr>
                <w:color w:val="000000"/>
                <w:sz w:val="18"/>
                <w:szCs w:val="18"/>
              </w:rPr>
            </w:pPr>
            <w:r>
              <w:rPr>
                <w:sz w:val="18"/>
                <w:szCs w:val="18"/>
              </w:rPr>
              <w:t>1.20</w:t>
            </w:r>
          </w:p>
        </w:tc>
      </w:tr>
      <w:tr>
        <w:tblPrEx/>
        <w:trPr>
          <w:trHeight w:val="297" w:hRule="atLeast"/>
        </w:trPr>
        <w:tc>
          <w:tcPr>
            <w:tcW w:w="2977" w:type="dxa"/>
            <w:tcBorders/>
            <w:shd w:val="clear" w:color="auto" w:fill="auto"/>
            <w:noWrap/>
            <w:vAlign w:val="bottom"/>
          </w:tcPr>
          <w:p>
            <w:pPr>
              <w:pStyle w:val="style0"/>
              <w:spacing w:before="0" w:beforeAutospacing="false" w:after="0" w:afterAutospacing="false" w:lineRule="auto" w:line="240"/>
              <w:jc w:val="left"/>
              <w:rPr>
                <w:rFonts w:ascii="Calibri" w:cs="Calibri" w:hAnsi="Calibri"/>
                <w:color w:val="000000"/>
                <w:sz w:val="22"/>
                <w:szCs w:val="22"/>
              </w:rPr>
            </w:pPr>
            <w:r>
              <w:rPr>
                <w:rFonts w:ascii="Calibri" w:cs="Calibri" w:hAnsi="Calibri"/>
                <w:color w:val="000000"/>
                <w:sz w:val="22"/>
                <w:szCs w:val="22"/>
              </w:rPr>
              <w:t xml:space="preserve">Wood fuel usage </w:t>
            </w:r>
            <w:r>
              <w:rPr>
                <w:rFonts w:ascii="Calibri" w:cs="Calibri" w:hAnsi="Calibri"/>
                <w:color w:val="000000"/>
                <w:sz w:val="22"/>
                <w:szCs w:val="22"/>
              </w:rPr>
              <w:t>causes</w:t>
            </w:r>
            <w:r>
              <w:rPr>
                <w:rFonts w:ascii="Calibri" w:cs="Calibri" w:hAnsi="Calibri"/>
                <w:color w:val="000000"/>
                <w:sz w:val="22"/>
                <w:szCs w:val="22"/>
              </w:rPr>
              <w:t xml:space="preserve"> red </w:t>
            </w:r>
            <w:r>
              <w:rPr>
                <w:rFonts w:ascii="Calibri" w:cs="Calibri" w:hAnsi="Calibri"/>
                <w:color w:val="000000"/>
                <w:sz w:val="22"/>
                <w:szCs w:val="22"/>
              </w:rPr>
              <w:t>eye</w:t>
            </w:r>
            <w:r>
              <w:rPr>
                <w:rFonts w:ascii="Calibri" w:cs="Calibri" w:hAnsi="Calibri"/>
                <w:color w:val="000000"/>
                <w:sz w:val="22"/>
                <w:szCs w:val="22"/>
              </w:rPr>
              <w:t xml:space="preserve"> problem</w:t>
            </w:r>
          </w:p>
        </w:tc>
        <w:tc>
          <w:tcPr>
            <w:tcW w:w="851" w:type="dxa"/>
            <w:tcBorders/>
            <w:shd w:val="clear" w:color="auto" w:fill="auto"/>
            <w:noWrap/>
            <w:vAlign w:val="center"/>
          </w:tcPr>
          <w:p>
            <w:pPr>
              <w:pStyle w:val="style0"/>
              <w:spacing w:before="0" w:beforeAutospacing="false" w:after="0" w:afterAutospacing="false" w:lineRule="auto" w:line="240"/>
              <w:jc w:val="center"/>
              <w:rPr>
                <w:color w:val="000000"/>
                <w:sz w:val="18"/>
                <w:szCs w:val="18"/>
              </w:rPr>
            </w:pPr>
            <w:r>
              <w:rPr>
                <w:color w:val="000000"/>
                <w:sz w:val="18"/>
                <w:szCs w:val="18"/>
              </w:rPr>
              <w:t>27</w:t>
            </w:r>
          </w:p>
        </w:tc>
        <w:tc>
          <w:tcPr>
            <w:tcW w:w="708" w:type="dxa"/>
            <w:tcBorders/>
            <w:shd w:val="clear" w:color="auto" w:fill="auto"/>
            <w:noWrap/>
            <w:vAlign w:val="center"/>
          </w:tcPr>
          <w:p>
            <w:pPr>
              <w:pStyle w:val="style0"/>
              <w:spacing w:before="0" w:beforeAutospacing="false" w:after="0" w:afterAutospacing="false" w:lineRule="auto" w:line="240"/>
              <w:jc w:val="center"/>
              <w:rPr>
                <w:color w:val="000000"/>
                <w:sz w:val="18"/>
                <w:szCs w:val="18"/>
              </w:rPr>
            </w:pPr>
            <w:r>
              <w:rPr>
                <w:color w:val="000000"/>
                <w:sz w:val="18"/>
                <w:szCs w:val="18"/>
              </w:rPr>
              <w:t>38</w:t>
            </w:r>
          </w:p>
        </w:tc>
        <w:tc>
          <w:tcPr>
            <w:tcW w:w="709" w:type="dxa"/>
            <w:tcBorders/>
            <w:shd w:val="clear" w:color="auto" w:fill="auto"/>
            <w:noWrap/>
            <w:vAlign w:val="center"/>
          </w:tcPr>
          <w:p>
            <w:pPr>
              <w:pStyle w:val="style0"/>
              <w:spacing w:before="0" w:beforeAutospacing="false" w:after="0" w:afterAutospacing="false" w:lineRule="auto" w:line="240"/>
              <w:jc w:val="center"/>
              <w:rPr>
                <w:color w:val="000000"/>
                <w:sz w:val="18"/>
                <w:szCs w:val="18"/>
              </w:rPr>
            </w:pPr>
            <w:r>
              <w:rPr>
                <w:color w:val="000000"/>
                <w:sz w:val="18"/>
                <w:szCs w:val="18"/>
              </w:rPr>
              <w:t>23</w:t>
            </w:r>
          </w:p>
        </w:tc>
        <w:tc>
          <w:tcPr>
            <w:tcW w:w="841" w:type="dxa"/>
            <w:tcBorders/>
            <w:shd w:val="clear" w:color="auto" w:fill="auto"/>
            <w:noWrap/>
            <w:vAlign w:val="center"/>
          </w:tcPr>
          <w:p>
            <w:pPr>
              <w:pStyle w:val="style0"/>
              <w:spacing w:before="0" w:beforeAutospacing="false" w:after="0" w:afterAutospacing="false" w:lineRule="auto" w:line="240"/>
              <w:jc w:val="center"/>
              <w:rPr>
                <w:color w:val="000000"/>
                <w:sz w:val="18"/>
                <w:szCs w:val="18"/>
              </w:rPr>
            </w:pPr>
            <w:r>
              <w:rPr>
                <w:color w:val="000000"/>
                <w:sz w:val="18"/>
                <w:szCs w:val="18"/>
              </w:rPr>
              <w:t>7</w:t>
            </w:r>
          </w:p>
        </w:tc>
        <w:tc>
          <w:tcPr>
            <w:tcW w:w="850" w:type="dxa"/>
            <w:tcBorders/>
            <w:shd w:val="clear" w:color="auto" w:fill="auto"/>
            <w:noWrap/>
            <w:vAlign w:val="center"/>
          </w:tcPr>
          <w:p>
            <w:pPr>
              <w:pStyle w:val="style0"/>
              <w:spacing w:before="0" w:beforeAutospacing="false" w:after="0" w:afterAutospacing="false" w:lineRule="auto" w:line="240"/>
              <w:jc w:val="center"/>
              <w:rPr>
                <w:color w:val="000000"/>
                <w:sz w:val="18"/>
                <w:szCs w:val="18"/>
              </w:rPr>
            </w:pPr>
            <w:r>
              <w:rPr>
                <w:color w:val="000000"/>
                <w:sz w:val="18"/>
                <w:szCs w:val="18"/>
              </w:rPr>
              <w:t>4</w:t>
            </w:r>
          </w:p>
        </w:tc>
        <w:tc>
          <w:tcPr>
            <w:tcW w:w="719" w:type="dxa"/>
            <w:tcBorders/>
            <w:vAlign w:val="center"/>
          </w:tcPr>
          <w:p>
            <w:pPr>
              <w:pStyle w:val="style0"/>
              <w:spacing w:before="0" w:beforeAutospacing="false" w:after="0" w:afterAutospacing="false" w:lineRule="auto" w:line="240"/>
              <w:jc w:val="center"/>
              <w:rPr>
                <w:sz w:val="18"/>
                <w:szCs w:val="18"/>
              </w:rPr>
            </w:pPr>
            <w:r>
              <w:rPr>
                <w:sz w:val="18"/>
                <w:szCs w:val="18"/>
              </w:rPr>
              <w:t>3.35</w:t>
            </w:r>
          </w:p>
        </w:tc>
        <w:tc>
          <w:tcPr>
            <w:tcW w:w="565" w:type="dxa"/>
            <w:tcBorders/>
            <w:vAlign w:val="center"/>
          </w:tcPr>
          <w:p>
            <w:pPr>
              <w:pStyle w:val="style0"/>
              <w:spacing w:before="0" w:beforeAutospacing="false" w:after="0" w:afterAutospacing="false" w:lineRule="auto" w:line="240"/>
              <w:jc w:val="center"/>
              <w:rPr>
                <w:sz w:val="18"/>
                <w:szCs w:val="18"/>
              </w:rPr>
            </w:pPr>
            <w:r>
              <w:rPr>
                <w:sz w:val="18"/>
                <w:szCs w:val="18"/>
              </w:rPr>
              <w:t>1.27</w:t>
            </w:r>
          </w:p>
        </w:tc>
      </w:tr>
      <w:tr>
        <w:tblPrEx/>
        <w:trPr>
          <w:trHeight w:val="297" w:hRule="atLeast"/>
        </w:trPr>
        <w:tc>
          <w:tcPr>
            <w:tcW w:w="2977" w:type="dxa"/>
            <w:tcBorders>
              <w:bottom w:val="single" w:sz="8" w:space="0" w:color="auto"/>
            </w:tcBorders>
            <w:shd w:val="clear" w:color="auto" w:fill="auto"/>
            <w:noWrap/>
            <w:vAlign w:val="bottom"/>
            <w:hideMark/>
          </w:tcPr>
          <w:p>
            <w:pPr>
              <w:pStyle w:val="style0"/>
              <w:spacing w:before="0" w:beforeAutospacing="false" w:after="0" w:afterAutospacing="false" w:lineRule="auto" w:line="240"/>
              <w:jc w:val="left"/>
              <w:rPr>
                <w:rFonts w:ascii="Calibri" w:cs="Calibri" w:hAnsi="Calibri"/>
                <w:color w:val="000000"/>
                <w:sz w:val="22"/>
                <w:szCs w:val="22"/>
              </w:rPr>
            </w:pPr>
          </w:p>
          <w:p>
            <w:pPr>
              <w:pStyle w:val="style0"/>
              <w:spacing w:before="0" w:beforeAutospacing="false" w:after="0" w:afterAutospacing="false" w:lineRule="auto" w:line="240"/>
              <w:jc w:val="left"/>
              <w:rPr>
                <w:rFonts w:ascii="Calibri" w:cs="Calibri" w:hAnsi="Calibri"/>
                <w:color w:val="000000"/>
                <w:sz w:val="22"/>
                <w:szCs w:val="22"/>
              </w:rPr>
            </w:pPr>
            <w:r>
              <w:rPr>
                <w:rFonts w:ascii="Calibri" w:cs="Calibri" w:hAnsi="Calibri"/>
                <w:color w:val="000000"/>
                <w:sz w:val="22"/>
                <w:szCs w:val="22"/>
              </w:rPr>
              <w:t>Wood fuel</w:t>
            </w:r>
            <w:r>
              <w:rPr>
                <w:rFonts w:ascii="Calibri" w:cs="Calibri" w:hAnsi="Calibri"/>
                <w:color w:val="000000"/>
                <w:sz w:val="22"/>
                <w:szCs w:val="22"/>
              </w:rPr>
              <w:t xml:space="preserve"> energy use causes lung cancer</w:t>
            </w:r>
          </w:p>
        </w:tc>
        <w:tc>
          <w:tcPr>
            <w:tcW w:w="851" w:type="dxa"/>
            <w:tcBorders>
              <w:bottom w:val="single" w:sz="8" w:space="0" w:color="auto"/>
            </w:tcBorders>
            <w:shd w:val="clear" w:color="auto" w:fill="auto"/>
            <w:noWrap/>
            <w:vAlign w:val="center"/>
            <w:hideMark/>
          </w:tcPr>
          <w:p>
            <w:pPr>
              <w:pStyle w:val="style0"/>
              <w:spacing w:before="0" w:beforeAutospacing="false" w:after="0" w:afterAutospacing="false" w:lineRule="auto" w:line="240"/>
              <w:jc w:val="center"/>
              <w:rPr>
                <w:color w:val="000000"/>
                <w:sz w:val="18"/>
                <w:szCs w:val="18"/>
              </w:rPr>
            </w:pPr>
            <w:r>
              <w:rPr>
                <w:color w:val="000000"/>
                <w:sz w:val="18"/>
                <w:szCs w:val="18"/>
              </w:rPr>
              <w:t>15</w:t>
            </w:r>
          </w:p>
        </w:tc>
        <w:tc>
          <w:tcPr>
            <w:tcW w:w="708" w:type="dxa"/>
            <w:tcBorders>
              <w:bottom w:val="single" w:sz="8" w:space="0" w:color="auto"/>
            </w:tcBorders>
            <w:shd w:val="clear" w:color="auto" w:fill="auto"/>
            <w:noWrap/>
            <w:vAlign w:val="center"/>
            <w:hideMark/>
          </w:tcPr>
          <w:p>
            <w:pPr>
              <w:pStyle w:val="style0"/>
              <w:spacing w:before="0" w:beforeAutospacing="false" w:after="0" w:afterAutospacing="false" w:lineRule="auto" w:line="240"/>
              <w:jc w:val="center"/>
              <w:rPr>
                <w:color w:val="000000"/>
                <w:sz w:val="18"/>
                <w:szCs w:val="18"/>
              </w:rPr>
            </w:pPr>
            <w:r>
              <w:rPr>
                <w:color w:val="000000"/>
                <w:sz w:val="18"/>
                <w:szCs w:val="18"/>
              </w:rPr>
              <w:t>36</w:t>
            </w:r>
          </w:p>
        </w:tc>
        <w:tc>
          <w:tcPr>
            <w:tcW w:w="709" w:type="dxa"/>
            <w:tcBorders>
              <w:bottom w:val="single" w:sz="8" w:space="0" w:color="auto"/>
            </w:tcBorders>
            <w:shd w:val="clear" w:color="auto" w:fill="auto"/>
            <w:noWrap/>
            <w:vAlign w:val="center"/>
            <w:hideMark/>
          </w:tcPr>
          <w:p>
            <w:pPr>
              <w:pStyle w:val="style0"/>
              <w:spacing w:before="0" w:beforeAutospacing="false" w:after="0" w:afterAutospacing="false" w:lineRule="auto" w:line="240"/>
              <w:jc w:val="center"/>
              <w:rPr>
                <w:color w:val="000000"/>
                <w:sz w:val="18"/>
                <w:szCs w:val="18"/>
              </w:rPr>
            </w:pPr>
            <w:r>
              <w:rPr>
                <w:color w:val="000000"/>
                <w:sz w:val="18"/>
                <w:szCs w:val="18"/>
              </w:rPr>
              <w:t>12</w:t>
            </w:r>
          </w:p>
        </w:tc>
        <w:tc>
          <w:tcPr>
            <w:tcW w:w="841" w:type="dxa"/>
            <w:tcBorders>
              <w:bottom w:val="single" w:sz="8" w:space="0" w:color="auto"/>
            </w:tcBorders>
            <w:shd w:val="clear" w:color="auto" w:fill="auto"/>
            <w:noWrap/>
            <w:vAlign w:val="center"/>
            <w:hideMark/>
          </w:tcPr>
          <w:p>
            <w:pPr>
              <w:pStyle w:val="style0"/>
              <w:spacing w:before="0" w:beforeAutospacing="false" w:after="0" w:afterAutospacing="false" w:lineRule="auto" w:line="240"/>
              <w:jc w:val="center"/>
              <w:rPr>
                <w:color w:val="000000"/>
                <w:sz w:val="18"/>
                <w:szCs w:val="18"/>
              </w:rPr>
            </w:pPr>
            <w:r>
              <w:rPr>
                <w:color w:val="000000"/>
                <w:sz w:val="18"/>
                <w:szCs w:val="18"/>
              </w:rPr>
              <w:t>26</w:t>
            </w:r>
          </w:p>
        </w:tc>
        <w:tc>
          <w:tcPr>
            <w:tcW w:w="850" w:type="dxa"/>
            <w:tcBorders>
              <w:bottom w:val="single" w:sz="8" w:space="0" w:color="auto"/>
            </w:tcBorders>
            <w:shd w:val="clear" w:color="auto" w:fill="auto"/>
            <w:noWrap/>
            <w:vAlign w:val="center"/>
            <w:hideMark/>
          </w:tcPr>
          <w:p>
            <w:pPr>
              <w:pStyle w:val="style0"/>
              <w:spacing w:before="0" w:beforeAutospacing="false" w:after="0" w:afterAutospacing="false" w:lineRule="auto" w:line="240"/>
              <w:jc w:val="center"/>
              <w:rPr>
                <w:color w:val="000000"/>
                <w:sz w:val="18"/>
                <w:szCs w:val="18"/>
              </w:rPr>
            </w:pPr>
            <w:r>
              <w:rPr>
                <w:color w:val="000000"/>
                <w:sz w:val="18"/>
                <w:szCs w:val="18"/>
              </w:rPr>
              <w:t>10</w:t>
            </w:r>
          </w:p>
        </w:tc>
        <w:tc>
          <w:tcPr>
            <w:tcW w:w="719" w:type="dxa"/>
            <w:tcBorders>
              <w:bottom w:val="single" w:sz="8" w:space="0" w:color="auto"/>
            </w:tcBorders>
            <w:vAlign w:val="center"/>
          </w:tcPr>
          <w:p>
            <w:pPr>
              <w:pStyle w:val="style0"/>
              <w:spacing w:before="0" w:beforeAutospacing="false" w:after="0" w:afterAutospacing="false" w:lineRule="auto" w:line="240"/>
              <w:jc w:val="center"/>
              <w:rPr>
                <w:color w:val="000000"/>
                <w:sz w:val="18"/>
                <w:szCs w:val="18"/>
              </w:rPr>
            </w:pPr>
            <w:r>
              <w:rPr>
                <w:sz w:val="18"/>
                <w:szCs w:val="18"/>
              </w:rPr>
              <w:t>3.20</w:t>
            </w:r>
          </w:p>
        </w:tc>
        <w:tc>
          <w:tcPr>
            <w:tcW w:w="565" w:type="dxa"/>
            <w:tcBorders>
              <w:bottom w:val="single" w:sz="8" w:space="0" w:color="auto"/>
            </w:tcBorders>
            <w:vAlign w:val="center"/>
          </w:tcPr>
          <w:p>
            <w:pPr>
              <w:pStyle w:val="style0"/>
              <w:spacing w:before="0" w:beforeAutospacing="false" w:after="0" w:afterAutospacing="false" w:lineRule="auto" w:line="240"/>
              <w:jc w:val="center"/>
              <w:rPr>
                <w:color w:val="000000"/>
                <w:sz w:val="18"/>
                <w:szCs w:val="18"/>
              </w:rPr>
            </w:pPr>
            <w:r>
              <w:rPr>
                <w:sz w:val="18"/>
                <w:szCs w:val="18"/>
              </w:rPr>
              <w:t>1.26</w:t>
            </w:r>
          </w:p>
        </w:tc>
      </w:tr>
      <w:bookmarkStart w:id="122" w:name="_Toc178076740"/>
    </w:tbl>
    <w:p>
      <w:pPr>
        <w:pStyle w:val="style2"/>
        <w:tabs>
          <w:tab w:val="left" w:leader="none" w:pos="540"/>
          <w:tab w:val="left" w:leader="none" w:pos="3240"/>
        </w:tabs>
        <w:spacing w:before="240" w:beforeAutospacing="false" w:lineRule="auto" w:line="480"/>
        <w:rPr>
          <w:rFonts w:ascii="Times New Roman" w:cs="Times New Roman" w:hAnsi="Times New Roman"/>
          <w:b/>
          <w:color w:val="000000"/>
          <w:sz w:val="24"/>
          <w:szCs w:val="24"/>
        </w:rPr>
      </w:pPr>
      <w:r>
        <w:rPr>
          <w:rFonts w:ascii="Times New Roman" w:cs="Times New Roman" w:hAnsi="Times New Roman"/>
          <w:b/>
          <w:color w:val="000000"/>
          <w:sz w:val="24"/>
          <w:szCs w:val="24"/>
        </w:rPr>
        <w:t>4.3.2 Social impacts</w:t>
      </w:r>
      <w:bookmarkEnd w:id="122"/>
    </w:p>
    <w:p>
      <w:pPr>
        <w:pStyle w:val="style0"/>
        <w:spacing w:lineRule="auto" w:line="480"/>
        <w:rPr/>
      </w:pPr>
      <w:r>
        <w:t>The findings in Table 7, which explore the social impacts of wood fuel consumption, reveal significant concerns regarding family conflicts, gender roles, and the effects on girls' education. The analysis shows that 51% of respondents (15% strongly agree, 36% agree) believe that wood fuel use leads to family conflicts, with a mean score of 3.20 and a standard deviation (SD) of 1.25</w:t>
      </w:r>
      <w:r>
        <w:t xml:space="preserve"> (Table 7)</w:t>
      </w:r>
      <w:r>
        <w:t>. These conflicts may stem from disputes over the unequal distribution of labor and the stress that sourcing wood fuel places on households, particularly when resources are scarce. A significant minority, 36% (26% disagree, 10% strongly disagree), however, do not see wood fuel as a major source of conflict, possibly indicating that in certain areas, access to wood fuel is managed more efficiently or shared responsibilities ease tensions.</w:t>
      </w:r>
    </w:p>
    <w:p>
      <w:pPr>
        <w:pStyle w:val="style0"/>
        <w:spacing w:lineRule="auto" w:line="480"/>
        <w:rPr/>
      </w:pPr>
      <w:r>
        <w:t xml:space="preserve">Gender roles are a critical aspect of the social dynamics surrounding wood fuel use. A majority of respondents (51%) (18% strongly agree, 33% agree) recognize that the task </w:t>
      </w:r>
      <w:r>
        <w:t>of obtaining wood fuel disproportionately falls on girls and women, reinforcing traditional gender roles. The mean score of 3.34 with an SD of 1.12 highlights moderate agreement that wood fuel collection, often involving long distances, is primarily undertaken by girls</w:t>
      </w:r>
      <w:r>
        <w:t xml:space="preserve"> (Table 7)</w:t>
      </w:r>
      <w:r>
        <w:t>. This gendered division of labor not only burdens women and girls but also perpetuates inequalities, as boys and men are less frequently involved in these physically demanding tasks. This finding underscores the need to address the unequal burden placed on women and girls in rural areas, where firewood collection is a daily necessity.</w:t>
      </w:r>
    </w:p>
    <w:p>
      <w:pPr>
        <w:pStyle w:val="style0"/>
        <w:spacing w:lineRule="auto" w:line="480"/>
        <w:rPr/>
      </w:pPr>
      <w:r>
        <w:t>The impact of wood fuel collection on girls' education is another significant social consequence. Due to the time-consuming nature of fuelwood collection, girls who are primarily responsible for this task often miss school or experience disruptions in their education. The mean score of 3.20 for the effect on education reflects the agreement of 51% of respondents (15% strongly agree, 36% agree) that wood fuel collection negatively affects girls’ educational opportunities</w:t>
      </w:r>
      <w:r>
        <w:t xml:space="preserve"> (Table 7)</w:t>
      </w:r>
      <w:r>
        <w:t xml:space="preserve">. This is corroborated by anecdotal evidence, where respondents noted that the long distances traveled to obtain fuelwood </w:t>
      </w:r>
      <w:r>
        <w:t>led</w:t>
      </w:r>
      <w:r>
        <w:t xml:space="preserve"> to exhaustion and limited time for schoolwork, ultimately hindering academic performance. Meanwhile, 36% of respondents (26% disagree, 10% strongly disagree) did not see wood fuel collection as a major barrier to education, which may reflect localized variations in the availability of fuelwood or differing social practices.</w:t>
      </w:r>
    </w:p>
    <w:p>
      <w:pPr>
        <w:pStyle w:val="style0"/>
        <w:spacing w:lineRule="auto" w:line="480"/>
        <w:rPr/>
      </w:pPr>
    </w:p>
    <w:bookmarkStart w:id="123" w:name="_Toc177668542"/>
    <w:p>
      <w:pPr>
        <w:pStyle w:val="style34"/>
        <w:keepNext/>
        <w:spacing w:after="0" w:afterAutospacing="false"/>
        <w:rPr>
          <w:b/>
          <w:bCs/>
          <w:i w:val="false"/>
          <w:iCs w:val="false"/>
          <w:color w:val="000000"/>
          <w:sz w:val="24"/>
          <w:szCs w:val="24"/>
        </w:rPr>
      </w:pPr>
      <w:r>
        <w:rPr>
          <w:b/>
          <w:bCs/>
          <w:i w:val="false"/>
          <w:iCs w:val="false"/>
          <w:color w:val="000000"/>
          <w:sz w:val="24"/>
          <w:szCs w:val="24"/>
        </w:rPr>
        <w:t xml:space="preserve">Table </w:t>
      </w:r>
      <w:r>
        <w:rPr>
          <w:b/>
          <w:bCs/>
          <w:i w:val="false"/>
          <w:iCs w:val="false"/>
          <w:color w:val="000000"/>
          <w:sz w:val="24"/>
          <w:szCs w:val="24"/>
        </w:rPr>
        <w:fldChar w:fldCharType="begin"/>
      </w:r>
      <w:r>
        <w:rPr>
          <w:b/>
          <w:bCs/>
          <w:i w:val="false"/>
          <w:iCs w:val="false"/>
          <w:color w:val="000000"/>
          <w:sz w:val="24"/>
          <w:szCs w:val="24"/>
        </w:rPr>
        <w:instrText xml:space="preserve"> SEQ Table \* ARABIC </w:instrText>
      </w:r>
      <w:r>
        <w:rPr>
          <w:b/>
          <w:bCs/>
          <w:i w:val="false"/>
          <w:iCs w:val="false"/>
          <w:color w:val="000000"/>
          <w:sz w:val="24"/>
          <w:szCs w:val="24"/>
        </w:rPr>
        <w:fldChar w:fldCharType="separate"/>
      </w:r>
      <w:r>
        <w:rPr>
          <w:b/>
          <w:bCs/>
          <w:i w:val="false"/>
          <w:iCs w:val="false"/>
          <w:noProof/>
          <w:color w:val="000000"/>
          <w:sz w:val="24"/>
          <w:szCs w:val="24"/>
        </w:rPr>
        <w:t>7</w:t>
      </w:r>
      <w:r>
        <w:rPr>
          <w:b/>
          <w:bCs/>
          <w:i w:val="false"/>
          <w:iCs w:val="false"/>
          <w:noProof/>
          <w:color w:val="000000"/>
          <w:sz w:val="24"/>
          <w:szCs w:val="24"/>
        </w:rPr>
        <w:fldChar w:fldCharType="end"/>
      </w:r>
      <w:r>
        <w:rPr>
          <w:b/>
          <w:bCs/>
          <w:i w:val="false"/>
          <w:iCs w:val="false"/>
          <w:color w:val="000000"/>
          <w:sz w:val="24"/>
          <w:szCs w:val="24"/>
        </w:rPr>
        <w:t xml:space="preserve">: Social Dynamics of </w:t>
      </w:r>
      <w:r>
        <w:rPr>
          <w:b/>
          <w:bCs/>
          <w:i w:val="false"/>
          <w:iCs w:val="false"/>
          <w:color w:val="000000"/>
          <w:sz w:val="24"/>
          <w:szCs w:val="24"/>
        </w:rPr>
        <w:t>Wood fuel</w:t>
      </w:r>
      <w:r>
        <w:rPr>
          <w:b/>
          <w:bCs/>
          <w:i w:val="false"/>
          <w:iCs w:val="false"/>
          <w:color w:val="000000"/>
          <w:sz w:val="24"/>
          <w:szCs w:val="24"/>
        </w:rPr>
        <w:t xml:space="preserve"> Consumption</w:t>
      </w:r>
      <w:bookmarkEnd w:id="123"/>
    </w:p>
    <w:tbl>
      <w:tblPr>
        <w:tblW w:w="8809" w:type="dxa"/>
        <w:jc w:val="center"/>
        <w:tblLook w:val="04A0" w:firstRow="1" w:lastRow="0" w:firstColumn="1" w:lastColumn="0" w:noHBand="0" w:noVBand="1"/>
      </w:tblPr>
      <w:tblGrid>
        <w:gridCol w:w="2283"/>
        <w:gridCol w:w="1204"/>
        <w:gridCol w:w="781"/>
        <w:gridCol w:w="933"/>
        <w:gridCol w:w="1043"/>
        <w:gridCol w:w="1043"/>
        <w:gridCol w:w="843"/>
        <w:gridCol w:w="813"/>
      </w:tblGrid>
      <w:tr>
        <w:trPr>
          <w:trHeight w:val="245" w:hRule="atLeast"/>
          <w:jc w:val="center"/>
        </w:trPr>
        <w:tc>
          <w:tcPr>
            <w:tcW w:w="2640" w:type="dxa"/>
            <w:tcBorders>
              <w:top w:val="single" w:sz="4" w:space="0" w:color="auto"/>
              <w:bottom w:val="single" w:sz="4" w:space="0" w:color="auto"/>
            </w:tcBorders>
            <w:shd w:val="clear" w:color="auto" w:fill="auto"/>
            <w:noWrap/>
            <w:vAlign w:val="bottom"/>
            <w:hideMark/>
          </w:tcPr>
          <w:p>
            <w:pPr>
              <w:pStyle w:val="style0"/>
              <w:spacing w:after="0" w:lineRule="auto" w:line="480"/>
              <w:rPr>
                <w:color w:val="000000"/>
                <w:sz w:val="22"/>
                <w:szCs w:val="22"/>
              </w:rPr>
            </w:pPr>
          </w:p>
        </w:tc>
        <w:tc>
          <w:tcPr>
            <w:tcW w:w="1258" w:type="dxa"/>
            <w:tcBorders>
              <w:top w:val="single" w:sz="4" w:space="0" w:color="auto"/>
              <w:bottom w:val="single" w:sz="4" w:space="0" w:color="auto"/>
            </w:tcBorders>
            <w:shd w:val="clear" w:color="auto" w:fill="auto"/>
            <w:noWrap/>
            <w:vAlign w:val="bottom"/>
            <w:hideMark/>
          </w:tcPr>
          <w:p>
            <w:pPr>
              <w:pStyle w:val="style0"/>
              <w:spacing w:after="0" w:lineRule="auto" w:line="480"/>
              <w:jc w:val="center"/>
              <w:rPr>
                <w:color w:val="000000"/>
                <w:sz w:val="22"/>
                <w:szCs w:val="22"/>
              </w:rPr>
            </w:pPr>
            <w:r>
              <w:rPr>
                <w:color w:val="000000"/>
                <w:sz w:val="22"/>
                <w:szCs w:val="22"/>
              </w:rPr>
              <w:t>Strongly Agree</w:t>
            </w:r>
          </w:p>
        </w:tc>
        <w:tc>
          <w:tcPr>
            <w:tcW w:w="648" w:type="dxa"/>
            <w:tcBorders>
              <w:top w:val="single" w:sz="4" w:space="0" w:color="auto"/>
              <w:bottom w:val="single" w:sz="4" w:space="0" w:color="auto"/>
            </w:tcBorders>
            <w:shd w:val="clear" w:color="auto" w:fill="auto"/>
            <w:noWrap/>
            <w:vAlign w:val="bottom"/>
            <w:hideMark/>
          </w:tcPr>
          <w:p>
            <w:pPr>
              <w:pStyle w:val="style0"/>
              <w:spacing w:after="0" w:lineRule="auto" w:line="480"/>
              <w:jc w:val="center"/>
              <w:rPr>
                <w:color w:val="000000"/>
                <w:sz w:val="22"/>
                <w:szCs w:val="22"/>
              </w:rPr>
            </w:pPr>
            <w:r>
              <w:rPr>
                <w:color w:val="000000"/>
                <w:sz w:val="22"/>
                <w:szCs w:val="22"/>
              </w:rPr>
              <w:t>Agree</w:t>
            </w:r>
          </w:p>
        </w:tc>
        <w:tc>
          <w:tcPr>
            <w:tcW w:w="779" w:type="dxa"/>
            <w:tcBorders>
              <w:top w:val="single" w:sz="4" w:space="0" w:color="auto"/>
              <w:bottom w:val="single" w:sz="4" w:space="0" w:color="auto"/>
            </w:tcBorders>
            <w:shd w:val="clear" w:color="auto" w:fill="auto"/>
            <w:noWrap/>
            <w:vAlign w:val="bottom"/>
            <w:hideMark/>
          </w:tcPr>
          <w:p>
            <w:pPr>
              <w:pStyle w:val="style0"/>
              <w:spacing w:after="0" w:lineRule="auto" w:line="480"/>
              <w:jc w:val="center"/>
              <w:rPr>
                <w:color w:val="000000"/>
                <w:sz w:val="22"/>
                <w:szCs w:val="22"/>
              </w:rPr>
            </w:pPr>
            <w:r>
              <w:rPr>
                <w:color w:val="000000"/>
                <w:sz w:val="22"/>
                <w:szCs w:val="22"/>
              </w:rPr>
              <w:t>Neutral</w:t>
            </w:r>
          </w:p>
        </w:tc>
        <w:tc>
          <w:tcPr>
            <w:tcW w:w="871" w:type="dxa"/>
            <w:tcBorders>
              <w:top w:val="single" w:sz="4" w:space="0" w:color="auto"/>
              <w:bottom w:val="single" w:sz="4" w:space="0" w:color="auto"/>
            </w:tcBorders>
            <w:shd w:val="clear" w:color="auto" w:fill="auto"/>
            <w:noWrap/>
            <w:vAlign w:val="bottom"/>
            <w:hideMark/>
          </w:tcPr>
          <w:p>
            <w:pPr>
              <w:pStyle w:val="style0"/>
              <w:spacing w:after="0" w:lineRule="auto" w:line="480"/>
              <w:jc w:val="center"/>
              <w:rPr>
                <w:color w:val="000000"/>
                <w:sz w:val="22"/>
                <w:szCs w:val="22"/>
              </w:rPr>
            </w:pPr>
            <w:r>
              <w:rPr>
                <w:color w:val="000000"/>
                <w:sz w:val="22"/>
                <w:szCs w:val="22"/>
              </w:rPr>
              <w:t>Disagree</w:t>
            </w:r>
          </w:p>
        </w:tc>
        <w:tc>
          <w:tcPr>
            <w:tcW w:w="871" w:type="dxa"/>
            <w:tcBorders>
              <w:top w:val="single" w:sz="4" w:space="0" w:color="auto"/>
              <w:bottom w:val="single" w:sz="4" w:space="0" w:color="auto"/>
            </w:tcBorders>
            <w:shd w:val="clear" w:color="auto" w:fill="auto"/>
            <w:noWrap/>
            <w:vAlign w:val="bottom"/>
            <w:hideMark/>
          </w:tcPr>
          <w:p>
            <w:pPr>
              <w:pStyle w:val="style0"/>
              <w:spacing w:after="0" w:lineRule="auto" w:line="480"/>
              <w:jc w:val="center"/>
              <w:rPr>
                <w:color w:val="000000"/>
                <w:sz w:val="22"/>
                <w:szCs w:val="22"/>
              </w:rPr>
            </w:pPr>
            <w:r>
              <w:rPr>
                <w:color w:val="000000"/>
                <w:sz w:val="22"/>
                <w:szCs w:val="22"/>
              </w:rPr>
              <w:t>Strongly Disagree</w:t>
            </w:r>
          </w:p>
        </w:tc>
        <w:tc>
          <w:tcPr>
            <w:tcW w:w="871" w:type="dxa"/>
            <w:tcBorders>
              <w:top w:val="single" w:sz="4" w:space="0" w:color="auto"/>
              <w:bottom w:val="single" w:sz="4" w:space="0" w:color="auto"/>
            </w:tcBorders>
          </w:tcPr>
          <w:p>
            <w:pPr>
              <w:pStyle w:val="style0"/>
              <w:spacing w:after="0" w:lineRule="auto" w:line="480"/>
              <w:jc w:val="center"/>
              <w:rPr>
                <w:color w:val="000000"/>
                <w:sz w:val="22"/>
                <w:szCs w:val="22"/>
              </w:rPr>
            </w:pPr>
            <w:r>
              <w:rPr>
                <w:rFonts w:ascii="Calibri" w:cs="Calibri" w:hAnsi="Calibri"/>
                <w:color w:val="000000"/>
              </w:rPr>
              <w:t>Mean</w:t>
            </w:r>
          </w:p>
        </w:tc>
        <w:tc>
          <w:tcPr>
            <w:tcW w:w="871" w:type="dxa"/>
            <w:tcBorders>
              <w:top w:val="single" w:sz="4" w:space="0" w:color="auto"/>
              <w:bottom w:val="single" w:sz="4" w:space="0" w:color="auto"/>
            </w:tcBorders>
          </w:tcPr>
          <w:p>
            <w:pPr>
              <w:pStyle w:val="style0"/>
              <w:spacing w:after="0" w:lineRule="auto" w:line="480"/>
              <w:jc w:val="center"/>
              <w:rPr>
                <w:color w:val="000000"/>
                <w:sz w:val="22"/>
                <w:szCs w:val="22"/>
              </w:rPr>
            </w:pPr>
            <w:r>
              <w:rPr>
                <w:rFonts w:ascii="Calibri" w:cs="Calibri" w:hAnsi="Calibri"/>
                <w:color w:val="000000"/>
              </w:rPr>
              <w:t>SD</w:t>
            </w:r>
          </w:p>
        </w:tc>
      </w:tr>
      <w:tr>
        <w:tblPrEx/>
        <w:trPr>
          <w:trHeight w:val="245" w:hRule="atLeast"/>
          <w:jc w:val="center"/>
        </w:trPr>
        <w:tc>
          <w:tcPr>
            <w:tcW w:w="2640" w:type="dxa"/>
            <w:tcBorders>
              <w:top w:val="single" w:sz="4" w:space="0" w:color="auto"/>
            </w:tcBorders>
            <w:shd w:val="clear" w:color="auto" w:fill="auto"/>
            <w:noWrap/>
            <w:vAlign w:val="bottom"/>
            <w:hideMark/>
          </w:tcPr>
          <w:p>
            <w:pPr>
              <w:pStyle w:val="style0"/>
              <w:spacing w:after="0" w:lineRule="auto" w:line="480"/>
              <w:rPr>
                <w:color w:val="000000"/>
                <w:sz w:val="22"/>
                <w:szCs w:val="22"/>
              </w:rPr>
            </w:pPr>
            <w:r>
              <w:rPr>
                <w:color w:val="000000"/>
                <w:sz w:val="22"/>
                <w:szCs w:val="22"/>
              </w:rPr>
              <w:t>Gender</w:t>
            </w:r>
            <w:r>
              <w:rPr>
                <w:color w:val="000000"/>
                <w:sz w:val="22"/>
                <w:szCs w:val="22"/>
              </w:rPr>
              <w:t xml:space="preserve"> roles</w:t>
            </w:r>
          </w:p>
        </w:tc>
        <w:tc>
          <w:tcPr>
            <w:tcW w:w="1258" w:type="dxa"/>
            <w:tcBorders>
              <w:top w:val="single" w:sz="4" w:space="0" w:color="auto"/>
            </w:tcBorders>
            <w:shd w:val="clear" w:color="auto" w:fill="auto"/>
            <w:noWrap/>
            <w:vAlign w:val="center"/>
            <w:hideMark/>
          </w:tcPr>
          <w:p>
            <w:pPr>
              <w:pStyle w:val="style0"/>
              <w:spacing w:after="0" w:lineRule="auto" w:line="480"/>
              <w:jc w:val="center"/>
              <w:rPr>
                <w:color w:val="000000"/>
                <w:sz w:val="22"/>
                <w:szCs w:val="22"/>
              </w:rPr>
            </w:pPr>
            <w:r>
              <w:rPr>
                <w:color w:val="000000"/>
                <w:sz w:val="22"/>
                <w:szCs w:val="22"/>
              </w:rPr>
              <w:t>18</w:t>
            </w:r>
          </w:p>
        </w:tc>
        <w:tc>
          <w:tcPr>
            <w:tcW w:w="648" w:type="dxa"/>
            <w:tcBorders>
              <w:top w:val="single" w:sz="4" w:space="0" w:color="auto"/>
            </w:tcBorders>
            <w:shd w:val="clear" w:color="auto" w:fill="auto"/>
            <w:noWrap/>
            <w:vAlign w:val="center"/>
            <w:hideMark/>
          </w:tcPr>
          <w:p>
            <w:pPr>
              <w:pStyle w:val="style0"/>
              <w:spacing w:after="0" w:lineRule="auto" w:line="480"/>
              <w:jc w:val="center"/>
              <w:rPr>
                <w:color w:val="000000"/>
                <w:sz w:val="22"/>
                <w:szCs w:val="22"/>
              </w:rPr>
            </w:pPr>
            <w:r>
              <w:rPr>
                <w:color w:val="000000"/>
                <w:sz w:val="22"/>
                <w:szCs w:val="22"/>
              </w:rPr>
              <w:t>33</w:t>
            </w:r>
          </w:p>
        </w:tc>
        <w:tc>
          <w:tcPr>
            <w:tcW w:w="779" w:type="dxa"/>
            <w:tcBorders>
              <w:top w:val="single" w:sz="4" w:space="0" w:color="auto"/>
            </w:tcBorders>
            <w:shd w:val="clear" w:color="auto" w:fill="auto"/>
            <w:noWrap/>
            <w:vAlign w:val="center"/>
            <w:hideMark/>
          </w:tcPr>
          <w:p>
            <w:pPr>
              <w:pStyle w:val="style0"/>
              <w:spacing w:after="0" w:lineRule="auto" w:line="480"/>
              <w:jc w:val="center"/>
              <w:rPr>
                <w:color w:val="000000"/>
                <w:sz w:val="22"/>
                <w:szCs w:val="22"/>
              </w:rPr>
            </w:pPr>
            <w:r>
              <w:rPr>
                <w:color w:val="000000"/>
                <w:sz w:val="22"/>
                <w:szCs w:val="22"/>
              </w:rPr>
              <w:t>20</w:t>
            </w:r>
          </w:p>
        </w:tc>
        <w:tc>
          <w:tcPr>
            <w:tcW w:w="871" w:type="dxa"/>
            <w:tcBorders>
              <w:top w:val="single" w:sz="4" w:space="0" w:color="auto"/>
            </w:tcBorders>
            <w:shd w:val="clear" w:color="auto" w:fill="auto"/>
            <w:noWrap/>
            <w:vAlign w:val="center"/>
            <w:hideMark/>
          </w:tcPr>
          <w:p>
            <w:pPr>
              <w:pStyle w:val="style0"/>
              <w:spacing w:after="0" w:lineRule="auto" w:line="480"/>
              <w:jc w:val="center"/>
              <w:rPr>
                <w:color w:val="000000"/>
                <w:sz w:val="22"/>
                <w:szCs w:val="22"/>
              </w:rPr>
            </w:pPr>
            <w:r>
              <w:rPr>
                <w:color w:val="000000"/>
                <w:sz w:val="22"/>
                <w:szCs w:val="22"/>
              </w:rPr>
              <w:t>21</w:t>
            </w:r>
          </w:p>
        </w:tc>
        <w:tc>
          <w:tcPr>
            <w:tcW w:w="871" w:type="dxa"/>
            <w:tcBorders>
              <w:top w:val="single" w:sz="4" w:space="0" w:color="auto"/>
            </w:tcBorders>
            <w:shd w:val="clear" w:color="auto" w:fill="auto"/>
            <w:noWrap/>
            <w:vAlign w:val="center"/>
            <w:hideMark/>
          </w:tcPr>
          <w:p>
            <w:pPr>
              <w:pStyle w:val="style0"/>
              <w:spacing w:after="0" w:lineRule="auto" w:line="480"/>
              <w:jc w:val="center"/>
              <w:rPr>
                <w:color w:val="000000"/>
                <w:sz w:val="22"/>
                <w:szCs w:val="22"/>
              </w:rPr>
            </w:pPr>
            <w:r>
              <w:rPr>
                <w:color w:val="000000"/>
                <w:sz w:val="22"/>
                <w:szCs w:val="22"/>
              </w:rPr>
              <w:t>7</w:t>
            </w:r>
          </w:p>
        </w:tc>
        <w:tc>
          <w:tcPr>
            <w:tcW w:w="871" w:type="dxa"/>
            <w:tcBorders>
              <w:top w:val="single" w:sz="4" w:space="0" w:color="auto"/>
            </w:tcBorders>
            <w:vAlign w:val="center"/>
          </w:tcPr>
          <w:p>
            <w:pPr>
              <w:pStyle w:val="style0"/>
              <w:spacing w:after="0" w:lineRule="auto" w:line="480"/>
              <w:jc w:val="center"/>
              <w:rPr>
                <w:color w:val="000000"/>
                <w:sz w:val="22"/>
                <w:szCs w:val="22"/>
              </w:rPr>
            </w:pPr>
            <w:r>
              <w:t>3.34</w:t>
            </w:r>
          </w:p>
        </w:tc>
        <w:tc>
          <w:tcPr>
            <w:tcW w:w="871" w:type="dxa"/>
            <w:tcBorders>
              <w:top w:val="single" w:sz="4" w:space="0" w:color="auto"/>
            </w:tcBorders>
            <w:vAlign w:val="center"/>
          </w:tcPr>
          <w:p>
            <w:pPr>
              <w:pStyle w:val="style0"/>
              <w:spacing w:after="0" w:lineRule="auto" w:line="480"/>
              <w:jc w:val="center"/>
              <w:rPr>
                <w:color w:val="000000"/>
                <w:sz w:val="22"/>
                <w:szCs w:val="22"/>
              </w:rPr>
            </w:pPr>
            <w:r>
              <w:t>1.12</w:t>
            </w:r>
          </w:p>
        </w:tc>
      </w:tr>
      <w:tr>
        <w:tblPrEx/>
        <w:trPr>
          <w:trHeight w:val="245" w:hRule="atLeast"/>
          <w:jc w:val="center"/>
        </w:trPr>
        <w:tc>
          <w:tcPr>
            <w:tcW w:w="2640" w:type="dxa"/>
            <w:tcBorders/>
            <w:shd w:val="clear" w:color="auto" w:fill="auto"/>
            <w:noWrap/>
            <w:vAlign w:val="bottom"/>
            <w:hideMark/>
          </w:tcPr>
          <w:p>
            <w:pPr>
              <w:pStyle w:val="style0"/>
              <w:spacing w:after="0" w:lineRule="auto" w:line="480"/>
              <w:rPr>
                <w:color w:val="000000"/>
                <w:sz w:val="22"/>
                <w:szCs w:val="22"/>
              </w:rPr>
            </w:pPr>
            <w:r>
              <w:rPr>
                <w:color w:val="000000"/>
                <w:sz w:val="22"/>
                <w:szCs w:val="22"/>
              </w:rPr>
              <w:t>Effects on education</w:t>
            </w:r>
          </w:p>
        </w:tc>
        <w:tc>
          <w:tcPr>
            <w:tcW w:w="1258" w:type="dxa"/>
            <w:tcBorders/>
            <w:shd w:val="clear" w:color="auto" w:fill="auto"/>
            <w:noWrap/>
            <w:vAlign w:val="center"/>
            <w:hideMark/>
          </w:tcPr>
          <w:p>
            <w:pPr>
              <w:pStyle w:val="style0"/>
              <w:spacing w:after="0" w:lineRule="auto" w:line="480"/>
              <w:jc w:val="center"/>
              <w:rPr>
                <w:color w:val="000000"/>
                <w:sz w:val="22"/>
                <w:szCs w:val="22"/>
              </w:rPr>
            </w:pPr>
            <w:r>
              <w:rPr>
                <w:color w:val="000000"/>
                <w:sz w:val="22"/>
                <w:szCs w:val="22"/>
              </w:rPr>
              <w:t>15</w:t>
            </w:r>
          </w:p>
        </w:tc>
        <w:tc>
          <w:tcPr>
            <w:tcW w:w="648" w:type="dxa"/>
            <w:tcBorders/>
            <w:shd w:val="clear" w:color="auto" w:fill="auto"/>
            <w:noWrap/>
            <w:vAlign w:val="center"/>
            <w:hideMark/>
          </w:tcPr>
          <w:p>
            <w:pPr>
              <w:pStyle w:val="style0"/>
              <w:spacing w:after="0" w:lineRule="auto" w:line="480"/>
              <w:jc w:val="center"/>
              <w:rPr>
                <w:color w:val="000000"/>
                <w:sz w:val="22"/>
                <w:szCs w:val="22"/>
              </w:rPr>
            </w:pPr>
            <w:r>
              <w:rPr>
                <w:color w:val="000000"/>
                <w:sz w:val="22"/>
                <w:szCs w:val="22"/>
              </w:rPr>
              <w:t>36</w:t>
            </w:r>
          </w:p>
        </w:tc>
        <w:tc>
          <w:tcPr>
            <w:tcW w:w="779" w:type="dxa"/>
            <w:tcBorders/>
            <w:shd w:val="clear" w:color="auto" w:fill="auto"/>
            <w:noWrap/>
            <w:vAlign w:val="center"/>
            <w:hideMark/>
          </w:tcPr>
          <w:p>
            <w:pPr>
              <w:pStyle w:val="style0"/>
              <w:spacing w:after="0" w:lineRule="auto" w:line="480"/>
              <w:jc w:val="center"/>
              <w:rPr>
                <w:color w:val="000000"/>
                <w:sz w:val="22"/>
                <w:szCs w:val="22"/>
              </w:rPr>
            </w:pPr>
            <w:r>
              <w:rPr>
                <w:color w:val="000000"/>
                <w:sz w:val="22"/>
                <w:szCs w:val="22"/>
              </w:rPr>
              <w:t>12</w:t>
            </w:r>
          </w:p>
        </w:tc>
        <w:tc>
          <w:tcPr>
            <w:tcW w:w="871" w:type="dxa"/>
            <w:tcBorders/>
            <w:shd w:val="clear" w:color="auto" w:fill="auto"/>
            <w:noWrap/>
            <w:vAlign w:val="center"/>
            <w:hideMark/>
          </w:tcPr>
          <w:p>
            <w:pPr>
              <w:pStyle w:val="style0"/>
              <w:spacing w:after="0" w:lineRule="auto" w:line="480"/>
              <w:jc w:val="center"/>
              <w:rPr>
                <w:color w:val="000000"/>
                <w:sz w:val="22"/>
                <w:szCs w:val="22"/>
              </w:rPr>
            </w:pPr>
            <w:r>
              <w:rPr>
                <w:color w:val="000000"/>
                <w:sz w:val="22"/>
                <w:szCs w:val="22"/>
              </w:rPr>
              <w:t>26</w:t>
            </w:r>
          </w:p>
        </w:tc>
        <w:tc>
          <w:tcPr>
            <w:tcW w:w="871" w:type="dxa"/>
            <w:tcBorders/>
            <w:shd w:val="clear" w:color="auto" w:fill="auto"/>
            <w:noWrap/>
            <w:vAlign w:val="center"/>
            <w:hideMark/>
          </w:tcPr>
          <w:p>
            <w:pPr>
              <w:pStyle w:val="style0"/>
              <w:spacing w:after="0" w:lineRule="auto" w:line="480"/>
              <w:jc w:val="center"/>
              <w:rPr>
                <w:color w:val="000000"/>
                <w:sz w:val="22"/>
                <w:szCs w:val="22"/>
              </w:rPr>
            </w:pPr>
            <w:r>
              <w:rPr>
                <w:color w:val="000000"/>
                <w:sz w:val="22"/>
                <w:szCs w:val="22"/>
              </w:rPr>
              <w:t>10</w:t>
            </w:r>
          </w:p>
        </w:tc>
        <w:tc>
          <w:tcPr>
            <w:tcW w:w="871" w:type="dxa"/>
            <w:tcBorders/>
            <w:vAlign w:val="center"/>
          </w:tcPr>
          <w:p>
            <w:pPr>
              <w:pStyle w:val="style0"/>
              <w:spacing w:after="0" w:lineRule="auto" w:line="480"/>
              <w:jc w:val="center"/>
              <w:rPr>
                <w:color w:val="000000"/>
                <w:sz w:val="22"/>
                <w:szCs w:val="22"/>
              </w:rPr>
            </w:pPr>
            <w:r>
              <w:t>3.20</w:t>
            </w:r>
          </w:p>
        </w:tc>
        <w:tc>
          <w:tcPr>
            <w:tcW w:w="871" w:type="dxa"/>
            <w:tcBorders/>
            <w:vAlign w:val="center"/>
          </w:tcPr>
          <w:p>
            <w:pPr>
              <w:pStyle w:val="style0"/>
              <w:spacing w:after="0" w:lineRule="auto" w:line="480"/>
              <w:jc w:val="center"/>
              <w:rPr>
                <w:color w:val="000000"/>
                <w:sz w:val="22"/>
                <w:szCs w:val="22"/>
              </w:rPr>
            </w:pPr>
            <w:r>
              <w:t>1.25</w:t>
            </w:r>
          </w:p>
        </w:tc>
      </w:tr>
      <w:tr>
        <w:tblPrEx/>
        <w:trPr>
          <w:trHeight w:val="245" w:hRule="atLeast"/>
          <w:jc w:val="center"/>
        </w:trPr>
        <w:tc>
          <w:tcPr>
            <w:tcW w:w="2640" w:type="dxa"/>
            <w:tcBorders>
              <w:bottom w:val="single" w:sz="4" w:space="0" w:color="auto"/>
            </w:tcBorders>
            <w:shd w:val="clear" w:color="auto" w:fill="auto"/>
            <w:noWrap/>
            <w:vAlign w:val="bottom"/>
            <w:hideMark/>
          </w:tcPr>
          <w:p>
            <w:pPr>
              <w:pStyle w:val="style0"/>
              <w:spacing w:after="0" w:lineRule="auto" w:line="480"/>
              <w:rPr>
                <w:color w:val="000000"/>
                <w:sz w:val="22"/>
                <w:szCs w:val="22"/>
              </w:rPr>
            </w:pPr>
            <w:r>
              <w:rPr>
                <w:color w:val="000000"/>
                <w:sz w:val="22"/>
                <w:szCs w:val="22"/>
              </w:rPr>
              <w:t>Family conflicts</w:t>
            </w:r>
          </w:p>
        </w:tc>
        <w:tc>
          <w:tcPr>
            <w:tcW w:w="1258" w:type="dxa"/>
            <w:tcBorders>
              <w:bottom w:val="single" w:sz="4" w:space="0" w:color="auto"/>
            </w:tcBorders>
            <w:shd w:val="clear" w:color="auto" w:fill="auto"/>
            <w:noWrap/>
            <w:vAlign w:val="center"/>
            <w:hideMark/>
          </w:tcPr>
          <w:p>
            <w:pPr>
              <w:pStyle w:val="style0"/>
              <w:spacing w:after="0" w:lineRule="auto" w:line="480"/>
              <w:jc w:val="center"/>
              <w:rPr>
                <w:color w:val="000000"/>
                <w:sz w:val="22"/>
                <w:szCs w:val="22"/>
              </w:rPr>
            </w:pPr>
            <w:r>
              <w:rPr>
                <w:color w:val="000000"/>
                <w:sz w:val="22"/>
                <w:szCs w:val="22"/>
              </w:rPr>
              <w:t>15</w:t>
            </w:r>
          </w:p>
        </w:tc>
        <w:tc>
          <w:tcPr>
            <w:tcW w:w="648" w:type="dxa"/>
            <w:tcBorders>
              <w:bottom w:val="single" w:sz="4" w:space="0" w:color="auto"/>
            </w:tcBorders>
            <w:shd w:val="clear" w:color="auto" w:fill="auto"/>
            <w:noWrap/>
            <w:vAlign w:val="center"/>
            <w:hideMark/>
          </w:tcPr>
          <w:p>
            <w:pPr>
              <w:pStyle w:val="style0"/>
              <w:spacing w:after="0" w:lineRule="auto" w:line="480"/>
              <w:jc w:val="center"/>
              <w:rPr>
                <w:color w:val="000000"/>
                <w:sz w:val="22"/>
                <w:szCs w:val="22"/>
              </w:rPr>
            </w:pPr>
            <w:r>
              <w:rPr>
                <w:color w:val="000000"/>
                <w:sz w:val="22"/>
                <w:szCs w:val="22"/>
              </w:rPr>
              <w:t>36</w:t>
            </w:r>
          </w:p>
        </w:tc>
        <w:tc>
          <w:tcPr>
            <w:tcW w:w="779" w:type="dxa"/>
            <w:tcBorders>
              <w:bottom w:val="single" w:sz="4" w:space="0" w:color="auto"/>
            </w:tcBorders>
            <w:shd w:val="clear" w:color="auto" w:fill="auto"/>
            <w:noWrap/>
            <w:vAlign w:val="center"/>
            <w:hideMark/>
          </w:tcPr>
          <w:p>
            <w:pPr>
              <w:pStyle w:val="style0"/>
              <w:spacing w:after="0" w:lineRule="auto" w:line="480"/>
              <w:jc w:val="center"/>
              <w:rPr>
                <w:color w:val="000000"/>
                <w:sz w:val="22"/>
                <w:szCs w:val="22"/>
              </w:rPr>
            </w:pPr>
            <w:r>
              <w:rPr>
                <w:color w:val="000000"/>
                <w:sz w:val="22"/>
                <w:szCs w:val="22"/>
              </w:rPr>
              <w:t>12</w:t>
            </w:r>
          </w:p>
        </w:tc>
        <w:tc>
          <w:tcPr>
            <w:tcW w:w="871" w:type="dxa"/>
            <w:tcBorders>
              <w:bottom w:val="single" w:sz="4" w:space="0" w:color="auto"/>
            </w:tcBorders>
            <w:shd w:val="clear" w:color="auto" w:fill="auto"/>
            <w:noWrap/>
            <w:vAlign w:val="center"/>
            <w:hideMark/>
          </w:tcPr>
          <w:p>
            <w:pPr>
              <w:pStyle w:val="style0"/>
              <w:spacing w:after="0" w:lineRule="auto" w:line="480"/>
              <w:jc w:val="center"/>
              <w:rPr>
                <w:color w:val="000000"/>
                <w:sz w:val="22"/>
                <w:szCs w:val="22"/>
              </w:rPr>
            </w:pPr>
            <w:r>
              <w:rPr>
                <w:color w:val="000000"/>
                <w:sz w:val="22"/>
                <w:szCs w:val="22"/>
              </w:rPr>
              <w:t>26</w:t>
            </w:r>
          </w:p>
        </w:tc>
        <w:tc>
          <w:tcPr>
            <w:tcW w:w="871" w:type="dxa"/>
            <w:tcBorders>
              <w:bottom w:val="single" w:sz="4" w:space="0" w:color="auto"/>
            </w:tcBorders>
            <w:shd w:val="clear" w:color="auto" w:fill="auto"/>
            <w:noWrap/>
            <w:vAlign w:val="center"/>
            <w:hideMark/>
          </w:tcPr>
          <w:p>
            <w:pPr>
              <w:pStyle w:val="style0"/>
              <w:spacing w:after="0" w:lineRule="auto" w:line="480"/>
              <w:jc w:val="center"/>
              <w:rPr>
                <w:color w:val="000000"/>
                <w:sz w:val="22"/>
                <w:szCs w:val="22"/>
              </w:rPr>
            </w:pPr>
            <w:r>
              <w:rPr>
                <w:color w:val="000000"/>
                <w:sz w:val="22"/>
                <w:szCs w:val="22"/>
              </w:rPr>
              <w:t>10</w:t>
            </w:r>
          </w:p>
        </w:tc>
        <w:tc>
          <w:tcPr>
            <w:tcW w:w="871" w:type="dxa"/>
            <w:tcBorders>
              <w:bottom w:val="single" w:sz="4" w:space="0" w:color="auto"/>
            </w:tcBorders>
            <w:vAlign w:val="center"/>
          </w:tcPr>
          <w:p>
            <w:pPr>
              <w:pStyle w:val="style0"/>
              <w:spacing w:after="0" w:lineRule="auto" w:line="480"/>
              <w:jc w:val="center"/>
              <w:rPr>
                <w:color w:val="000000"/>
                <w:sz w:val="22"/>
                <w:szCs w:val="22"/>
              </w:rPr>
            </w:pPr>
            <w:r>
              <w:t>3.20</w:t>
            </w:r>
          </w:p>
        </w:tc>
        <w:tc>
          <w:tcPr>
            <w:tcW w:w="871" w:type="dxa"/>
            <w:tcBorders>
              <w:bottom w:val="single" w:sz="4" w:space="0" w:color="auto"/>
            </w:tcBorders>
            <w:vAlign w:val="center"/>
          </w:tcPr>
          <w:p>
            <w:pPr>
              <w:pStyle w:val="style0"/>
              <w:spacing w:after="0" w:lineRule="auto" w:line="480"/>
              <w:jc w:val="center"/>
              <w:rPr>
                <w:color w:val="000000"/>
                <w:sz w:val="22"/>
                <w:szCs w:val="22"/>
              </w:rPr>
            </w:pPr>
            <w:r>
              <w:t>1.25</w:t>
            </w:r>
          </w:p>
        </w:tc>
      </w:tr>
      <w:bookmarkStart w:id="124" w:name="_Toc178076741"/>
    </w:tbl>
    <w:p>
      <w:pPr>
        <w:pStyle w:val="style2"/>
        <w:tabs>
          <w:tab w:val="left" w:leader="none" w:pos="540"/>
          <w:tab w:val="left" w:leader="none" w:pos="3240"/>
        </w:tabs>
        <w:spacing w:before="240" w:beforeAutospacing="false" w:lineRule="auto" w:line="480"/>
        <w:rPr>
          <w:rFonts w:ascii="Times New Roman" w:cs="Times New Roman" w:hAnsi="Times New Roman"/>
          <w:b/>
          <w:color w:val="000000"/>
          <w:sz w:val="24"/>
          <w:szCs w:val="24"/>
        </w:rPr>
      </w:pPr>
      <w:r>
        <w:rPr>
          <w:rFonts w:ascii="Times New Roman" w:cs="Times New Roman" w:hAnsi="Times New Roman"/>
          <w:b/>
          <w:color w:val="000000"/>
          <w:sz w:val="24"/>
          <w:szCs w:val="24"/>
        </w:rPr>
        <w:t>4.3.3 Economic effects</w:t>
      </w:r>
      <w:bookmarkEnd w:id="124"/>
      <w:r>
        <w:rPr>
          <w:rFonts w:ascii="Times New Roman" w:cs="Times New Roman" w:hAnsi="Times New Roman"/>
          <w:b/>
          <w:color w:val="000000"/>
          <w:sz w:val="24"/>
          <w:szCs w:val="24"/>
        </w:rPr>
        <w:t xml:space="preserve"> </w:t>
      </w:r>
    </w:p>
    <w:p>
      <w:pPr>
        <w:pStyle w:val="style0"/>
        <w:spacing w:lineRule="auto" w:line="480"/>
        <w:rPr/>
      </w:pPr>
      <w:r>
        <w:t>Economic concerns related to wood fuel consumption are highlighted in Table 8. A notable 42% of respondents (12% strongly agree, 30% agree) perceive that wood fuel use increases the financial burden on households, with a mean score of 3.12 and a standard deviation (SD) of 1.11</w:t>
      </w:r>
      <w:r>
        <w:t xml:space="preserve"> </w:t>
      </w:r>
      <w:r>
        <w:t>(</w:t>
      </w:r>
      <w:r>
        <w:t>Table 8)</w:t>
      </w:r>
      <w:r>
        <w:t>. This indicates that many respondents view the costs associated with acquiring and maintaining wood fuel as a significant economic strain. Conversely, 29% of respondents remain neutral, suggesting uncertainty or mixed feelings about the financial impact of wood fuel, while 28% (15% disagree, 13% strongly disagree) do not see it as a considerable financial burden</w:t>
      </w:r>
      <w:r>
        <w:t xml:space="preserve"> (Table 8)</w:t>
      </w:r>
      <w:r>
        <w:t>. This latter group may either manage wood fuel costs effectively or have alternative strategies that mitigate financial strain.</w:t>
      </w:r>
    </w:p>
    <w:p>
      <w:pPr>
        <w:pStyle w:val="style0"/>
        <w:spacing w:lineRule="auto" w:line="480"/>
        <w:rPr/>
      </w:pPr>
      <w:r>
        <w:t>In terms of the economic value of wood fuel, 40% of respondents (16% disagree, 24% strongly disagree) express skepticism about its cost-effectiveness, with a mean score of 2.65 and an SD of 1.29. Only 29% of respondents (9% strongly agree, 20% agree) view wood fuel as a cost-effective energy source</w:t>
      </w:r>
      <w:r>
        <w:t xml:space="preserve"> (Table 8)</w:t>
      </w:r>
      <w:r>
        <w:t xml:space="preserve">. The substantial percentage of respondents who disagree indicates concerns about the economic efficiency of wood </w:t>
      </w:r>
      <w:r>
        <w:t>fuel, which could be attributed to its potentially higher costs compared to other energy sources or the inefficiency associated with wood fuel usage.</w:t>
      </w:r>
    </w:p>
    <w:p>
      <w:pPr>
        <w:pStyle w:val="style0"/>
        <w:spacing w:lineRule="auto" w:line="480"/>
        <w:rPr/>
      </w:pPr>
      <w:r>
        <w:t>Furthermore, the economic impact on forest products is also a concern. A combined 38% of respondents (10% strongly agree, 28% agree) believe that wood fuel consumption results in a loss of economic value from forest products, with a mean score of 3.04 and an SD of 1.12</w:t>
      </w:r>
      <w:r>
        <w:t xml:space="preserve"> </w:t>
      </w:r>
      <w:r>
        <w:t>(</w:t>
      </w:r>
      <w:r>
        <w:t>Table 8)</w:t>
      </w:r>
      <w:r>
        <w:t>. This suggests that the depletion of forest resources for fuel can lead to reduced economic benefits from these resources. In contrast, 28% remain neutral, and 28% (10% disagree, 18% strongly disagree) do not perceive significant economic losses associated with wood fuel use.</w:t>
      </w:r>
      <w:r>
        <w:t xml:space="preserve"> </w:t>
      </w:r>
      <w:r>
        <w:t xml:space="preserve">These findings are consistent with the study by Menendez </w:t>
      </w:r>
      <w:r>
        <w:rPr>
          <w:i/>
          <w:iCs/>
        </w:rPr>
        <w:t>et</w:t>
      </w:r>
      <w:r>
        <w:rPr>
          <w:i/>
          <w:iCs/>
        </w:rPr>
        <w:t xml:space="preserve"> al</w:t>
      </w:r>
      <w:r>
        <w:t xml:space="preserve">. (2013), which explored the economic impacts of wood fuel on household finances, revealing similar concerns about financial burdens and cost-effectiveness. Additionally, Wiskerke </w:t>
      </w:r>
      <w:r>
        <w:rPr>
          <w:i/>
          <w:iCs/>
        </w:rPr>
        <w:t>et</w:t>
      </w:r>
      <w:r>
        <w:rPr>
          <w:i/>
          <w:iCs/>
        </w:rPr>
        <w:t xml:space="preserve"> al</w:t>
      </w:r>
      <w:r>
        <w:t>. (2010) identified economic challenges related to wood fuel use in the semi-arid Shinyanga region, further supporting the notion that wood fuel consumption can have significant economic effects on households and forest resources. The data suggest a need for policies and practices that address these economic concerns, potentially by exploring alternative energy sources or improving the efficiency and sustainability of wood fuel use</w:t>
      </w:r>
      <w:r>
        <w:t>.</w:t>
      </w:r>
    </w:p>
    <w:p>
      <w:pPr>
        <w:pStyle w:val="style0"/>
        <w:spacing w:lineRule="auto" w:line="480"/>
        <w:rPr/>
      </w:pPr>
    </w:p>
    <w:p>
      <w:pPr>
        <w:pStyle w:val="style0"/>
        <w:spacing w:lineRule="auto" w:line="480"/>
        <w:rPr/>
      </w:pPr>
    </w:p>
    <w:p>
      <w:pPr>
        <w:pStyle w:val="style0"/>
        <w:spacing w:lineRule="auto" w:line="480"/>
        <w:rPr/>
      </w:pPr>
    </w:p>
    <w:bookmarkStart w:id="125" w:name="_Toc177668543"/>
    <w:p>
      <w:pPr>
        <w:pStyle w:val="style0"/>
        <w:spacing w:lineRule="auto" w:line="480"/>
        <w:rPr>
          <w:color w:val="000000"/>
        </w:rPr>
      </w:pPr>
      <w:r>
        <w:rPr>
          <w:color w:val="000000"/>
        </w:rPr>
        <w:t xml:space="preserve">Table </w:t>
      </w:r>
      <w:r>
        <w:rPr>
          <w:i/>
          <w:iCs/>
          <w:color w:val="000000"/>
        </w:rPr>
        <w:fldChar w:fldCharType="begin"/>
      </w:r>
      <w:r>
        <w:rPr>
          <w:color w:val="000000"/>
        </w:rPr>
        <w:instrText xml:space="preserve"> SEQ Table \* ARABIC </w:instrText>
      </w:r>
      <w:r>
        <w:rPr>
          <w:i/>
          <w:iCs/>
          <w:color w:val="000000"/>
        </w:rPr>
        <w:fldChar w:fldCharType="separate"/>
      </w:r>
      <w:r>
        <w:rPr>
          <w:noProof/>
          <w:color w:val="000000"/>
        </w:rPr>
        <w:t>8</w:t>
      </w:r>
      <w:r>
        <w:rPr>
          <w:i/>
          <w:iCs/>
          <w:noProof/>
          <w:color w:val="000000"/>
        </w:rPr>
        <w:fldChar w:fldCharType="end"/>
      </w:r>
      <w:r>
        <w:rPr>
          <w:color w:val="000000"/>
        </w:rPr>
        <w:t xml:space="preserve">: Economic Effects of </w:t>
      </w:r>
      <w:r>
        <w:rPr>
          <w:color w:val="000000"/>
        </w:rPr>
        <w:t>Wood fuel</w:t>
      </w:r>
      <w:r>
        <w:rPr>
          <w:color w:val="000000"/>
        </w:rPr>
        <w:t xml:space="preserve"> Consumption</w:t>
      </w:r>
      <w:bookmarkEnd w:id="125"/>
    </w:p>
    <w:tbl>
      <w:tblPr>
        <w:tblW w:w="8220" w:type="dxa"/>
        <w:tblLook w:val="04A0" w:firstRow="1" w:lastRow="0" w:firstColumn="1" w:lastColumn="0" w:noHBand="0" w:noVBand="1"/>
      </w:tblPr>
      <w:tblGrid>
        <w:gridCol w:w="1956"/>
        <w:gridCol w:w="1129"/>
        <w:gridCol w:w="1095"/>
        <w:gridCol w:w="868"/>
        <w:gridCol w:w="968"/>
        <w:gridCol w:w="968"/>
        <w:gridCol w:w="660"/>
        <w:gridCol w:w="578"/>
      </w:tblGrid>
      <w:tr>
        <w:trPr>
          <w:trHeight w:val="265" w:hRule="atLeast"/>
        </w:trPr>
        <w:tc>
          <w:tcPr>
            <w:tcW w:w="2090" w:type="dxa"/>
            <w:tcBorders>
              <w:top w:val="single" w:sz="4" w:space="0" w:color="auto"/>
              <w:bottom w:val="single" w:sz="4" w:space="0" w:color="auto"/>
            </w:tcBorders>
            <w:shd w:val="clear" w:color="auto" w:fill="auto"/>
            <w:noWrap/>
            <w:vAlign w:val="bottom"/>
            <w:hideMark/>
          </w:tcPr>
          <w:p>
            <w:pPr>
              <w:pStyle w:val="style0"/>
              <w:spacing w:after="0" w:lineRule="auto" w:line="240"/>
              <w:rPr>
                <w:color w:val="000000"/>
                <w:sz w:val="22"/>
                <w:szCs w:val="22"/>
              </w:rPr>
            </w:pPr>
          </w:p>
        </w:tc>
        <w:tc>
          <w:tcPr>
            <w:tcW w:w="1143" w:type="dxa"/>
            <w:tcBorders>
              <w:top w:val="single" w:sz="4" w:space="0" w:color="auto"/>
              <w:bottom w:val="single" w:sz="4" w:space="0" w:color="auto"/>
            </w:tcBorders>
            <w:shd w:val="clear" w:color="auto" w:fill="auto"/>
            <w:noWrap/>
            <w:vAlign w:val="bottom"/>
            <w:hideMark/>
          </w:tcPr>
          <w:p>
            <w:pPr>
              <w:pStyle w:val="style0"/>
              <w:spacing w:after="0" w:lineRule="auto" w:line="240"/>
              <w:rPr>
                <w:color w:val="000000"/>
                <w:sz w:val="22"/>
                <w:szCs w:val="22"/>
              </w:rPr>
            </w:pPr>
            <w:r>
              <w:rPr>
                <w:color w:val="000000"/>
                <w:sz w:val="22"/>
                <w:szCs w:val="22"/>
              </w:rPr>
              <w:t>Strongly Agree</w:t>
            </w:r>
          </w:p>
        </w:tc>
        <w:tc>
          <w:tcPr>
            <w:tcW w:w="1140" w:type="dxa"/>
            <w:tcBorders>
              <w:top w:val="single" w:sz="4" w:space="0" w:color="auto"/>
              <w:bottom w:val="single" w:sz="4" w:space="0" w:color="auto"/>
            </w:tcBorders>
            <w:shd w:val="clear" w:color="auto" w:fill="auto"/>
            <w:noWrap/>
            <w:vAlign w:val="bottom"/>
            <w:hideMark/>
          </w:tcPr>
          <w:p>
            <w:pPr>
              <w:pStyle w:val="style0"/>
              <w:spacing w:after="0" w:lineRule="auto" w:line="240"/>
              <w:rPr>
                <w:color w:val="000000"/>
                <w:sz w:val="22"/>
                <w:szCs w:val="22"/>
              </w:rPr>
            </w:pPr>
            <w:r>
              <w:rPr>
                <w:color w:val="000000"/>
                <w:sz w:val="22"/>
                <w:szCs w:val="22"/>
              </w:rPr>
              <w:t>Agree</w:t>
            </w:r>
          </w:p>
        </w:tc>
        <w:tc>
          <w:tcPr>
            <w:tcW w:w="817" w:type="dxa"/>
            <w:tcBorders>
              <w:top w:val="single" w:sz="4" w:space="0" w:color="auto"/>
              <w:bottom w:val="single" w:sz="4" w:space="0" w:color="auto"/>
            </w:tcBorders>
            <w:shd w:val="clear" w:color="auto" w:fill="auto"/>
            <w:noWrap/>
            <w:vAlign w:val="bottom"/>
            <w:hideMark/>
          </w:tcPr>
          <w:p>
            <w:pPr>
              <w:pStyle w:val="style0"/>
              <w:spacing w:after="0" w:lineRule="auto" w:line="240"/>
              <w:rPr>
                <w:color w:val="000000"/>
                <w:sz w:val="20"/>
                <w:szCs w:val="20"/>
              </w:rPr>
            </w:pPr>
            <w:r>
              <w:rPr>
                <w:color w:val="000000"/>
                <w:sz w:val="20"/>
                <w:szCs w:val="20"/>
              </w:rPr>
              <w:t>Neutral</w:t>
            </w:r>
          </w:p>
        </w:tc>
        <w:tc>
          <w:tcPr>
            <w:tcW w:w="927" w:type="dxa"/>
            <w:tcBorders>
              <w:top w:val="single" w:sz="4" w:space="0" w:color="auto"/>
              <w:bottom w:val="single" w:sz="4" w:space="0" w:color="auto"/>
            </w:tcBorders>
            <w:shd w:val="clear" w:color="auto" w:fill="auto"/>
            <w:noWrap/>
            <w:vAlign w:val="bottom"/>
            <w:hideMark/>
          </w:tcPr>
          <w:p>
            <w:pPr>
              <w:pStyle w:val="style0"/>
              <w:spacing w:after="0" w:lineRule="auto" w:line="240"/>
              <w:rPr>
                <w:color w:val="000000"/>
                <w:sz w:val="20"/>
                <w:szCs w:val="20"/>
              </w:rPr>
            </w:pPr>
            <w:r>
              <w:rPr>
                <w:color w:val="000000"/>
                <w:sz w:val="20"/>
                <w:szCs w:val="20"/>
              </w:rPr>
              <w:t>Disagree</w:t>
            </w:r>
          </w:p>
        </w:tc>
        <w:tc>
          <w:tcPr>
            <w:tcW w:w="927" w:type="dxa"/>
            <w:tcBorders>
              <w:top w:val="single" w:sz="4" w:space="0" w:color="auto"/>
              <w:bottom w:val="single" w:sz="4" w:space="0" w:color="auto"/>
            </w:tcBorders>
            <w:shd w:val="clear" w:color="auto" w:fill="auto"/>
            <w:noWrap/>
            <w:vAlign w:val="bottom"/>
            <w:hideMark/>
          </w:tcPr>
          <w:p>
            <w:pPr>
              <w:pStyle w:val="style0"/>
              <w:spacing w:after="0" w:lineRule="auto" w:line="240"/>
              <w:rPr>
                <w:color w:val="000000"/>
                <w:sz w:val="20"/>
                <w:szCs w:val="20"/>
              </w:rPr>
            </w:pPr>
            <w:r>
              <w:rPr>
                <w:color w:val="000000"/>
                <w:sz w:val="20"/>
                <w:szCs w:val="20"/>
              </w:rPr>
              <w:t>Strongly Disagree</w:t>
            </w:r>
          </w:p>
        </w:tc>
        <w:tc>
          <w:tcPr>
            <w:tcW w:w="588" w:type="dxa"/>
            <w:tcBorders>
              <w:top w:val="single" w:sz="4" w:space="0" w:color="auto"/>
              <w:bottom w:val="single" w:sz="4" w:space="0" w:color="auto"/>
            </w:tcBorders>
          </w:tcPr>
          <w:p>
            <w:pPr>
              <w:pStyle w:val="style0"/>
              <w:spacing w:after="0" w:lineRule="auto" w:line="240"/>
              <w:rPr>
                <w:color w:val="000000"/>
                <w:sz w:val="20"/>
                <w:szCs w:val="20"/>
              </w:rPr>
            </w:pPr>
            <w:r>
              <w:rPr>
                <w:rFonts w:ascii="Calibri" w:cs="Calibri" w:hAnsi="Calibri"/>
                <w:color w:val="000000"/>
                <w:sz w:val="20"/>
                <w:szCs w:val="20"/>
              </w:rPr>
              <w:t>Mean</w:t>
            </w:r>
          </w:p>
        </w:tc>
        <w:tc>
          <w:tcPr>
            <w:tcW w:w="588" w:type="dxa"/>
            <w:tcBorders>
              <w:top w:val="single" w:sz="4" w:space="0" w:color="auto"/>
              <w:bottom w:val="single" w:sz="4" w:space="0" w:color="auto"/>
            </w:tcBorders>
          </w:tcPr>
          <w:p>
            <w:pPr>
              <w:pStyle w:val="style0"/>
              <w:spacing w:after="0" w:lineRule="auto" w:line="240"/>
              <w:rPr>
                <w:color w:val="000000"/>
                <w:sz w:val="22"/>
                <w:szCs w:val="22"/>
              </w:rPr>
            </w:pPr>
            <w:r>
              <w:rPr>
                <w:rFonts w:ascii="Calibri" w:cs="Calibri" w:hAnsi="Calibri"/>
                <w:color w:val="000000"/>
              </w:rPr>
              <w:t>SD</w:t>
            </w:r>
          </w:p>
        </w:tc>
      </w:tr>
      <w:tr>
        <w:tblPrEx/>
        <w:trPr>
          <w:trHeight w:val="265" w:hRule="atLeast"/>
        </w:trPr>
        <w:tc>
          <w:tcPr>
            <w:tcW w:w="2090" w:type="dxa"/>
            <w:tcBorders>
              <w:top w:val="single" w:sz="4" w:space="0" w:color="auto"/>
            </w:tcBorders>
            <w:shd w:val="clear" w:color="auto" w:fill="auto"/>
            <w:noWrap/>
            <w:vAlign w:val="bottom"/>
            <w:hideMark/>
          </w:tcPr>
          <w:p>
            <w:pPr>
              <w:pStyle w:val="style0"/>
              <w:spacing w:after="0" w:lineRule="auto" w:line="240"/>
              <w:rPr>
                <w:color w:val="000000"/>
                <w:sz w:val="20"/>
                <w:szCs w:val="20"/>
              </w:rPr>
            </w:pPr>
            <w:r>
              <w:rPr>
                <w:color w:val="000000"/>
                <w:sz w:val="20"/>
                <w:szCs w:val="20"/>
              </w:rPr>
              <w:t>Increases financial burden</w:t>
            </w:r>
          </w:p>
        </w:tc>
        <w:tc>
          <w:tcPr>
            <w:tcW w:w="1143" w:type="dxa"/>
            <w:tcBorders>
              <w:top w:val="single" w:sz="4" w:space="0" w:color="auto"/>
            </w:tcBorders>
            <w:shd w:val="clear" w:color="auto" w:fill="auto"/>
            <w:noWrap/>
            <w:vAlign w:val="bottom"/>
            <w:hideMark/>
          </w:tcPr>
          <w:p>
            <w:pPr>
              <w:pStyle w:val="style0"/>
              <w:spacing w:after="0" w:lineRule="auto" w:line="240"/>
              <w:rPr>
                <w:color w:val="000000"/>
                <w:sz w:val="22"/>
                <w:szCs w:val="22"/>
              </w:rPr>
            </w:pPr>
            <w:r>
              <w:rPr>
                <w:color w:val="000000"/>
                <w:sz w:val="22"/>
                <w:szCs w:val="22"/>
              </w:rPr>
              <w:t>12</w:t>
            </w:r>
          </w:p>
        </w:tc>
        <w:tc>
          <w:tcPr>
            <w:tcW w:w="1140" w:type="dxa"/>
            <w:tcBorders>
              <w:top w:val="single" w:sz="4" w:space="0" w:color="auto"/>
            </w:tcBorders>
            <w:shd w:val="clear" w:color="auto" w:fill="auto"/>
            <w:noWrap/>
            <w:vAlign w:val="bottom"/>
            <w:hideMark/>
          </w:tcPr>
          <w:p>
            <w:pPr>
              <w:pStyle w:val="style0"/>
              <w:spacing w:after="0" w:lineRule="auto" w:line="240"/>
              <w:rPr>
                <w:color w:val="000000"/>
                <w:sz w:val="22"/>
                <w:szCs w:val="22"/>
              </w:rPr>
            </w:pPr>
            <w:r>
              <w:rPr>
                <w:color w:val="000000"/>
                <w:sz w:val="22"/>
                <w:szCs w:val="22"/>
              </w:rPr>
              <w:t>30</w:t>
            </w:r>
          </w:p>
        </w:tc>
        <w:tc>
          <w:tcPr>
            <w:tcW w:w="817" w:type="dxa"/>
            <w:tcBorders>
              <w:top w:val="single" w:sz="4" w:space="0" w:color="auto"/>
            </w:tcBorders>
            <w:shd w:val="clear" w:color="auto" w:fill="auto"/>
            <w:noWrap/>
            <w:vAlign w:val="bottom"/>
            <w:hideMark/>
          </w:tcPr>
          <w:p>
            <w:pPr>
              <w:pStyle w:val="style0"/>
              <w:spacing w:after="0" w:lineRule="auto" w:line="240"/>
              <w:rPr>
                <w:color w:val="000000"/>
                <w:sz w:val="22"/>
                <w:szCs w:val="22"/>
              </w:rPr>
            </w:pPr>
            <w:r>
              <w:rPr>
                <w:color w:val="000000"/>
                <w:sz w:val="22"/>
                <w:szCs w:val="22"/>
              </w:rPr>
              <w:t>29</w:t>
            </w:r>
          </w:p>
        </w:tc>
        <w:tc>
          <w:tcPr>
            <w:tcW w:w="927" w:type="dxa"/>
            <w:tcBorders>
              <w:top w:val="single" w:sz="4" w:space="0" w:color="auto"/>
            </w:tcBorders>
            <w:shd w:val="clear" w:color="auto" w:fill="auto"/>
            <w:noWrap/>
            <w:vAlign w:val="bottom"/>
            <w:hideMark/>
          </w:tcPr>
          <w:p>
            <w:pPr>
              <w:pStyle w:val="style0"/>
              <w:spacing w:after="0" w:lineRule="auto" w:line="240"/>
              <w:rPr>
                <w:color w:val="000000"/>
                <w:sz w:val="22"/>
                <w:szCs w:val="22"/>
              </w:rPr>
            </w:pPr>
            <w:r>
              <w:rPr>
                <w:color w:val="000000"/>
                <w:sz w:val="22"/>
                <w:szCs w:val="22"/>
              </w:rPr>
              <w:t>15</w:t>
            </w:r>
          </w:p>
        </w:tc>
        <w:tc>
          <w:tcPr>
            <w:tcW w:w="927" w:type="dxa"/>
            <w:tcBorders>
              <w:top w:val="single" w:sz="4" w:space="0" w:color="auto"/>
            </w:tcBorders>
            <w:shd w:val="clear" w:color="auto" w:fill="auto"/>
            <w:noWrap/>
            <w:vAlign w:val="bottom"/>
            <w:hideMark/>
          </w:tcPr>
          <w:p>
            <w:pPr>
              <w:pStyle w:val="style0"/>
              <w:spacing w:after="0" w:lineRule="auto" w:line="240"/>
              <w:rPr>
                <w:color w:val="000000"/>
                <w:sz w:val="22"/>
                <w:szCs w:val="22"/>
              </w:rPr>
            </w:pPr>
            <w:r>
              <w:rPr>
                <w:color w:val="000000"/>
                <w:sz w:val="22"/>
                <w:szCs w:val="22"/>
              </w:rPr>
              <w:t>13</w:t>
            </w:r>
          </w:p>
        </w:tc>
        <w:tc>
          <w:tcPr>
            <w:tcW w:w="588" w:type="dxa"/>
            <w:tcBorders>
              <w:top w:val="single" w:sz="4" w:space="0" w:color="auto"/>
            </w:tcBorders>
          </w:tcPr>
          <w:p>
            <w:pPr>
              <w:pStyle w:val="style0"/>
              <w:spacing w:after="0" w:lineRule="auto" w:line="240"/>
              <w:rPr/>
            </w:pPr>
            <w:r>
              <w:t xml:space="preserve"> </w:t>
            </w:r>
          </w:p>
          <w:p>
            <w:pPr>
              <w:pStyle w:val="style0"/>
              <w:spacing w:after="0" w:lineRule="auto" w:line="240"/>
              <w:rPr>
                <w:color w:val="000000"/>
                <w:sz w:val="22"/>
                <w:szCs w:val="22"/>
              </w:rPr>
            </w:pPr>
            <w:r>
              <w:t xml:space="preserve">3.12  </w:t>
            </w:r>
          </w:p>
        </w:tc>
        <w:tc>
          <w:tcPr>
            <w:tcW w:w="588" w:type="dxa"/>
            <w:tcBorders>
              <w:top w:val="single" w:sz="4" w:space="0" w:color="auto"/>
            </w:tcBorders>
          </w:tcPr>
          <w:p>
            <w:pPr>
              <w:pStyle w:val="style0"/>
              <w:spacing w:after="0" w:lineRule="auto" w:line="240"/>
              <w:rPr/>
            </w:pPr>
            <w:r>
              <w:t xml:space="preserve"> </w:t>
            </w:r>
          </w:p>
          <w:p>
            <w:pPr>
              <w:pStyle w:val="style0"/>
              <w:spacing w:after="0" w:lineRule="auto" w:line="240"/>
              <w:rPr>
                <w:color w:val="000000"/>
                <w:sz w:val="22"/>
                <w:szCs w:val="22"/>
              </w:rPr>
            </w:pPr>
            <w:r>
              <w:t>1</w:t>
            </w:r>
            <w:r>
              <w:t>1</w:t>
            </w:r>
            <w:r>
              <w:t xml:space="preserve"> </w:t>
            </w:r>
          </w:p>
        </w:tc>
      </w:tr>
      <w:tr>
        <w:tblPrEx/>
        <w:trPr>
          <w:trHeight w:val="265" w:hRule="atLeast"/>
        </w:trPr>
        <w:tc>
          <w:tcPr>
            <w:tcW w:w="2090" w:type="dxa"/>
            <w:tcBorders/>
            <w:shd w:val="clear" w:color="auto" w:fill="auto"/>
            <w:noWrap/>
            <w:vAlign w:val="bottom"/>
            <w:hideMark/>
          </w:tcPr>
          <w:p>
            <w:pPr>
              <w:pStyle w:val="style0"/>
              <w:spacing w:after="0" w:lineRule="auto" w:line="240"/>
              <w:rPr>
                <w:color w:val="000000"/>
                <w:sz w:val="20"/>
                <w:szCs w:val="20"/>
              </w:rPr>
            </w:pPr>
            <w:r>
              <w:rPr>
                <w:color w:val="000000"/>
                <w:sz w:val="20"/>
                <w:szCs w:val="20"/>
              </w:rPr>
              <w:t>Loss of economic value from forest products</w:t>
            </w:r>
          </w:p>
        </w:tc>
        <w:tc>
          <w:tcPr>
            <w:tcW w:w="1143" w:type="dxa"/>
            <w:tcBorders/>
            <w:shd w:val="clear" w:color="auto" w:fill="auto"/>
            <w:noWrap/>
            <w:vAlign w:val="bottom"/>
            <w:hideMark/>
          </w:tcPr>
          <w:p>
            <w:pPr>
              <w:pStyle w:val="style0"/>
              <w:spacing w:after="0" w:lineRule="auto" w:line="240"/>
              <w:rPr>
                <w:color w:val="000000"/>
                <w:sz w:val="22"/>
                <w:szCs w:val="22"/>
              </w:rPr>
            </w:pPr>
            <w:r>
              <w:rPr>
                <w:color w:val="000000"/>
                <w:sz w:val="22"/>
                <w:szCs w:val="22"/>
              </w:rPr>
              <w:t>10</w:t>
            </w:r>
          </w:p>
        </w:tc>
        <w:tc>
          <w:tcPr>
            <w:tcW w:w="1140" w:type="dxa"/>
            <w:tcBorders/>
            <w:shd w:val="clear" w:color="auto" w:fill="auto"/>
            <w:noWrap/>
            <w:vAlign w:val="bottom"/>
            <w:hideMark/>
          </w:tcPr>
          <w:p>
            <w:pPr>
              <w:pStyle w:val="style0"/>
              <w:spacing w:after="0" w:lineRule="auto" w:line="240"/>
              <w:rPr>
                <w:color w:val="000000"/>
                <w:sz w:val="22"/>
                <w:szCs w:val="22"/>
              </w:rPr>
            </w:pPr>
            <w:r>
              <w:rPr>
                <w:color w:val="000000"/>
                <w:sz w:val="22"/>
                <w:szCs w:val="22"/>
              </w:rPr>
              <w:t>28</w:t>
            </w:r>
          </w:p>
        </w:tc>
        <w:tc>
          <w:tcPr>
            <w:tcW w:w="817" w:type="dxa"/>
            <w:tcBorders/>
            <w:shd w:val="clear" w:color="auto" w:fill="auto"/>
            <w:noWrap/>
            <w:vAlign w:val="bottom"/>
            <w:hideMark/>
          </w:tcPr>
          <w:p>
            <w:pPr>
              <w:pStyle w:val="style0"/>
              <w:spacing w:after="0" w:lineRule="auto" w:line="240"/>
              <w:rPr>
                <w:color w:val="000000"/>
                <w:sz w:val="22"/>
                <w:szCs w:val="22"/>
              </w:rPr>
            </w:pPr>
            <w:r>
              <w:rPr>
                <w:color w:val="000000"/>
                <w:sz w:val="22"/>
                <w:szCs w:val="22"/>
              </w:rPr>
              <w:t>33</w:t>
            </w:r>
          </w:p>
        </w:tc>
        <w:tc>
          <w:tcPr>
            <w:tcW w:w="927" w:type="dxa"/>
            <w:tcBorders/>
            <w:shd w:val="clear" w:color="auto" w:fill="auto"/>
            <w:noWrap/>
            <w:vAlign w:val="bottom"/>
            <w:hideMark/>
          </w:tcPr>
          <w:p>
            <w:pPr>
              <w:pStyle w:val="style0"/>
              <w:spacing w:after="0" w:lineRule="auto" w:line="240"/>
              <w:rPr>
                <w:color w:val="000000"/>
                <w:sz w:val="22"/>
                <w:szCs w:val="22"/>
              </w:rPr>
            </w:pPr>
            <w:r>
              <w:rPr>
                <w:color w:val="000000"/>
                <w:sz w:val="22"/>
                <w:szCs w:val="22"/>
              </w:rPr>
              <w:t>10</w:t>
            </w:r>
          </w:p>
        </w:tc>
        <w:tc>
          <w:tcPr>
            <w:tcW w:w="927" w:type="dxa"/>
            <w:tcBorders/>
            <w:shd w:val="clear" w:color="auto" w:fill="auto"/>
            <w:noWrap/>
            <w:vAlign w:val="bottom"/>
            <w:hideMark/>
          </w:tcPr>
          <w:p>
            <w:pPr>
              <w:pStyle w:val="style0"/>
              <w:spacing w:after="0" w:lineRule="auto" w:line="240"/>
              <w:rPr>
                <w:color w:val="000000"/>
                <w:sz w:val="22"/>
                <w:szCs w:val="22"/>
              </w:rPr>
            </w:pPr>
            <w:r>
              <w:rPr>
                <w:color w:val="000000"/>
                <w:sz w:val="22"/>
                <w:szCs w:val="22"/>
              </w:rPr>
              <w:t>18</w:t>
            </w:r>
          </w:p>
        </w:tc>
        <w:tc>
          <w:tcPr>
            <w:tcW w:w="588" w:type="dxa"/>
            <w:tcBorders/>
          </w:tcPr>
          <w:p>
            <w:pPr>
              <w:pStyle w:val="style0"/>
              <w:spacing w:after="0" w:lineRule="auto" w:line="240"/>
              <w:rPr/>
            </w:pPr>
            <w:r>
              <w:t xml:space="preserve"> </w:t>
            </w:r>
          </w:p>
          <w:p>
            <w:pPr>
              <w:pStyle w:val="style0"/>
              <w:spacing w:after="0" w:lineRule="auto" w:line="240"/>
              <w:rPr>
                <w:color w:val="000000"/>
                <w:sz w:val="22"/>
                <w:szCs w:val="22"/>
              </w:rPr>
            </w:pPr>
            <w:r>
              <w:t xml:space="preserve">3.04  </w:t>
            </w:r>
          </w:p>
        </w:tc>
        <w:tc>
          <w:tcPr>
            <w:tcW w:w="588" w:type="dxa"/>
            <w:tcBorders/>
          </w:tcPr>
          <w:p>
            <w:pPr>
              <w:pStyle w:val="style0"/>
              <w:spacing w:after="0" w:lineRule="auto" w:line="240"/>
              <w:rPr/>
            </w:pPr>
            <w:r>
              <w:t xml:space="preserve"> </w:t>
            </w:r>
          </w:p>
          <w:p>
            <w:pPr>
              <w:pStyle w:val="style0"/>
              <w:spacing w:after="0" w:lineRule="auto" w:line="240"/>
              <w:rPr>
                <w:color w:val="000000"/>
                <w:sz w:val="22"/>
                <w:szCs w:val="22"/>
              </w:rPr>
            </w:pPr>
            <w:r>
              <w:t>1</w:t>
            </w:r>
            <w:r>
              <w:t>2</w:t>
            </w:r>
            <w:r>
              <w:t xml:space="preserve">  </w:t>
            </w:r>
          </w:p>
        </w:tc>
      </w:tr>
      <w:tr>
        <w:tblPrEx/>
        <w:trPr>
          <w:trHeight w:val="265" w:hRule="atLeast"/>
        </w:trPr>
        <w:tc>
          <w:tcPr>
            <w:tcW w:w="2090" w:type="dxa"/>
            <w:tcBorders>
              <w:bottom w:val="single" w:sz="4" w:space="0" w:color="auto"/>
            </w:tcBorders>
            <w:shd w:val="clear" w:color="auto" w:fill="auto"/>
            <w:noWrap/>
            <w:vAlign w:val="bottom"/>
            <w:hideMark/>
          </w:tcPr>
          <w:p>
            <w:pPr>
              <w:pStyle w:val="style0"/>
              <w:spacing w:after="0" w:lineRule="auto" w:line="240"/>
              <w:rPr>
                <w:color w:val="000000"/>
                <w:sz w:val="20"/>
                <w:szCs w:val="20"/>
              </w:rPr>
            </w:pPr>
            <w:r>
              <w:rPr>
                <w:color w:val="000000"/>
                <w:sz w:val="20"/>
                <w:szCs w:val="20"/>
              </w:rPr>
              <w:t>Provides cost</w:t>
            </w:r>
            <w:r>
              <w:rPr>
                <w:color w:val="000000"/>
                <w:sz w:val="20"/>
                <w:szCs w:val="20"/>
              </w:rPr>
              <w:t>-effective enrgy</w:t>
            </w:r>
          </w:p>
        </w:tc>
        <w:tc>
          <w:tcPr>
            <w:tcW w:w="1143" w:type="dxa"/>
            <w:tcBorders>
              <w:bottom w:val="single" w:sz="4" w:space="0" w:color="auto"/>
            </w:tcBorders>
            <w:shd w:val="clear" w:color="auto" w:fill="auto"/>
            <w:noWrap/>
            <w:vAlign w:val="bottom"/>
            <w:hideMark/>
          </w:tcPr>
          <w:p>
            <w:pPr>
              <w:pStyle w:val="style0"/>
              <w:spacing w:after="0" w:lineRule="auto" w:line="240"/>
              <w:rPr>
                <w:color w:val="000000"/>
                <w:sz w:val="22"/>
                <w:szCs w:val="22"/>
              </w:rPr>
            </w:pPr>
            <w:r>
              <w:rPr>
                <w:color w:val="000000"/>
                <w:sz w:val="22"/>
                <w:szCs w:val="22"/>
              </w:rPr>
              <w:t>9</w:t>
            </w:r>
          </w:p>
        </w:tc>
        <w:tc>
          <w:tcPr>
            <w:tcW w:w="1140" w:type="dxa"/>
            <w:tcBorders>
              <w:bottom w:val="single" w:sz="4" w:space="0" w:color="auto"/>
            </w:tcBorders>
            <w:shd w:val="clear" w:color="auto" w:fill="auto"/>
            <w:noWrap/>
            <w:vAlign w:val="bottom"/>
            <w:hideMark/>
          </w:tcPr>
          <w:p>
            <w:pPr>
              <w:pStyle w:val="style0"/>
              <w:spacing w:after="0" w:lineRule="auto" w:line="240"/>
              <w:rPr>
                <w:color w:val="000000"/>
                <w:sz w:val="22"/>
                <w:szCs w:val="22"/>
              </w:rPr>
            </w:pPr>
            <w:r>
              <w:rPr>
                <w:color w:val="000000"/>
                <w:sz w:val="22"/>
                <w:szCs w:val="22"/>
              </w:rPr>
              <w:t>20</w:t>
            </w:r>
          </w:p>
        </w:tc>
        <w:tc>
          <w:tcPr>
            <w:tcW w:w="817" w:type="dxa"/>
            <w:tcBorders>
              <w:bottom w:val="single" w:sz="4" w:space="0" w:color="auto"/>
            </w:tcBorders>
            <w:shd w:val="clear" w:color="auto" w:fill="auto"/>
            <w:noWrap/>
            <w:vAlign w:val="bottom"/>
            <w:hideMark/>
          </w:tcPr>
          <w:p>
            <w:pPr>
              <w:pStyle w:val="style0"/>
              <w:spacing w:after="0" w:lineRule="auto" w:line="240"/>
              <w:rPr>
                <w:color w:val="000000"/>
                <w:sz w:val="22"/>
                <w:szCs w:val="22"/>
              </w:rPr>
            </w:pPr>
            <w:r>
              <w:rPr>
                <w:color w:val="000000"/>
                <w:sz w:val="22"/>
                <w:szCs w:val="22"/>
              </w:rPr>
              <w:t>30</w:t>
            </w:r>
          </w:p>
        </w:tc>
        <w:tc>
          <w:tcPr>
            <w:tcW w:w="927" w:type="dxa"/>
            <w:tcBorders>
              <w:bottom w:val="single" w:sz="4" w:space="0" w:color="auto"/>
            </w:tcBorders>
            <w:shd w:val="clear" w:color="auto" w:fill="auto"/>
            <w:noWrap/>
            <w:vAlign w:val="bottom"/>
            <w:hideMark/>
          </w:tcPr>
          <w:p>
            <w:pPr>
              <w:pStyle w:val="style0"/>
              <w:spacing w:after="0" w:lineRule="auto" w:line="240"/>
              <w:rPr>
                <w:color w:val="000000"/>
                <w:sz w:val="22"/>
                <w:szCs w:val="22"/>
              </w:rPr>
            </w:pPr>
            <w:r>
              <w:rPr>
                <w:color w:val="000000"/>
                <w:sz w:val="22"/>
                <w:szCs w:val="22"/>
              </w:rPr>
              <w:t>16</w:t>
            </w:r>
          </w:p>
        </w:tc>
        <w:tc>
          <w:tcPr>
            <w:tcW w:w="927" w:type="dxa"/>
            <w:tcBorders>
              <w:bottom w:val="single" w:sz="4" w:space="0" w:color="auto"/>
            </w:tcBorders>
            <w:shd w:val="clear" w:color="auto" w:fill="auto"/>
            <w:noWrap/>
            <w:vAlign w:val="bottom"/>
            <w:hideMark/>
          </w:tcPr>
          <w:p>
            <w:pPr>
              <w:pStyle w:val="style0"/>
              <w:spacing w:after="0" w:lineRule="auto" w:line="240"/>
              <w:rPr>
                <w:color w:val="000000"/>
                <w:sz w:val="22"/>
                <w:szCs w:val="22"/>
              </w:rPr>
            </w:pPr>
            <w:r>
              <w:rPr>
                <w:color w:val="000000"/>
                <w:sz w:val="22"/>
                <w:szCs w:val="22"/>
              </w:rPr>
              <w:t>24</w:t>
            </w:r>
          </w:p>
        </w:tc>
        <w:tc>
          <w:tcPr>
            <w:tcW w:w="588" w:type="dxa"/>
            <w:tcBorders>
              <w:bottom w:val="single" w:sz="4" w:space="0" w:color="auto"/>
            </w:tcBorders>
          </w:tcPr>
          <w:p>
            <w:pPr>
              <w:pStyle w:val="style0"/>
              <w:spacing w:after="0" w:lineRule="auto" w:line="240"/>
              <w:rPr/>
            </w:pPr>
            <w:r>
              <w:t xml:space="preserve"> </w:t>
            </w:r>
          </w:p>
          <w:p>
            <w:pPr>
              <w:pStyle w:val="style0"/>
              <w:spacing w:after="0" w:lineRule="auto" w:line="240"/>
              <w:rPr/>
            </w:pPr>
          </w:p>
          <w:p>
            <w:pPr>
              <w:pStyle w:val="style0"/>
              <w:spacing w:after="0" w:lineRule="auto" w:line="240"/>
              <w:rPr>
                <w:color w:val="000000"/>
                <w:sz w:val="22"/>
                <w:szCs w:val="22"/>
              </w:rPr>
            </w:pPr>
            <w:r>
              <w:t xml:space="preserve">2.65  </w:t>
            </w:r>
          </w:p>
        </w:tc>
        <w:tc>
          <w:tcPr>
            <w:tcW w:w="588" w:type="dxa"/>
            <w:tcBorders>
              <w:bottom w:val="single" w:sz="4" w:space="0" w:color="auto"/>
            </w:tcBorders>
          </w:tcPr>
          <w:p>
            <w:pPr>
              <w:pStyle w:val="style0"/>
              <w:spacing w:after="0" w:lineRule="auto" w:line="240"/>
              <w:rPr/>
            </w:pPr>
          </w:p>
          <w:p>
            <w:pPr>
              <w:pStyle w:val="style0"/>
              <w:spacing w:after="0" w:lineRule="auto" w:line="240"/>
              <w:rPr/>
            </w:pPr>
          </w:p>
          <w:p>
            <w:pPr>
              <w:pStyle w:val="style0"/>
              <w:spacing w:after="0" w:lineRule="auto" w:line="240"/>
              <w:rPr>
                <w:color w:val="000000"/>
                <w:sz w:val="22"/>
                <w:szCs w:val="22"/>
              </w:rPr>
            </w:pPr>
            <w:r>
              <w:t xml:space="preserve">29  </w:t>
            </w:r>
          </w:p>
        </w:tc>
      </w:tr>
    </w:tbl>
    <w:p>
      <w:pPr>
        <w:pStyle w:val="style2"/>
        <w:tabs>
          <w:tab w:val="left" w:leader="none" w:pos="540"/>
          <w:tab w:val="left" w:leader="none" w:pos="3240"/>
        </w:tabs>
        <w:spacing w:before="240" w:beforeAutospacing="false" w:lineRule="auto" w:line="480"/>
        <w:rPr>
          <w:rFonts w:ascii="Times New Roman" w:cs="Times New Roman" w:hAnsi="Times New Roman"/>
          <w:b/>
          <w:color w:val="000000"/>
          <w:sz w:val="24"/>
          <w:szCs w:val="24"/>
        </w:rPr>
      </w:pPr>
      <w:r>
        <w:rPr>
          <w:rFonts w:ascii="Times New Roman" w:cs="Times New Roman" w:hAnsi="Times New Roman"/>
          <w:b/>
          <w:color w:val="000000"/>
          <w:sz w:val="24"/>
          <w:szCs w:val="24"/>
        </w:rPr>
        <w:t xml:space="preserve"> </w:t>
      </w:r>
      <w:bookmarkStart w:id="126" w:name="_Toc178076742"/>
      <w:r>
        <w:rPr>
          <w:rFonts w:ascii="Times New Roman" w:cs="Times New Roman" w:hAnsi="Times New Roman"/>
          <w:b/>
          <w:color w:val="000000"/>
          <w:sz w:val="24"/>
          <w:szCs w:val="24"/>
        </w:rPr>
        <w:t>4.3.4 Environmental effects</w:t>
      </w:r>
      <w:bookmarkEnd w:id="126"/>
      <w:r>
        <w:rPr>
          <w:rFonts w:ascii="Times New Roman" w:cs="Times New Roman" w:hAnsi="Times New Roman"/>
          <w:b/>
          <w:color w:val="000000"/>
          <w:sz w:val="24"/>
          <w:szCs w:val="24"/>
        </w:rPr>
        <w:t xml:space="preserve"> </w:t>
      </w:r>
    </w:p>
    <w:p>
      <w:pPr>
        <w:pStyle w:val="style0"/>
        <w:spacing w:lineRule="auto" w:line="480"/>
        <w:rPr>
          <w:color w:val="000000"/>
        </w:rPr>
      </w:pPr>
      <w:r>
        <w:t xml:space="preserve">Regarding air pollution, 30% of respondents agree (14% strongly agree, 16% agree) that </w:t>
      </w:r>
      <w:r>
        <w:t>wood fuel</w:t>
      </w:r>
      <w:r>
        <w:t xml:space="preserve"> contributes to it, while a majority (56%) disagree (28% disagree, 28% strongly disagree). Similarly, opinions on deforestation are divided, with 30% (12% strongly agree, 18% agree) agreeing that </w:t>
      </w:r>
      <w:r>
        <w:t>wood fuel</w:t>
      </w:r>
      <w:r>
        <w:t xml:space="preserve"> causes deforestation, while 51% (21% disagree, 30% strongly disagree) disagree</w:t>
      </w:r>
      <w:r>
        <w:t xml:space="preserve"> (Plate 3)</w:t>
      </w:r>
      <w:r>
        <w:t>. Neutral responses range from 13% to 27%, indicating that many respondents are uncertain or ambivalent about these environmental impacts</w:t>
      </w:r>
      <w:r>
        <w:t xml:space="preserve"> (Table 9)</w:t>
      </w:r>
      <w:r>
        <w:t xml:space="preserve">. </w:t>
      </w:r>
      <w:r>
        <w:t>The</w:t>
      </w:r>
      <w:r>
        <w:t xml:space="preserve"> over-reliance on charcoal, and the excessive use of firewood are the major causes of deforestation and land degradation; about 91,000 hectares of land annually. In 2002, for Dar es </w:t>
      </w:r>
      <w:r>
        <w:t>Salaam</w:t>
      </w:r>
      <w:r>
        <w:t xml:space="preserve"> alone charcoal production was responsible for </w:t>
      </w:r>
      <w:r>
        <w:t xml:space="preserve">the </w:t>
      </w:r>
      <w:r>
        <w:t xml:space="preserve">degradation of 29,268 hectares (24.6%) of closed woodland and </w:t>
      </w:r>
      <w:r>
        <w:t xml:space="preserve">the </w:t>
      </w:r>
      <w:r>
        <w:t xml:space="preserve">deforestation of 23,308 hectares (19.58%) of closed woodland and 92,761 hectares (50.8%) of open woodland in the catchment area to the west and north of Dar es Salaam that supplied charcoal to Dar es Salaam city. However, in Mazingara </w:t>
      </w:r>
      <w:r>
        <w:t xml:space="preserve">ward the environmental impacts of </w:t>
      </w:r>
      <w:r>
        <w:t>wood fuel</w:t>
      </w:r>
      <w:r>
        <w:t xml:space="preserve"> use, particularly on</w:t>
      </w:r>
      <w:r>
        <w:t xml:space="preserve"> </w:t>
      </w:r>
      <w:r>
        <w:t>air pollution and deforestation, elicit mixed reactions among respondents</w:t>
      </w:r>
      <w:r>
        <w:t>.</w:t>
      </w:r>
      <w:r>
        <w:rPr>
          <w:color w:val="000000"/>
        </w:rPr>
        <w:t xml:space="preserve"> These findings support the need </w:t>
      </w:r>
      <w:r>
        <w:rPr>
          <w:color w:val="000000"/>
        </w:rPr>
        <w:t>for</w:t>
      </w:r>
      <w:r>
        <w:rPr>
          <w:color w:val="000000"/>
        </w:rPr>
        <w:t xml:space="preserve"> the government to support the reduction of the impacts of the usage of </w:t>
      </w:r>
      <w:r>
        <w:rPr>
          <w:color w:val="000000"/>
        </w:rPr>
        <w:t>Wood fuel</w:t>
      </w:r>
      <w:r>
        <w:rPr>
          <w:color w:val="000000"/>
        </w:rPr>
        <w:t xml:space="preserve"> as stated in the Clean Energy Strategic Plan 2024 to 2034.</w:t>
      </w:r>
    </w:p>
    <w:p>
      <w:pPr>
        <w:pStyle w:val="style0"/>
        <w:keepNext/>
        <w:spacing w:lineRule="auto" w:line="480"/>
        <w:rPr/>
      </w:pPr>
      <w:r>
        <w:rPr>
          <w:noProof/>
          <w:color w:val="000000"/>
        </w:rPr>
        <w:object>
          <v:shape id="1047" type="#_x0000_t75" filled="f" stroked="f" style="margin-left:0.0pt;margin-top:0.0pt;width:390.64pt;height:202.54pt;mso-wrap-distance-left:0.0pt;mso-wrap-distance-right:0.0pt;visibility:visible;">
            <w10:anchorlock/>
            <v:imagedata r:id="rId9" embosscolor="white" o:title=""/>
            <v:fill/>
          </v:shape>
          <o:OLEObject Type="EMBED" ProgID="Excel.Chart.8" ShapeID="1047" DrawAspect="Content" ObjectID="0" r:id="rId10"/>
        </w:object>
      </w:r>
    </w:p>
    <w:bookmarkStart w:id="127" w:name="_Toc177668500"/>
    <w:p>
      <w:pPr>
        <w:pStyle w:val="style34"/>
        <w:rPr>
          <w:i w:val="false"/>
          <w:iCs w:val="false"/>
          <w:color w:val="000000"/>
          <w:sz w:val="24"/>
          <w:szCs w:val="24"/>
        </w:rPr>
      </w:pPr>
      <w:r>
        <w:rPr>
          <w:i w:val="false"/>
          <w:iCs w:val="false"/>
          <w:color w:val="000000"/>
          <w:sz w:val="24"/>
          <w:szCs w:val="24"/>
        </w:rPr>
        <w:t xml:space="preserve">Plate </w:t>
      </w:r>
      <w:r>
        <w:rPr>
          <w:i w:val="false"/>
          <w:iCs w:val="false"/>
          <w:color w:val="000000"/>
          <w:sz w:val="24"/>
          <w:szCs w:val="24"/>
        </w:rPr>
        <w:fldChar w:fldCharType="begin"/>
      </w:r>
      <w:r>
        <w:rPr>
          <w:i w:val="false"/>
          <w:iCs w:val="false"/>
          <w:color w:val="000000"/>
          <w:sz w:val="24"/>
          <w:szCs w:val="24"/>
        </w:rPr>
        <w:instrText xml:space="preserve"> SEQ Plate \* ARABIC </w:instrText>
      </w:r>
      <w:r>
        <w:rPr>
          <w:i w:val="false"/>
          <w:iCs w:val="false"/>
          <w:color w:val="000000"/>
          <w:sz w:val="24"/>
          <w:szCs w:val="24"/>
        </w:rPr>
        <w:fldChar w:fldCharType="separate"/>
      </w:r>
      <w:r>
        <w:rPr>
          <w:i w:val="false"/>
          <w:iCs w:val="false"/>
          <w:noProof/>
          <w:color w:val="000000"/>
          <w:sz w:val="24"/>
          <w:szCs w:val="24"/>
        </w:rPr>
        <w:t>3</w:t>
      </w:r>
      <w:r>
        <w:rPr>
          <w:i w:val="false"/>
          <w:iCs w:val="false"/>
          <w:color w:val="000000"/>
          <w:sz w:val="24"/>
          <w:szCs w:val="24"/>
        </w:rPr>
        <w:fldChar w:fldCharType="end"/>
      </w:r>
      <w:r>
        <w:rPr>
          <w:i w:val="false"/>
          <w:iCs w:val="false"/>
          <w:color w:val="000000"/>
          <w:sz w:val="24"/>
          <w:szCs w:val="24"/>
        </w:rPr>
        <w:t xml:space="preserve">: Trees being cut for energy </w:t>
      </w:r>
      <w:r>
        <w:rPr>
          <w:i w:val="false"/>
          <w:iCs w:val="false"/>
          <w:color w:val="000000"/>
          <w:sz w:val="24"/>
          <w:szCs w:val="24"/>
        </w:rPr>
        <w:t>extraction</w:t>
      </w:r>
      <w:bookmarkEnd w:id="127"/>
    </w:p>
    <w:bookmarkStart w:id="128" w:name="_Toc177668544"/>
    <w:p>
      <w:pPr>
        <w:pStyle w:val="style34"/>
        <w:keepNext/>
        <w:rPr>
          <w:i w:val="false"/>
          <w:iCs w:val="false"/>
          <w:color w:val="000000"/>
          <w:sz w:val="24"/>
          <w:szCs w:val="24"/>
        </w:rPr>
      </w:pPr>
      <w:r>
        <w:rPr>
          <w:i w:val="false"/>
          <w:iCs w:val="false"/>
          <w:color w:val="000000"/>
          <w:sz w:val="24"/>
          <w:szCs w:val="24"/>
        </w:rPr>
        <w:t xml:space="preserve">Table </w:t>
      </w:r>
      <w:r>
        <w:rPr>
          <w:i w:val="false"/>
          <w:iCs w:val="false"/>
          <w:color w:val="000000"/>
          <w:sz w:val="24"/>
          <w:szCs w:val="24"/>
        </w:rPr>
        <w:fldChar w:fldCharType="begin"/>
      </w:r>
      <w:r>
        <w:rPr>
          <w:i w:val="false"/>
          <w:iCs w:val="false"/>
          <w:color w:val="000000"/>
          <w:sz w:val="24"/>
          <w:szCs w:val="24"/>
        </w:rPr>
        <w:instrText xml:space="preserve"> SEQ Table \* ARABIC </w:instrText>
      </w:r>
      <w:r>
        <w:rPr>
          <w:i w:val="false"/>
          <w:iCs w:val="false"/>
          <w:color w:val="000000"/>
          <w:sz w:val="24"/>
          <w:szCs w:val="24"/>
        </w:rPr>
        <w:fldChar w:fldCharType="separate"/>
      </w:r>
      <w:r>
        <w:rPr>
          <w:i w:val="false"/>
          <w:iCs w:val="false"/>
          <w:noProof/>
          <w:color w:val="000000"/>
          <w:sz w:val="24"/>
          <w:szCs w:val="24"/>
        </w:rPr>
        <w:t>9</w:t>
      </w:r>
      <w:r>
        <w:rPr>
          <w:i w:val="false"/>
          <w:iCs w:val="false"/>
          <w:noProof/>
          <w:color w:val="000000"/>
          <w:sz w:val="24"/>
          <w:szCs w:val="24"/>
        </w:rPr>
        <w:fldChar w:fldCharType="end"/>
      </w:r>
      <w:r>
        <w:rPr>
          <w:i w:val="false"/>
          <w:iCs w:val="false"/>
          <w:color w:val="000000"/>
          <w:sz w:val="24"/>
          <w:szCs w:val="24"/>
        </w:rPr>
        <w:t xml:space="preserve">:  Perceived </w:t>
      </w:r>
      <w:r>
        <w:rPr>
          <w:i w:val="false"/>
          <w:iCs w:val="false"/>
          <w:color w:val="000000"/>
          <w:sz w:val="24"/>
          <w:szCs w:val="24"/>
        </w:rPr>
        <w:t xml:space="preserve">Effects of </w:t>
      </w:r>
      <w:r>
        <w:rPr>
          <w:i w:val="false"/>
          <w:iCs w:val="false"/>
          <w:color w:val="000000"/>
          <w:sz w:val="24"/>
          <w:szCs w:val="24"/>
        </w:rPr>
        <w:t>Wood fuel</w:t>
      </w:r>
      <w:r>
        <w:rPr>
          <w:i w:val="false"/>
          <w:iCs w:val="false"/>
          <w:color w:val="000000"/>
          <w:sz w:val="24"/>
          <w:szCs w:val="24"/>
        </w:rPr>
        <w:t xml:space="preserve"> Consumption</w:t>
      </w:r>
      <w:bookmarkEnd w:id="128"/>
    </w:p>
    <w:tbl>
      <w:tblPr>
        <w:tblW w:w="8435" w:type="dxa"/>
        <w:jc w:val="center"/>
        <w:tblLook w:val="04A0" w:firstRow="1" w:lastRow="0" w:firstColumn="1" w:lastColumn="0" w:noHBand="0" w:noVBand="1"/>
      </w:tblPr>
      <w:tblGrid>
        <w:gridCol w:w="2312"/>
        <w:gridCol w:w="1157"/>
        <w:gridCol w:w="833"/>
        <w:gridCol w:w="998"/>
        <w:gridCol w:w="1118"/>
        <w:gridCol w:w="1118"/>
        <w:gridCol w:w="749"/>
        <w:gridCol w:w="624"/>
      </w:tblGrid>
      <w:tr>
        <w:trPr>
          <w:trHeight w:val="179" w:hRule="atLeast"/>
          <w:jc w:val="center"/>
        </w:trPr>
        <w:tc>
          <w:tcPr>
            <w:tcW w:w="2452" w:type="dxa"/>
            <w:tcBorders>
              <w:top w:val="single" w:sz="4" w:space="0" w:color="auto"/>
              <w:bottom w:val="single" w:sz="4" w:space="0" w:color="auto"/>
            </w:tcBorders>
            <w:shd w:val="clear" w:color="auto" w:fill="auto"/>
            <w:noWrap/>
            <w:vAlign w:val="bottom"/>
            <w:hideMark/>
          </w:tcPr>
          <w:p>
            <w:pPr>
              <w:pStyle w:val="style0"/>
              <w:spacing w:after="0" w:lineRule="auto" w:line="240"/>
              <w:rPr>
                <w:rFonts w:ascii="Calibri" w:cs="Calibri" w:hAnsi="Calibri"/>
                <w:color w:val="000000"/>
              </w:rPr>
            </w:pPr>
          </w:p>
        </w:tc>
        <w:tc>
          <w:tcPr>
            <w:tcW w:w="1168" w:type="dxa"/>
            <w:tcBorders>
              <w:top w:val="single" w:sz="4" w:space="0" w:color="auto"/>
              <w:bottom w:val="single" w:sz="4" w:space="0" w:color="auto"/>
            </w:tcBorders>
            <w:shd w:val="clear" w:color="auto" w:fill="auto"/>
            <w:noWrap/>
            <w:vAlign w:val="bottom"/>
            <w:hideMark/>
          </w:tcPr>
          <w:p>
            <w:pPr>
              <w:pStyle w:val="style0"/>
              <w:spacing w:after="0" w:lineRule="auto" w:line="240"/>
              <w:rPr>
                <w:rFonts w:ascii="Calibri" w:cs="Calibri" w:hAnsi="Calibri"/>
                <w:color w:val="000000"/>
              </w:rPr>
            </w:pPr>
            <w:r>
              <w:rPr>
                <w:rFonts w:ascii="Calibri" w:cs="Calibri" w:hAnsi="Calibri"/>
                <w:color w:val="000000"/>
              </w:rPr>
              <w:t>Strongly Agree</w:t>
            </w:r>
          </w:p>
        </w:tc>
        <w:tc>
          <w:tcPr>
            <w:tcW w:w="720" w:type="dxa"/>
            <w:tcBorders>
              <w:top w:val="single" w:sz="4" w:space="0" w:color="auto"/>
              <w:bottom w:val="single" w:sz="4" w:space="0" w:color="auto"/>
            </w:tcBorders>
            <w:shd w:val="clear" w:color="auto" w:fill="auto"/>
            <w:noWrap/>
            <w:vAlign w:val="bottom"/>
            <w:hideMark/>
          </w:tcPr>
          <w:p>
            <w:pPr>
              <w:pStyle w:val="style0"/>
              <w:spacing w:after="0" w:lineRule="auto" w:line="240"/>
              <w:rPr>
                <w:rFonts w:ascii="Calibri" w:cs="Calibri" w:hAnsi="Calibri"/>
                <w:color w:val="000000"/>
              </w:rPr>
            </w:pPr>
            <w:r>
              <w:rPr>
                <w:rFonts w:ascii="Calibri" w:cs="Calibri" w:hAnsi="Calibri"/>
                <w:color w:val="000000"/>
              </w:rPr>
              <w:t>Agree</w:t>
            </w:r>
          </w:p>
        </w:tc>
        <w:tc>
          <w:tcPr>
            <w:tcW w:w="866" w:type="dxa"/>
            <w:tcBorders>
              <w:top w:val="single" w:sz="4" w:space="0" w:color="auto"/>
              <w:bottom w:val="single" w:sz="4" w:space="0" w:color="auto"/>
            </w:tcBorders>
            <w:shd w:val="clear" w:color="auto" w:fill="auto"/>
            <w:noWrap/>
            <w:vAlign w:val="bottom"/>
            <w:hideMark/>
          </w:tcPr>
          <w:p>
            <w:pPr>
              <w:pStyle w:val="style0"/>
              <w:spacing w:after="0" w:lineRule="auto" w:line="240"/>
              <w:rPr>
                <w:rFonts w:ascii="Calibri" w:cs="Calibri" w:hAnsi="Calibri"/>
                <w:color w:val="000000"/>
              </w:rPr>
            </w:pPr>
            <w:r>
              <w:rPr>
                <w:rFonts w:ascii="Calibri" w:cs="Calibri" w:hAnsi="Calibri"/>
                <w:color w:val="000000"/>
              </w:rPr>
              <w:t>Neutral</w:t>
            </w:r>
          </w:p>
        </w:tc>
        <w:tc>
          <w:tcPr>
            <w:tcW w:w="969" w:type="dxa"/>
            <w:tcBorders>
              <w:top w:val="single" w:sz="4" w:space="0" w:color="auto"/>
              <w:bottom w:val="single" w:sz="4" w:space="0" w:color="auto"/>
            </w:tcBorders>
            <w:shd w:val="clear" w:color="auto" w:fill="auto"/>
            <w:noWrap/>
            <w:vAlign w:val="bottom"/>
            <w:hideMark/>
          </w:tcPr>
          <w:p>
            <w:pPr>
              <w:pStyle w:val="style0"/>
              <w:spacing w:after="0" w:lineRule="auto" w:line="240"/>
              <w:rPr>
                <w:rFonts w:ascii="Calibri" w:cs="Calibri" w:hAnsi="Calibri"/>
                <w:color w:val="000000"/>
              </w:rPr>
            </w:pPr>
            <w:r>
              <w:rPr>
                <w:rFonts w:ascii="Calibri" w:cs="Calibri" w:hAnsi="Calibri"/>
                <w:color w:val="000000"/>
              </w:rPr>
              <w:t>Disagree</w:t>
            </w:r>
          </w:p>
        </w:tc>
        <w:tc>
          <w:tcPr>
            <w:tcW w:w="969" w:type="dxa"/>
            <w:tcBorders>
              <w:top w:val="single" w:sz="4" w:space="0" w:color="auto"/>
              <w:bottom w:val="single" w:sz="4" w:space="0" w:color="auto"/>
            </w:tcBorders>
            <w:shd w:val="clear" w:color="auto" w:fill="auto"/>
            <w:noWrap/>
            <w:vAlign w:val="bottom"/>
            <w:hideMark/>
          </w:tcPr>
          <w:p>
            <w:pPr>
              <w:pStyle w:val="style0"/>
              <w:spacing w:after="0" w:lineRule="auto" w:line="240"/>
              <w:rPr>
                <w:rFonts w:ascii="Calibri" w:cs="Calibri" w:hAnsi="Calibri"/>
                <w:color w:val="000000"/>
              </w:rPr>
            </w:pPr>
            <w:r>
              <w:rPr>
                <w:rFonts w:ascii="Calibri" w:cs="Calibri" w:hAnsi="Calibri"/>
                <w:color w:val="000000"/>
              </w:rPr>
              <w:t>Strongly Disagree</w:t>
            </w:r>
          </w:p>
        </w:tc>
        <w:tc>
          <w:tcPr>
            <w:tcW w:w="712" w:type="dxa"/>
            <w:tcBorders>
              <w:top w:val="single" w:sz="4" w:space="0" w:color="auto"/>
              <w:bottom w:val="single" w:sz="4" w:space="0" w:color="auto"/>
            </w:tcBorders>
          </w:tcPr>
          <w:p>
            <w:pPr>
              <w:pStyle w:val="style0"/>
              <w:spacing w:after="0" w:lineRule="auto" w:line="240"/>
              <w:rPr>
                <w:rFonts w:ascii="Calibri" w:cs="Calibri" w:hAnsi="Calibri"/>
                <w:color w:val="000000"/>
              </w:rPr>
            </w:pPr>
            <w:r>
              <w:rPr>
                <w:rFonts w:ascii="Calibri" w:cs="Calibri" w:hAnsi="Calibri"/>
                <w:color w:val="000000"/>
              </w:rPr>
              <w:t>Mean</w:t>
            </w:r>
          </w:p>
        </w:tc>
        <w:tc>
          <w:tcPr>
            <w:tcW w:w="579" w:type="dxa"/>
            <w:tcBorders>
              <w:top w:val="single" w:sz="4" w:space="0" w:color="auto"/>
              <w:bottom w:val="single" w:sz="4" w:space="0" w:color="auto"/>
            </w:tcBorders>
          </w:tcPr>
          <w:p>
            <w:pPr>
              <w:pStyle w:val="style0"/>
              <w:spacing w:after="0" w:lineRule="auto" w:line="240"/>
              <w:rPr>
                <w:rFonts w:ascii="Calibri" w:cs="Calibri" w:hAnsi="Calibri"/>
                <w:color w:val="000000"/>
              </w:rPr>
            </w:pPr>
            <w:r>
              <w:rPr>
                <w:rFonts w:ascii="Calibri" w:cs="Calibri" w:hAnsi="Calibri"/>
                <w:color w:val="000000"/>
              </w:rPr>
              <w:t>SD</w:t>
            </w:r>
          </w:p>
        </w:tc>
      </w:tr>
      <w:tr>
        <w:tblPrEx/>
        <w:trPr>
          <w:trHeight w:val="179" w:hRule="atLeast"/>
          <w:jc w:val="center"/>
        </w:trPr>
        <w:tc>
          <w:tcPr>
            <w:tcW w:w="2452" w:type="dxa"/>
            <w:tcBorders>
              <w:top w:val="single" w:sz="4" w:space="0" w:color="auto"/>
            </w:tcBorders>
            <w:shd w:val="clear" w:color="auto" w:fill="auto"/>
            <w:noWrap/>
            <w:vAlign w:val="bottom"/>
            <w:hideMark/>
          </w:tcPr>
          <w:p>
            <w:pPr>
              <w:pStyle w:val="style0"/>
              <w:spacing w:after="0" w:lineRule="auto" w:line="240"/>
              <w:rPr>
                <w:rFonts w:ascii="Calibri" w:cs="Calibri" w:hAnsi="Calibri"/>
                <w:color w:val="000000"/>
              </w:rPr>
            </w:pPr>
            <w:r>
              <w:rPr>
                <w:rFonts w:ascii="Calibri" w:cs="Calibri" w:hAnsi="Calibri"/>
                <w:color w:val="000000"/>
              </w:rPr>
              <w:t>Air pollution</w:t>
            </w:r>
          </w:p>
        </w:tc>
        <w:tc>
          <w:tcPr>
            <w:tcW w:w="1168" w:type="dxa"/>
            <w:tcBorders>
              <w:top w:val="single" w:sz="4" w:space="0" w:color="auto"/>
            </w:tcBorders>
            <w:shd w:val="clear" w:color="auto" w:fill="auto"/>
            <w:noWrap/>
            <w:vAlign w:val="bottom"/>
            <w:hideMark/>
          </w:tcPr>
          <w:p>
            <w:pPr>
              <w:pStyle w:val="style0"/>
              <w:spacing w:after="0" w:lineRule="auto" w:line="240"/>
              <w:rPr>
                <w:rFonts w:ascii="Calibri" w:cs="Calibri" w:hAnsi="Calibri"/>
                <w:color w:val="000000"/>
              </w:rPr>
            </w:pPr>
            <w:r>
              <w:rPr>
                <w:rFonts w:ascii="Calibri" w:cs="Calibri" w:hAnsi="Calibri"/>
                <w:color w:val="000000"/>
              </w:rPr>
              <w:t>14</w:t>
            </w:r>
          </w:p>
        </w:tc>
        <w:tc>
          <w:tcPr>
            <w:tcW w:w="720" w:type="dxa"/>
            <w:tcBorders>
              <w:top w:val="single" w:sz="4" w:space="0" w:color="auto"/>
            </w:tcBorders>
            <w:shd w:val="clear" w:color="auto" w:fill="auto"/>
            <w:noWrap/>
            <w:vAlign w:val="bottom"/>
            <w:hideMark/>
          </w:tcPr>
          <w:p>
            <w:pPr>
              <w:pStyle w:val="style0"/>
              <w:spacing w:after="0" w:lineRule="auto" w:line="240"/>
              <w:rPr>
                <w:rFonts w:ascii="Calibri" w:cs="Calibri" w:hAnsi="Calibri"/>
                <w:color w:val="000000"/>
              </w:rPr>
            </w:pPr>
            <w:r>
              <w:rPr>
                <w:rFonts w:ascii="Calibri" w:cs="Calibri" w:hAnsi="Calibri"/>
                <w:color w:val="000000"/>
              </w:rPr>
              <w:t>16</w:t>
            </w:r>
          </w:p>
        </w:tc>
        <w:tc>
          <w:tcPr>
            <w:tcW w:w="866" w:type="dxa"/>
            <w:tcBorders>
              <w:top w:val="single" w:sz="4" w:space="0" w:color="auto"/>
            </w:tcBorders>
            <w:shd w:val="clear" w:color="auto" w:fill="auto"/>
            <w:noWrap/>
            <w:vAlign w:val="bottom"/>
            <w:hideMark/>
          </w:tcPr>
          <w:p>
            <w:pPr>
              <w:pStyle w:val="style0"/>
              <w:spacing w:after="0" w:lineRule="auto" w:line="240"/>
              <w:rPr>
                <w:rFonts w:ascii="Calibri" w:cs="Calibri" w:hAnsi="Calibri"/>
                <w:color w:val="000000"/>
              </w:rPr>
            </w:pPr>
            <w:r>
              <w:rPr>
                <w:rFonts w:ascii="Calibri" w:cs="Calibri" w:hAnsi="Calibri"/>
                <w:color w:val="000000"/>
              </w:rPr>
              <w:t>13</w:t>
            </w:r>
          </w:p>
        </w:tc>
        <w:tc>
          <w:tcPr>
            <w:tcW w:w="969" w:type="dxa"/>
            <w:tcBorders>
              <w:top w:val="single" w:sz="4" w:space="0" w:color="auto"/>
            </w:tcBorders>
            <w:shd w:val="clear" w:color="auto" w:fill="auto"/>
            <w:noWrap/>
            <w:vAlign w:val="bottom"/>
            <w:hideMark/>
          </w:tcPr>
          <w:p>
            <w:pPr>
              <w:pStyle w:val="style0"/>
              <w:spacing w:after="0" w:lineRule="auto" w:line="240"/>
              <w:rPr>
                <w:rFonts w:ascii="Calibri" w:cs="Calibri" w:hAnsi="Calibri"/>
                <w:color w:val="000000"/>
              </w:rPr>
            </w:pPr>
            <w:r>
              <w:rPr>
                <w:rFonts w:ascii="Calibri" w:cs="Calibri" w:hAnsi="Calibri"/>
                <w:color w:val="000000"/>
              </w:rPr>
              <w:t>28</w:t>
            </w:r>
          </w:p>
        </w:tc>
        <w:tc>
          <w:tcPr>
            <w:tcW w:w="969" w:type="dxa"/>
            <w:tcBorders>
              <w:top w:val="single" w:sz="4" w:space="0" w:color="auto"/>
            </w:tcBorders>
            <w:shd w:val="clear" w:color="auto" w:fill="auto"/>
            <w:noWrap/>
            <w:vAlign w:val="bottom"/>
            <w:hideMark/>
          </w:tcPr>
          <w:p>
            <w:pPr>
              <w:pStyle w:val="style0"/>
              <w:spacing w:after="0" w:lineRule="auto" w:line="240"/>
              <w:rPr>
                <w:rFonts w:ascii="Calibri" w:cs="Calibri" w:hAnsi="Calibri"/>
                <w:color w:val="000000"/>
              </w:rPr>
            </w:pPr>
            <w:r>
              <w:rPr>
                <w:rFonts w:ascii="Calibri" w:cs="Calibri" w:hAnsi="Calibri"/>
                <w:color w:val="000000"/>
              </w:rPr>
              <w:t>28</w:t>
            </w:r>
          </w:p>
        </w:tc>
        <w:tc>
          <w:tcPr>
            <w:tcW w:w="712" w:type="dxa"/>
            <w:tcBorders>
              <w:top w:val="single" w:sz="4" w:space="0" w:color="auto"/>
            </w:tcBorders>
          </w:tcPr>
          <w:p>
            <w:pPr>
              <w:pStyle w:val="style0"/>
              <w:spacing w:after="0" w:lineRule="auto" w:line="240"/>
              <w:rPr>
                <w:rFonts w:ascii="Calibri" w:cs="Calibri" w:hAnsi="Calibri"/>
                <w:color w:val="000000"/>
              </w:rPr>
            </w:pPr>
            <w:r>
              <w:t xml:space="preserve"> 2.62  </w:t>
            </w:r>
          </w:p>
        </w:tc>
        <w:tc>
          <w:tcPr>
            <w:tcW w:w="579" w:type="dxa"/>
            <w:tcBorders>
              <w:top w:val="single" w:sz="4" w:space="0" w:color="auto"/>
            </w:tcBorders>
          </w:tcPr>
          <w:p>
            <w:pPr>
              <w:pStyle w:val="style0"/>
              <w:spacing w:after="0" w:lineRule="auto" w:line="240"/>
              <w:rPr>
                <w:rFonts w:ascii="Calibri" w:cs="Calibri" w:hAnsi="Calibri"/>
                <w:color w:val="000000"/>
              </w:rPr>
            </w:pPr>
            <w:r>
              <w:t xml:space="preserve">1.41  </w:t>
            </w:r>
          </w:p>
        </w:tc>
      </w:tr>
      <w:tr>
        <w:tblPrEx/>
        <w:trPr>
          <w:trHeight w:val="179" w:hRule="atLeast"/>
          <w:jc w:val="center"/>
        </w:trPr>
        <w:tc>
          <w:tcPr>
            <w:tcW w:w="2452" w:type="dxa"/>
            <w:tcBorders/>
            <w:shd w:val="clear" w:color="auto" w:fill="auto"/>
            <w:noWrap/>
            <w:vAlign w:val="bottom"/>
            <w:hideMark/>
          </w:tcPr>
          <w:p>
            <w:pPr>
              <w:pStyle w:val="style0"/>
              <w:spacing w:after="0" w:lineRule="auto" w:line="240"/>
              <w:rPr>
                <w:rFonts w:ascii="Calibri" w:cs="Calibri" w:hAnsi="Calibri"/>
                <w:color w:val="000000"/>
              </w:rPr>
            </w:pPr>
            <w:r>
              <w:rPr>
                <w:rFonts w:ascii="Calibri" w:cs="Calibri" w:hAnsi="Calibri"/>
                <w:color w:val="000000"/>
              </w:rPr>
              <w:t>Deforestation</w:t>
            </w:r>
          </w:p>
        </w:tc>
        <w:tc>
          <w:tcPr>
            <w:tcW w:w="1168" w:type="dxa"/>
            <w:tcBorders/>
            <w:shd w:val="clear" w:color="auto" w:fill="auto"/>
            <w:noWrap/>
            <w:vAlign w:val="bottom"/>
            <w:hideMark/>
          </w:tcPr>
          <w:p>
            <w:pPr>
              <w:pStyle w:val="style0"/>
              <w:spacing w:after="0" w:lineRule="auto" w:line="240"/>
              <w:rPr>
                <w:rFonts w:ascii="Calibri" w:cs="Calibri" w:hAnsi="Calibri"/>
                <w:color w:val="000000"/>
              </w:rPr>
            </w:pPr>
            <w:r>
              <w:rPr>
                <w:rFonts w:ascii="Calibri" w:cs="Calibri" w:hAnsi="Calibri"/>
                <w:color w:val="000000"/>
              </w:rPr>
              <w:t>12</w:t>
            </w:r>
          </w:p>
        </w:tc>
        <w:tc>
          <w:tcPr>
            <w:tcW w:w="720" w:type="dxa"/>
            <w:tcBorders/>
            <w:shd w:val="clear" w:color="auto" w:fill="auto"/>
            <w:noWrap/>
            <w:vAlign w:val="bottom"/>
            <w:hideMark/>
          </w:tcPr>
          <w:p>
            <w:pPr>
              <w:pStyle w:val="style0"/>
              <w:spacing w:after="0" w:lineRule="auto" w:line="240"/>
              <w:rPr>
                <w:rFonts w:ascii="Calibri" w:cs="Calibri" w:hAnsi="Calibri"/>
                <w:color w:val="000000"/>
              </w:rPr>
            </w:pPr>
            <w:r>
              <w:rPr>
                <w:rFonts w:ascii="Calibri" w:cs="Calibri" w:hAnsi="Calibri"/>
                <w:color w:val="000000"/>
              </w:rPr>
              <w:t>18</w:t>
            </w:r>
          </w:p>
        </w:tc>
        <w:tc>
          <w:tcPr>
            <w:tcW w:w="866" w:type="dxa"/>
            <w:tcBorders/>
            <w:shd w:val="clear" w:color="auto" w:fill="auto"/>
            <w:noWrap/>
            <w:vAlign w:val="bottom"/>
            <w:hideMark/>
          </w:tcPr>
          <w:p>
            <w:pPr>
              <w:pStyle w:val="style0"/>
              <w:spacing w:after="0" w:lineRule="auto" w:line="240"/>
              <w:rPr>
                <w:rFonts w:ascii="Calibri" w:cs="Calibri" w:hAnsi="Calibri"/>
                <w:color w:val="000000"/>
              </w:rPr>
            </w:pPr>
            <w:r>
              <w:rPr>
                <w:rFonts w:ascii="Calibri" w:cs="Calibri" w:hAnsi="Calibri"/>
                <w:color w:val="000000"/>
              </w:rPr>
              <w:t>18</w:t>
            </w:r>
          </w:p>
        </w:tc>
        <w:tc>
          <w:tcPr>
            <w:tcW w:w="969" w:type="dxa"/>
            <w:tcBorders/>
            <w:shd w:val="clear" w:color="auto" w:fill="auto"/>
            <w:noWrap/>
            <w:vAlign w:val="bottom"/>
            <w:hideMark/>
          </w:tcPr>
          <w:p>
            <w:pPr>
              <w:pStyle w:val="style0"/>
              <w:spacing w:after="0" w:lineRule="auto" w:line="240"/>
              <w:rPr>
                <w:rFonts w:ascii="Calibri" w:cs="Calibri" w:hAnsi="Calibri"/>
                <w:color w:val="000000"/>
              </w:rPr>
            </w:pPr>
            <w:r>
              <w:rPr>
                <w:rFonts w:ascii="Calibri" w:cs="Calibri" w:hAnsi="Calibri"/>
                <w:color w:val="000000"/>
              </w:rPr>
              <w:t>21</w:t>
            </w:r>
          </w:p>
        </w:tc>
        <w:tc>
          <w:tcPr>
            <w:tcW w:w="969" w:type="dxa"/>
            <w:tcBorders/>
            <w:shd w:val="clear" w:color="auto" w:fill="auto"/>
            <w:noWrap/>
            <w:vAlign w:val="bottom"/>
            <w:hideMark/>
          </w:tcPr>
          <w:p>
            <w:pPr>
              <w:pStyle w:val="style0"/>
              <w:spacing w:after="0" w:lineRule="auto" w:line="240"/>
              <w:rPr>
                <w:rFonts w:ascii="Calibri" w:cs="Calibri" w:hAnsi="Calibri"/>
                <w:color w:val="000000"/>
              </w:rPr>
            </w:pPr>
            <w:r>
              <w:rPr>
                <w:rFonts w:ascii="Calibri" w:cs="Calibri" w:hAnsi="Calibri"/>
                <w:color w:val="000000"/>
              </w:rPr>
              <w:t>30</w:t>
            </w:r>
          </w:p>
        </w:tc>
        <w:tc>
          <w:tcPr>
            <w:tcW w:w="712" w:type="dxa"/>
            <w:tcBorders/>
          </w:tcPr>
          <w:p>
            <w:pPr>
              <w:pStyle w:val="style0"/>
              <w:spacing w:after="0" w:lineRule="auto" w:line="240"/>
              <w:rPr>
                <w:rFonts w:ascii="Calibri" w:cs="Calibri" w:hAnsi="Calibri"/>
                <w:color w:val="000000"/>
              </w:rPr>
            </w:pPr>
            <w:r>
              <w:t xml:space="preserve"> 2.58  </w:t>
            </w:r>
          </w:p>
        </w:tc>
        <w:tc>
          <w:tcPr>
            <w:tcW w:w="579" w:type="dxa"/>
            <w:tcBorders/>
          </w:tcPr>
          <w:p>
            <w:pPr>
              <w:pStyle w:val="style0"/>
              <w:spacing w:after="0" w:lineRule="auto" w:line="240"/>
              <w:rPr>
                <w:rFonts w:ascii="Calibri" w:cs="Calibri" w:hAnsi="Calibri"/>
                <w:color w:val="000000"/>
              </w:rPr>
            </w:pPr>
            <w:r>
              <w:t xml:space="preserve">1.37  </w:t>
            </w:r>
          </w:p>
        </w:tc>
      </w:tr>
      <w:tr>
        <w:tblPrEx/>
        <w:trPr>
          <w:trHeight w:val="179" w:hRule="atLeast"/>
          <w:jc w:val="center"/>
        </w:trPr>
        <w:tc>
          <w:tcPr>
            <w:tcW w:w="2452" w:type="dxa"/>
            <w:tcBorders/>
            <w:shd w:val="clear" w:color="auto" w:fill="auto"/>
            <w:noWrap/>
            <w:vAlign w:val="bottom"/>
            <w:hideMark/>
          </w:tcPr>
          <w:p>
            <w:pPr>
              <w:pStyle w:val="style0"/>
              <w:spacing w:after="0" w:lineRule="auto" w:line="240"/>
              <w:rPr>
                <w:rFonts w:ascii="Calibri" w:cs="Calibri" w:hAnsi="Calibri"/>
                <w:color w:val="000000"/>
              </w:rPr>
            </w:pPr>
            <w:r>
              <w:rPr>
                <w:rFonts w:ascii="Calibri" w:cs="Calibri" w:hAnsi="Calibri"/>
                <w:color w:val="000000"/>
              </w:rPr>
              <w:t>Soil erosion</w:t>
            </w:r>
          </w:p>
        </w:tc>
        <w:tc>
          <w:tcPr>
            <w:tcW w:w="1168" w:type="dxa"/>
            <w:tcBorders/>
            <w:shd w:val="clear" w:color="auto" w:fill="auto"/>
            <w:noWrap/>
            <w:vAlign w:val="bottom"/>
            <w:hideMark/>
          </w:tcPr>
          <w:p>
            <w:pPr>
              <w:pStyle w:val="style0"/>
              <w:spacing w:after="0" w:lineRule="auto" w:line="240"/>
              <w:rPr>
                <w:rFonts w:ascii="Calibri" w:cs="Calibri" w:hAnsi="Calibri"/>
                <w:color w:val="000000"/>
              </w:rPr>
            </w:pPr>
            <w:r>
              <w:rPr>
                <w:rFonts w:ascii="Calibri" w:cs="Calibri" w:hAnsi="Calibri"/>
                <w:color w:val="000000"/>
              </w:rPr>
              <w:t>17</w:t>
            </w:r>
          </w:p>
        </w:tc>
        <w:tc>
          <w:tcPr>
            <w:tcW w:w="720" w:type="dxa"/>
            <w:tcBorders/>
            <w:shd w:val="clear" w:color="auto" w:fill="auto"/>
            <w:noWrap/>
            <w:vAlign w:val="bottom"/>
            <w:hideMark/>
          </w:tcPr>
          <w:p>
            <w:pPr>
              <w:pStyle w:val="style0"/>
              <w:spacing w:after="0" w:lineRule="auto" w:line="240"/>
              <w:rPr>
                <w:rFonts w:ascii="Calibri" w:cs="Calibri" w:hAnsi="Calibri"/>
                <w:color w:val="000000"/>
              </w:rPr>
            </w:pPr>
            <w:r>
              <w:rPr>
                <w:rFonts w:ascii="Calibri" w:cs="Calibri" w:hAnsi="Calibri"/>
                <w:color w:val="000000"/>
              </w:rPr>
              <w:t>13</w:t>
            </w:r>
          </w:p>
        </w:tc>
        <w:tc>
          <w:tcPr>
            <w:tcW w:w="866" w:type="dxa"/>
            <w:tcBorders/>
            <w:shd w:val="clear" w:color="auto" w:fill="auto"/>
            <w:noWrap/>
            <w:vAlign w:val="bottom"/>
            <w:hideMark/>
          </w:tcPr>
          <w:p>
            <w:pPr>
              <w:pStyle w:val="style0"/>
              <w:spacing w:after="0" w:lineRule="auto" w:line="240"/>
              <w:rPr>
                <w:rFonts w:ascii="Calibri" w:cs="Calibri" w:hAnsi="Calibri"/>
                <w:color w:val="000000"/>
              </w:rPr>
            </w:pPr>
            <w:r>
              <w:rPr>
                <w:rFonts w:ascii="Calibri" w:cs="Calibri" w:hAnsi="Calibri"/>
                <w:color w:val="000000"/>
              </w:rPr>
              <w:t>27</w:t>
            </w:r>
          </w:p>
        </w:tc>
        <w:tc>
          <w:tcPr>
            <w:tcW w:w="969" w:type="dxa"/>
            <w:tcBorders/>
            <w:shd w:val="clear" w:color="auto" w:fill="auto"/>
            <w:noWrap/>
            <w:vAlign w:val="bottom"/>
            <w:hideMark/>
          </w:tcPr>
          <w:p>
            <w:pPr>
              <w:pStyle w:val="style0"/>
              <w:spacing w:after="0" w:lineRule="auto" w:line="240"/>
              <w:rPr>
                <w:rFonts w:ascii="Calibri" w:cs="Calibri" w:hAnsi="Calibri"/>
                <w:color w:val="000000"/>
              </w:rPr>
            </w:pPr>
            <w:r>
              <w:rPr>
                <w:rFonts w:ascii="Calibri" w:cs="Calibri" w:hAnsi="Calibri"/>
                <w:color w:val="000000"/>
              </w:rPr>
              <w:t>18</w:t>
            </w:r>
          </w:p>
        </w:tc>
        <w:tc>
          <w:tcPr>
            <w:tcW w:w="969" w:type="dxa"/>
            <w:tcBorders/>
            <w:shd w:val="clear" w:color="auto" w:fill="auto"/>
            <w:noWrap/>
            <w:vAlign w:val="bottom"/>
            <w:hideMark/>
          </w:tcPr>
          <w:p>
            <w:pPr>
              <w:pStyle w:val="style0"/>
              <w:spacing w:after="0" w:lineRule="auto" w:line="240"/>
              <w:rPr>
                <w:rFonts w:ascii="Calibri" w:cs="Calibri" w:hAnsi="Calibri"/>
                <w:color w:val="000000"/>
              </w:rPr>
            </w:pPr>
            <w:r>
              <w:rPr>
                <w:rFonts w:ascii="Calibri" w:cs="Calibri" w:hAnsi="Calibri"/>
                <w:color w:val="000000"/>
              </w:rPr>
              <w:t>24</w:t>
            </w:r>
          </w:p>
        </w:tc>
        <w:tc>
          <w:tcPr>
            <w:tcW w:w="712" w:type="dxa"/>
            <w:tcBorders/>
          </w:tcPr>
          <w:p>
            <w:pPr>
              <w:pStyle w:val="style0"/>
              <w:spacing w:after="0" w:lineRule="auto" w:line="240"/>
              <w:rPr>
                <w:rFonts w:ascii="Calibri" w:cs="Calibri" w:hAnsi="Calibri"/>
                <w:color w:val="000000"/>
              </w:rPr>
            </w:pPr>
            <w:r>
              <w:t xml:space="preserve"> 2.86  </w:t>
            </w:r>
          </w:p>
        </w:tc>
        <w:tc>
          <w:tcPr>
            <w:tcW w:w="579" w:type="dxa"/>
            <w:tcBorders/>
          </w:tcPr>
          <w:p>
            <w:pPr>
              <w:pStyle w:val="style0"/>
              <w:spacing w:after="0" w:lineRule="auto" w:line="240"/>
              <w:rPr>
                <w:rFonts w:ascii="Calibri" w:cs="Calibri" w:hAnsi="Calibri"/>
                <w:color w:val="000000"/>
              </w:rPr>
            </w:pPr>
            <w:r>
              <w:t xml:space="preserve">1.35  </w:t>
            </w:r>
          </w:p>
        </w:tc>
      </w:tr>
      <w:tr>
        <w:tblPrEx/>
        <w:trPr>
          <w:trHeight w:val="179" w:hRule="atLeast"/>
          <w:jc w:val="center"/>
        </w:trPr>
        <w:tc>
          <w:tcPr>
            <w:tcW w:w="2452" w:type="dxa"/>
            <w:tcBorders>
              <w:bottom w:val="single" w:sz="4" w:space="0" w:color="auto"/>
            </w:tcBorders>
            <w:shd w:val="clear" w:color="auto" w:fill="auto"/>
            <w:noWrap/>
            <w:vAlign w:val="bottom"/>
            <w:hideMark/>
          </w:tcPr>
          <w:p>
            <w:pPr>
              <w:pStyle w:val="style0"/>
              <w:spacing w:after="0" w:lineRule="auto" w:line="240"/>
              <w:rPr>
                <w:rFonts w:ascii="Calibri" w:cs="Calibri" w:hAnsi="Calibri"/>
                <w:color w:val="000000"/>
              </w:rPr>
            </w:pPr>
            <w:r>
              <w:rPr>
                <w:rFonts w:ascii="Calibri" w:cs="Calibri" w:hAnsi="Calibri"/>
                <w:color w:val="000000"/>
              </w:rPr>
              <w:t>Land degradation</w:t>
            </w:r>
          </w:p>
        </w:tc>
        <w:tc>
          <w:tcPr>
            <w:tcW w:w="1168" w:type="dxa"/>
            <w:tcBorders>
              <w:bottom w:val="single" w:sz="4" w:space="0" w:color="auto"/>
            </w:tcBorders>
            <w:shd w:val="clear" w:color="auto" w:fill="auto"/>
            <w:noWrap/>
            <w:vAlign w:val="bottom"/>
            <w:hideMark/>
          </w:tcPr>
          <w:p>
            <w:pPr>
              <w:pStyle w:val="style0"/>
              <w:spacing w:after="0" w:lineRule="auto" w:line="240"/>
              <w:rPr>
                <w:rFonts w:ascii="Calibri" w:cs="Calibri" w:hAnsi="Calibri"/>
                <w:color w:val="000000"/>
              </w:rPr>
            </w:pPr>
            <w:r>
              <w:rPr>
                <w:rFonts w:ascii="Calibri" w:cs="Calibri" w:hAnsi="Calibri"/>
                <w:color w:val="000000"/>
              </w:rPr>
              <w:t>18</w:t>
            </w:r>
          </w:p>
        </w:tc>
        <w:tc>
          <w:tcPr>
            <w:tcW w:w="720" w:type="dxa"/>
            <w:tcBorders>
              <w:bottom w:val="single" w:sz="4" w:space="0" w:color="auto"/>
            </w:tcBorders>
            <w:shd w:val="clear" w:color="auto" w:fill="auto"/>
            <w:noWrap/>
            <w:vAlign w:val="bottom"/>
            <w:hideMark/>
          </w:tcPr>
          <w:p>
            <w:pPr>
              <w:pStyle w:val="style0"/>
              <w:spacing w:after="0" w:lineRule="auto" w:line="240"/>
              <w:rPr>
                <w:rFonts w:ascii="Calibri" w:cs="Calibri" w:hAnsi="Calibri"/>
                <w:color w:val="000000"/>
              </w:rPr>
            </w:pPr>
            <w:r>
              <w:rPr>
                <w:rFonts w:ascii="Calibri" w:cs="Calibri" w:hAnsi="Calibri"/>
                <w:color w:val="000000"/>
              </w:rPr>
              <w:t>14</w:t>
            </w:r>
          </w:p>
        </w:tc>
        <w:tc>
          <w:tcPr>
            <w:tcW w:w="866" w:type="dxa"/>
            <w:tcBorders>
              <w:bottom w:val="single" w:sz="4" w:space="0" w:color="auto"/>
            </w:tcBorders>
            <w:shd w:val="clear" w:color="auto" w:fill="auto"/>
            <w:noWrap/>
            <w:vAlign w:val="bottom"/>
            <w:hideMark/>
          </w:tcPr>
          <w:p>
            <w:pPr>
              <w:pStyle w:val="style0"/>
              <w:spacing w:after="0" w:lineRule="auto" w:line="240"/>
              <w:rPr>
                <w:rFonts w:ascii="Calibri" w:cs="Calibri" w:hAnsi="Calibri"/>
                <w:color w:val="000000"/>
              </w:rPr>
            </w:pPr>
            <w:r>
              <w:rPr>
                <w:rFonts w:ascii="Calibri" w:cs="Calibri" w:hAnsi="Calibri"/>
                <w:color w:val="000000"/>
              </w:rPr>
              <w:t>17</w:t>
            </w:r>
          </w:p>
        </w:tc>
        <w:tc>
          <w:tcPr>
            <w:tcW w:w="969" w:type="dxa"/>
            <w:tcBorders>
              <w:bottom w:val="single" w:sz="4" w:space="0" w:color="auto"/>
            </w:tcBorders>
            <w:shd w:val="clear" w:color="auto" w:fill="auto"/>
            <w:noWrap/>
            <w:vAlign w:val="bottom"/>
            <w:hideMark/>
          </w:tcPr>
          <w:p>
            <w:pPr>
              <w:pStyle w:val="style0"/>
              <w:spacing w:after="0" w:lineRule="auto" w:line="240"/>
              <w:rPr>
                <w:rFonts w:ascii="Calibri" w:cs="Calibri" w:hAnsi="Calibri"/>
                <w:color w:val="000000"/>
              </w:rPr>
            </w:pPr>
            <w:r>
              <w:rPr>
                <w:rFonts w:ascii="Calibri" w:cs="Calibri" w:hAnsi="Calibri"/>
                <w:color w:val="000000"/>
              </w:rPr>
              <w:t>27</w:t>
            </w:r>
          </w:p>
        </w:tc>
        <w:tc>
          <w:tcPr>
            <w:tcW w:w="969" w:type="dxa"/>
            <w:tcBorders>
              <w:bottom w:val="single" w:sz="4" w:space="0" w:color="auto"/>
            </w:tcBorders>
            <w:shd w:val="clear" w:color="auto" w:fill="auto"/>
            <w:noWrap/>
            <w:vAlign w:val="bottom"/>
            <w:hideMark/>
          </w:tcPr>
          <w:p>
            <w:pPr>
              <w:pStyle w:val="style0"/>
              <w:spacing w:after="0" w:lineRule="auto" w:line="240"/>
              <w:rPr>
                <w:rFonts w:ascii="Calibri" w:cs="Calibri" w:hAnsi="Calibri"/>
                <w:color w:val="000000"/>
              </w:rPr>
            </w:pPr>
            <w:r>
              <w:rPr>
                <w:rFonts w:ascii="Calibri" w:cs="Calibri" w:hAnsi="Calibri"/>
                <w:color w:val="000000"/>
              </w:rPr>
              <w:t>23</w:t>
            </w:r>
          </w:p>
        </w:tc>
        <w:tc>
          <w:tcPr>
            <w:tcW w:w="712" w:type="dxa"/>
            <w:tcBorders>
              <w:bottom w:val="single" w:sz="4" w:space="0" w:color="auto"/>
            </w:tcBorders>
          </w:tcPr>
          <w:p>
            <w:pPr>
              <w:pStyle w:val="style0"/>
              <w:spacing w:after="0" w:lineRule="auto" w:line="240"/>
              <w:rPr/>
            </w:pPr>
            <w:r>
              <w:t xml:space="preserve"> 2.80  </w:t>
            </w:r>
          </w:p>
        </w:tc>
        <w:tc>
          <w:tcPr>
            <w:tcW w:w="579" w:type="dxa"/>
            <w:tcBorders>
              <w:bottom w:val="single" w:sz="4" w:space="0" w:color="auto"/>
            </w:tcBorders>
          </w:tcPr>
          <w:p>
            <w:pPr>
              <w:pStyle w:val="style0"/>
              <w:spacing w:after="0" w:lineRule="auto" w:line="240"/>
              <w:rPr>
                <w:rFonts w:ascii="Calibri" w:cs="Calibri" w:hAnsi="Calibri"/>
                <w:color w:val="000000"/>
              </w:rPr>
            </w:pPr>
            <w:r>
              <w:t xml:space="preserve">1.41  </w:t>
            </w:r>
          </w:p>
        </w:tc>
      </w:tr>
      <w:bookmarkStart w:id="129" w:name="_Toc178076743"/>
    </w:tbl>
    <w:p>
      <w:pPr>
        <w:pStyle w:val="style2"/>
        <w:tabs>
          <w:tab w:val="left" w:leader="none" w:pos="540"/>
          <w:tab w:val="left" w:leader="none" w:pos="3240"/>
        </w:tabs>
        <w:spacing w:before="240" w:beforeAutospacing="false" w:lineRule="auto" w:line="480"/>
        <w:rPr>
          <w:rFonts w:ascii="Times New Roman" w:cs="Times New Roman" w:hAnsi="Times New Roman"/>
          <w:b/>
          <w:color w:val="000000"/>
          <w:sz w:val="24"/>
          <w:szCs w:val="24"/>
        </w:rPr>
      </w:pPr>
      <w:r>
        <w:rPr>
          <w:rFonts w:ascii="Times New Roman" w:cs="Times New Roman" w:hAnsi="Times New Roman"/>
          <w:b/>
          <w:color w:val="000000"/>
          <w:sz w:val="24"/>
          <w:szCs w:val="24"/>
        </w:rPr>
        <w:t xml:space="preserve">4.4 Coping strategies on the use of </w:t>
      </w:r>
      <w:r>
        <w:rPr>
          <w:rFonts w:ascii="Times New Roman" w:cs="Times New Roman" w:hAnsi="Times New Roman"/>
          <w:b/>
          <w:color w:val="000000"/>
          <w:sz w:val="24"/>
          <w:szCs w:val="24"/>
        </w:rPr>
        <w:t>wood fuel</w:t>
      </w:r>
      <w:bookmarkEnd w:id="129"/>
    </w:p>
    <w:p>
      <w:pPr>
        <w:pStyle w:val="style0"/>
        <w:spacing w:lineRule="auto" w:line="480"/>
        <w:rPr/>
      </w:pPr>
      <w:r>
        <w:t xml:space="preserve">In Mazingara Ward, one of the primary strategies to reduce the negative effects of wood fuel consumption is the adoption of improved stoves. However, analysis reveals that the majority of residents have not embraced this technology. This indicates a </w:t>
      </w:r>
      <w:r>
        <w:t>significant preference for traditional stoves, possibly due to barriers such as cost, accessibility, or lack of awareness about the benefits of improved stoves. The local authorities, through the Natural Resources and Environment Officer, have promoted alternative cooking technologies, such as improved firewood stoves, gas stoves, and electric cookers. Despite these efforts, the adoption rate of cleaner cooking technologies remains low, primarily due to the costs associated with maintenance and purchasing these alternatives.</w:t>
      </w:r>
      <w:r>
        <w:t xml:space="preserve"> </w:t>
      </w:r>
      <w:r>
        <w:t>This effort aligns with the Clean Energy Campaign initiated by President Samia Suluhu Hassan in 2024, part of a broader governmental effort to reduce reliance on wood fuel and fossil fuels like charcoal. However, awareness levels regarding alternative energy sources and clean energy practices vary among respondents. The Ministry of Energy has suggested alternatives, including gas, to reduce wood fuel dependency, but many respondents still hold the perception that using different energy types and stoves, compared to traditional methods, does not necessarily conserve trees.</w:t>
      </w:r>
    </w:p>
    <w:p>
      <w:pPr>
        <w:pStyle w:val="style0"/>
        <w:spacing w:lineRule="auto" w:line="480"/>
        <w:rPr>
          <w:b/>
          <w:bCs/>
        </w:rPr>
      </w:pPr>
      <w:r>
        <w:rPr>
          <w:b/>
          <w:bCs/>
        </w:rPr>
        <w:t>4.4.1 Management of Harvesting Areas</w:t>
      </w:r>
    </w:p>
    <w:p>
      <w:pPr>
        <w:pStyle w:val="style0"/>
        <w:spacing w:lineRule="auto" w:line="480"/>
        <w:rPr/>
      </w:pPr>
      <w:r>
        <w:t xml:space="preserve">The management of harvesting areas plays a crucial role in controlling wood fuel usage in Mazingara Ward. This involves implementing restricted harvesting practices and initiating </w:t>
      </w:r>
      <w:r>
        <w:t>tree-planting</w:t>
      </w:r>
      <w:r>
        <w:t xml:space="preserve"> efforts to ensure sustainable forest management. The types of trees harvested in the area include Acacia, Moringa, and Eucalyptus. To combat deforestation, authorities have promoted the planting of species such as Neem</w:t>
      </w:r>
      <w:r>
        <w:t xml:space="preserve"> and</w:t>
      </w:r>
      <w:r>
        <w:t xml:space="preserve"> Grevillea</w:t>
      </w:r>
      <w:r>
        <w:t xml:space="preserve"> as shown in </w:t>
      </w:r>
      <w:r>
        <w:t>P</w:t>
      </w:r>
      <w:r>
        <w:t>late 4 and 5</w:t>
      </w:r>
      <w:r>
        <w:t>.</w:t>
      </w:r>
      <w:r>
        <w:t xml:space="preserve"> </w:t>
      </w:r>
      <w:r>
        <w:t>Since 2018, the following numbers of trees have been planted per species to counterbalance the effects of tree harvesting</w:t>
      </w:r>
      <w:r>
        <w:t xml:space="preserve"> (Table 10)</w:t>
      </w:r>
      <w:r>
        <w:t>:</w:t>
      </w:r>
    </w:p>
    <w:bookmarkStart w:id="130" w:name="_Toc177668545"/>
    <w:p>
      <w:pPr>
        <w:pStyle w:val="style34"/>
        <w:keepNext/>
        <w:rPr>
          <w:i w:val="false"/>
          <w:iCs w:val="false"/>
          <w:color w:val="000000"/>
          <w:sz w:val="24"/>
          <w:szCs w:val="24"/>
        </w:rPr>
      </w:pPr>
      <w:r>
        <w:rPr>
          <w:i w:val="false"/>
          <w:iCs w:val="false"/>
          <w:color w:val="000000"/>
          <w:sz w:val="24"/>
          <w:szCs w:val="24"/>
        </w:rPr>
        <w:t xml:space="preserve">Table </w:t>
      </w:r>
      <w:r>
        <w:rPr>
          <w:i w:val="false"/>
          <w:iCs w:val="false"/>
          <w:color w:val="000000"/>
          <w:sz w:val="24"/>
          <w:szCs w:val="24"/>
        </w:rPr>
        <w:fldChar w:fldCharType="begin"/>
      </w:r>
      <w:r>
        <w:rPr>
          <w:i w:val="false"/>
          <w:iCs w:val="false"/>
          <w:color w:val="000000"/>
          <w:sz w:val="24"/>
          <w:szCs w:val="24"/>
        </w:rPr>
        <w:instrText xml:space="preserve"> SEQ Table \* ARABIC </w:instrText>
      </w:r>
      <w:r>
        <w:rPr>
          <w:i w:val="false"/>
          <w:iCs w:val="false"/>
          <w:color w:val="000000"/>
          <w:sz w:val="24"/>
          <w:szCs w:val="24"/>
        </w:rPr>
        <w:fldChar w:fldCharType="separate"/>
      </w:r>
      <w:r>
        <w:rPr>
          <w:i w:val="false"/>
          <w:iCs w:val="false"/>
          <w:noProof/>
          <w:color w:val="000000"/>
          <w:sz w:val="24"/>
          <w:szCs w:val="24"/>
        </w:rPr>
        <w:t>10</w:t>
      </w:r>
      <w:r>
        <w:rPr>
          <w:i w:val="false"/>
          <w:iCs w:val="false"/>
          <w:color w:val="000000"/>
          <w:sz w:val="24"/>
          <w:szCs w:val="24"/>
        </w:rPr>
        <w:fldChar w:fldCharType="end"/>
      </w:r>
      <w:r>
        <w:rPr>
          <w:i w:val="false"/>
          <w:iCs w:val="false"/>
          <w:color w:val="000000"/>
          <w:sz w:val="24"/>
          <w:szCs w:val="24"/>
        </w:rPr>
        <w:t>: Tree planted in Mazingara ward</w:t>
      </w:r>
      <w:bookmarkEnd w:id="130"/>
    </w:p>
    <w:tbl>
      <w:tblPr>
        <w:tblStyle w:val="style1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1"/>
        <w:gridCol w:w="2742"/>
        <w:gridCol w:w="2757"/>
      </w:tblGrid>
      <w:tr>
        <w:trPr>
          <w:trHeight w:val="732" w:hRule="atLeast"/>
        </w:trPr>
        <w:tc>
          <w:tcPr>
            <w:tcW w:w="2721" w:type="dxa"/>
            <w:tcBorders>
              <w:top w:val="single" w:sz="8" w:space="0" w:color="auto"/>
              <w:bottom w:val="single" w:sz="8" w:space="0" w:color="auto"/>
            </w:tcBorders>
          </w:tcPr>
          <w:p>
            <w:pPr>
              <w:pStyle w:val="style0"/>
              <w:spacing w:lineRule="auto" w:line="480"/>
              <w:rPr/>
            </w:pPr>
            <w:r>
              <w:t xml:space="preserve"> Year </w:t>
            </w:r>
          </w:p>
        </w:tc>
        <w:tc>
          <w:tcPr>
            <w:tcW w:w="2742" w:type="dxa"/>
            <w:tcBorders>
              <w:top w:val="single" w:sz="8" w:space="0" w:color="auto"/>
              <w:bottom w:val="single" w:sz="8" w:space="0" w:color="auto"/>
            </w:tcBorders>
          </w:tcPr>
          <w:p>
            <w:pPr>
              <w:pStyle w:val="style0"/>
              <w:spacing w:lineRule="auto" w:line="480"/>
              <w:jc w:val="center"/>
              <w:rPr/>
            </w:pPr>
            <w:r>
              <w:t>Neem Trees Planted</w:t>
            </w:r>
          </w:p>
        </w:tc>
        <w:tc>
          <w:tcPr>
            <w:tcW w:w="2757" w:type="dxa"/>
            <w:tcBorders>
              <w:top w:val="single" w:sz="8" w:space="0" w:color="auto"/>
              <w:bottom w:val="single" w:sz="8" w:space="0" w:color="auto"/>
            </w:tcBorders>
          </w:tcPr>
          <w:p>
            <w:pPr>
              <w:pStyle w:val="style0"/>
              <w:spacing w:lineRule="auto" w:line="480"/>
              <w:jc w:val="center"/>
              <w:rPr/>
            </w:pPr>
            <w:r>
              <w:t>Grevillea Trees Planted</w:t>
            </w:r>
          </w:p>
        </w:tc>
      </w:tr>
      <w:tr>
        <w:tblPrEx/>
        <w:trPr>
          <w:trHeight w:val="240" w:hRule="atLeast"/>
        </w:trPr>
        <w:tc>
          <w:tcPr>
            <w:tcW w:w="2721" w:type="dxa"/>
            <w:tcBorders>
              <w:top w:val="single" w:sz="8" w:space="0" w:color="auto"/>
            </w:tcBorders>
          </w:tcPr>
          <w:p>
            <w:pPr>
              <w:pStyle w:val="style0"/>
              <w:spacing w:lineRule="auto" w:line="480"/>
              <w:rPr/>
            </w:pPr>
            <w:r>
              <w:t xml:space="preserve"> 2018 </w:t>
            </w:r>
          </w:p>
        </w:tc>
        <w:tc>
          <w:tcPr>
            <w:tcW w:w="2742" w:type="dxa"/>
            <w:tcBorders>
              <w:top w:val="single" w:sz="8" w:space="0" w:color="auto"/>
            </w:tcBorders>
          </w:tcPr>
          <w:p>
            <w:pPr>
              <w:pStyle w:val="style0"/>
              <w:spacing w:lineRule="auto" w:line="480"/>
              <w:jc w:val="center"/>
              <w:rPr/>
            </w:pPr>
            <w:r>
              <w:t>127</w:t>
            </w:r>
          </w:p>
        </w:tc>
        <w:tc>
          <w:tcPr>
            <w:tcW w:w="2757" w:type="dxa"/>
            <w:tcBorders>
              <w:top w:val="single" w:sz="8" w:space="0" w:color="auto"/>
            </w:tcBorders>
          </w:tcPr>
          <w:p>
            <w:pPr>
              <w:pStyle w:val="style0"/>
              <w:spacing w:lineRule="auto" w:line="480"/>
              <w:jc w:val="center"/>
              <w:rPr/>
            </w:pPr>
            <w:r>
              <w:t>172</w:t>
            </w:r>
          </w:p>
        </w:tc>
      </w:tr>
      <w:tr>
        <w:tblPrEx/>
        <w:trPr>
          <w:trHeight w:val="240" w:hRule="atLeast"/>
        </w:trPr>
        <w:tc>
          <w:tcPr>
            <w:tcW w:w="2721" w:type="dxa"/>
            <w:tcBorders/>
          </w:tcPr>
          <w:p>
            <w:pPr>
              <w:pStyle w:val="style0"/>
              <w:spacing w:lineRule="auto" w:line="480"/>
              <w:rPr/>
            </w:pPr>
            <w:r>
              <w:t xml:space="preserve"> 2019 </w:t>
            </w:r>
          </w:p>
        </w:tc>
        <w:tc>
          <w:tcPr>
            <w:tcW w:w="2742" w:type="dxa"/>
            <w:tcBorders/>
          </w:tcPr>
          <w:p>
            <w:pPr>
              <w:pStyle w:val="style0"/>
              <w:spacing w:lineRule="auto" w:line="480"/>
              <w:jc w:val="center"/>
              <w:rPr/>
            </w:pPr>
            <w:r>
              <w:t>97</w:t>
            </w:r>
          </w:p>
        </w:tc>
        <w:tc>
          <w:tcPr>
            <w:tcW w:w="2757" w:type="dxa"/>
            <w:tcBorders/>
          </w:tcPr>
          <w:p>
            <w:pPr>
              <w:pStyle w:val="style0"/>
              <w:spacing w:lineRule="auto" w:line="480"/>
              <w:jc w:val="center"/>
              <w:rPr/>
            </w:pPr>
            <w:r>
              <w:t>183</w:t>
            </w:r>
          </w:p>
        </w:tc>
      </w:tr>
      <w:tr>
        <w:tblPrEx/>
        <w:trPr>
          <w:trHeight w:val="240" w:hRule="atLeast"/>
        </w:trPr>
        <w:tc>
          <w:tcPr>
            <w:tcW w:w="2721" w:type="dxa"/>
            <w:tcBorders/>
          </w:tcPr>
          <w:p>
            <w:pPr>
              <w:pStyle w:val="style0"/>
              <w:spacing w:lineRule="auto" w:line="480"/>
              <w:rPr/>
            </w:pPr>
            <w:r>
              <w:t xml:space="preserve"> 2020 </w:t>
            </w:r>
          </w:p>
        </w:tc>
        <w:tc>
          <w:tcPr>
            <w:tcW w:w="2742" w:type="dxa"/>
            <w:tcBorders/>
          </w:tcPr>
          <w:p>
            <w:pPr>
              <w:pStyle w:val="style0"/>
              <w:spacing w:lineRule="auto" w:line="480"/>
              <w:jc w:val="center"/>
              <w:rPr/>
            </w:pPr>
            <w:r>
              <w:t>128</w:t>
            </w:r>
          </w:p>
        </w:tc>
        <w:tc>
          <w:tcPr>
            <w:tcW w:w="2757" w:type="dxa"/>
            <w:tcBorders/>
          </w:tcPr>
          <w:p>
            <w:pPr>
              <w:pStyle w:val="style0"/>
              <w:spacing w:lineRule="auto" w:line="480"/>
              <w:jc w:val="center"/>
              <w:rPr/>
            </w:pPr>
            <w:r>
              <w:t>156</w:t>
            </w:r>
          </w:p>
        </w:tc>
      </w:tr>
      <w:tr>
        <w:tblPrEx/>
        <w:trPr>
          <w:trHeight w:val="240" w:hRule="atLeast"/>
        </w:trPr>
        <w:tc>
          <w:tcPr>
            <w:tcW w:w="2721" w:type="dxa"/>
            <w:tcBorders/>
          </w:tcPr>
          <w:p>
            <w:pPr>
              <w:pStyle w:val="style0"/>
              <w:spacing w:lineRule="auto" w:line="480"/>
              <w:rPr/>
            </w:pPr>
            <w:r>
              <w:t xml:space="preserve"> 2021 </w:t>
            </w:r>
          </w:p>
        </w:tc>
        <w:tc>
          <w:tcPr>
            <w:tcW w:w="2742" w:type="dxa"/>
            <w:tcBorders/>
          </w:tcPr>
          <w:p>
            <w:pPr>
              <w:pStyle w:val="style0"/>
              <w:spacing w:lineRule="auto" w:line="480"/>
              <w:jc w:val="center"/>
              <w:rPr/>
            </w:pPr>
            <w:r>
              <w:t>100</w:t>
            </w:r>
          </w:p>
        </w:tc>
        <w:tc>
          <w:tcPr>
            <w:tcW w:w="2757" w:type="dxa"/>
            <w:tcBorders/>
          </w:tcPr>
          <w:p>
            <w:pPr>
              <w:pStyle w:val="style0"/>
              <w:spacing w:lineRule="auto" w:line="480"/>
              <w:jc w:val="center"/>
              <w:rPr/>
            </w:pPr>
            <w:r>
              <w:t>167</w:t>
            </w:r>
          </w:p>
        </w:tc>
      </w:tr>
      <w:tr>
        <w:tblPrEx/>
        <w:trPr>
          <w:trHeight w:val="240" w:hRule="atLeast"/>
        </w:trPr>
        <w:tc>
          <w:tcPr>
            <w:tcW w:w="2721" w:type="dxa"/>
            <w:tcBorders/>
          </w:tcPr>
          <w:p>
            <w:pPr>
              <w:pStyle w:val="style0"/>
              <w:spacing w:lineRule="auto" w:line="480"/>
              <w:rPr/>
            </w:pPr>
            <w:r>
              <w:t xml:space="preserve"> 2022 </w:t>
            </w:r>
          </w:p>
        </w:tc>
        <w:tc>
          <w:tcPr>
            <w:tcW w:w="2742" w:type="dxa"/>
            <w:tcBorders/>
          </w:tcPr>
          <w:p>
            <w:pPr>
              <w:pStyle w:val="style0"/>
              <w:spacing w:lineRule="auto" w:line="480"/>
              <w:jc w:val="center"/>
              <w:rPr/>
            </w:pPr>
            <w:r>
              <w:t>112</w:t>
            </w:r>
          </w:p>
        </w:tc>
        <w:tc>
          <w:tcPr>
            <w:tcW w:w="2757" w:type="dxa"/>
            <w:tcBorders/>
          </w:tcPr>
          <w:p>
            <w:pPr>
              <w:pStyle w:val="style0"/>
              <w:spacing w:lineRule="auto" w:line="480"/>
              <w:jc w:val="center"/>
              <w:rPr/>
            </w:pPr>
            <w:r>
              <w:t>149</w:t>
            </w:r>
          </w:p>
        </w:tc>
      </w:tr>
      <w:tr>
        <w:tblPrEx/>
        <w:trPr>
          <w:trHeight w:val="240" w:hRule="atLeast"/>
        </w:trPr>
        <w:tc>
          <w:tcPr>
            <w:tcW w:w="2721" w:type="dxa"/>
            <w:tcBorders>
              <w:bottom w:val="single" w:sz="8" w:space="0" w:color="auto"/>
            </w:tcBorders>
          </w:tcPr>
          <w:p>
            <w:pPr>
              <w:pStyle w:val="style0"/>
              <w:spacing w:lineRule="auto" w:line="480"/>
              <w:rPr/>
            </w:pPr>
            <w:r>
              <w:t xml:space="preserve"> 2023 </w:t>
            </w:r>
          </w:p>
        </w:tc>
        <w:tc>
          <w:tcPr>
            <w:tcW w:w="2742" w:type="dxa"/>
            <w:tcBorders>
              <w:bottom w:val="single" w:sz="8" w:space="0" w:color="auto"/>
            </w:tcBorders>
          </w:tcPr>
          <w:p>
            <w:pPr>
              <w:pStyle w:val="style0"/>
              <w:spacing w:lineRule="auto" w:line="480"/>
              <w:jc w:val="center"/>
              <w:rPr/>
            </w:pPr>
            <w:r>
              <w:t>154</w:t>
            </w:r>
          </w:p>
        </w:tc>
        <w:tc>
          <w:tcPr>
            <w:tcW w:w="2757" w:type="dxa"/>
            <w:tcBorders>
              <w:bottom w:val="single" w:sz="8" w:space="0" w:color="auto"/>
            </w:tcBorders>
          </w:tcPr>
          <w:p>
            <w:pPr>
              <w:pStyle w:val="style0"/>
              <w:spacing w:lineRule="auto" w:line="480"/>
              <w:jc w:val="center"/>
              <w:rPr/>
            </w:pPr>
            <w:r>
              <w:t>170</w:t>
            </w:r>
          </w:p>
        </w:tc>
      </w:tr>
    </w:tbl>
    <w:p>
      <w:pPr>
        <w:pStyle w:val="style0"/>
        <w:spacing w:lineRule="auto" w:line="480"/>
        <w:rPr/>
      </w:pPr>
    </w:p>
    <w:p>
      <w:pPr>
        <w:pStyle w:val="style0"/>
        <w:keepNext/>
        <w:spacing w:lineRule="auto" w:line="480"/>
        <w:jc w:val="center"/>
        <w:rPr/>
      </w:pPr>
      <w:r>
        <w:rPr>
          <w:noProof/>
        </w:rPr>
        <w:drawing>
          <wp:inline distL="0" distT="0" distB="0" distR="0">
            <wp:extent cx="2774731" cy="2853585"/>
            <wp:effectExtent l="0" t="0" r="6985" b="4445"/>
            <wp:docPr id="1048" name="Picture 14" descr="Neem protect Moringa leaves and ..."/>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4"/>
                    <pic:cNvPicPr/>
                  </pic:nvPicPr>
                  <pic:blipFill>
                    <a:blip r:embed="rId11" cstate="print"/>
                    <a:srcRect l="0" t="0" r="0" b="0"/>
                    <a:stretch/>
                  </pic:blipFill>
                  <pic:spPr>
                    <a:xfrm rot="0">
                      <a:off x="0" y="0"/>
                      <a:ext cx="2774731" cy="2853585"/>
                    </a:xfrm>
                    <a:prstGeom prst="rect"/>
                    <a:ln>
                      <a:noFill/>
                    </a:ln>
                  </pic:spPr>
                </pic:pic>
              </a:graphicData>
            </a:graphic>
          </wp:inline>
        </w:drawing>
      </w:r>
    </w:p>
    <w:bookmarkStart w:id="131" w:name="_Toc177668501"/>
    <w:p>
      <w:pPr>
        <w:pStyle w:val="style34"/>
        <w:rPr>
          <w:i w:val="false"/>
          <w:iCs w:val="false"/>
          <w:color w:val="auto"/>
          <w:sz w:val="24"/>
          <w:szCs w:val="24"/>
        </w:rPr>
      </w:pPr>
      <w:r>
        <w:rPr>
          <w:i w:val="false"/>
          <w:iCs w:val="false"/>
          <w:color w:val="auto"/>
          <w:sz w:val="24"/>
          <w:szCs w:val="24"/>
        </w:rPr>
        <w:t xml:space="preserve">Plate </w:t>
      </w:r>
      <w:r>
        <w:rPr>
          <w:i w:val="false"/>
          <w:iCs w:val="false"/>
          <w:color w:val="auto"/>
          <w:sz w:val="24"/>
          <w:szCs w:val="24"/>
        </w:rPr>
        <w:fldChar w:fldCharType="begin"/>
      </w:r>
      <w:r>
        <w:rPr>
          <w:i w:val="false"/>
          <w:iCs w:val="false"/>
          <w:color w:val="auto"/>
          <w:sz w:val="24"/>
          <w:szCs w:val="24"/>
        </w:rPr>
        <w:instrText xml:space="preserve"> SEQ Plate \* ARABIC </w:instrText>
      </w:r>
      <w:r>
        <w:rPr>
          <w:i w:val="false"/>
          <w:iCs w:val="false"/>
          <w:color w:val="auto"/>
          <w:sz w:val="24"/>
          <w:szCs w:val="24"/>
        </w:rPr>
        <w:fldChar w:fldCharType="separate"/>
      </w:r>
      <w:r>
        <w:rPr>
          <w:i w:val="false"/>
          <w:iCs w:val="false"/>
          <w:noProof/>
          <w:color w:val="auto"/>
          <w:sz w:val="24"/>
          <w:szCs w:val="24"/>
        </w:rPr>
        <w:t>4</w:t>
      </w:r>
      <w:r>
        <w:rPr>
          <w:i w:val="false"/>
          <w:iCs w:val="false"/>
          <w:color w:val="auto"/>
          <w:sz w:val="24"/>
          <w:szCs w:val="24"/>
        </w:rPr>
        <w:fldChar w:fldCharType="end"/>
      </w:r>
      <w:r>
        <w:rPr>
          <w:i w:val="false"/>
          <w:iCs w:val="false"/>
          <w:color w:val="auto"/>
          <w:sz w:val="24"/>
          <w:szCs w:val="24"/>
        </w:rPr>
        <w:t>: Neem plant tree</w:t>
      </w:r>
      <w:bookmarkEnd w:id="131"/>
    </w:p>
    <w:p>
      <w:pPr>
        <w:pStyle w:val="style0"/>
        <w:keepNext/>
        <w:spacing w:lineRule="auto" w:line="480"/>
        <w:jc w:val="center"/>
        <w:rPr/>
      </w:pPr>
      <w:r>
        <w:rPr>
          <w:noProof/>
        </w:rPr>
        <w:drawing>
          <wp:inline distL="0" distT="0" distB="0" distR="0">
            <wp:extent cx="4159387" cy="3310758"/>
            <wp:effectExtent l="0" t="0" r="0" b="4445"/>
            <wp:docPr id="1049" name="Picture 15" descr="4. 2: Grevillea robusta trees planted ..."/>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5"/>
                    <pic:cNvPicPr/>
                  </pic:nvPicPr>
                  <pic:blipFill>
                    <a:blip r:embed="rId12" cstate="print"/>
                    <a:srcRect l="0" t="0" r="0" b="0"/>
                    <a:stretch/>
                  </pic:blipFill>
                  <pic:spPr>
                    <a:xfrm rot="0">
                      <a:off x="0" y="0"/>
                      <a:ext cx="4159387" cy="3310758"/>
                    </a:xfrm>
                    <a:prstGeom prst="rect"/>
                    <a:ln>
                      <a:noFill/>
                    </a:ln>
                  </pic:spPr>
                </pic:pic>
              </a:graphicData>
            </a:graphic>
          </wp:inline>
        </w:drawing>
      </w:r>
    </w:p>
    <w:bookmarkStart w:id="132" w:name="_Toc177668502"/>
    <w:p>
      <w:pPr>
        <w:pStyle w:val="style34"/>
        <w:rPr>
          <w:i w:val="false"/>
          <w:iCs w:val="false"/>
          <w:color w:val="auto"/>
          <w:sz w:val="24"/>
          <w:szCs w:val="24"/>
        </w:rPr>
      </w:pPr>
      <w:r>
        <w:rPr>
          <w:i w:val="false"/>
          <w:iCs w:val="false"/>
          <w:color w:val="auto"/>
          <w:sz w:val="24"/>
          <w:szCs w:val="24"/>
        </w:rPr>
        <w:t xml:space="preserve">Plate </w:t>
      </w:r>
      <w:r>
        <w:rPr>
          <w:i w:val="false"/>
          <w:iCs w:val="false"/>
          <w:color w:val="auto"/>
          <w:sz w:val="24"/>
          <w:szCs w:val="24"/>
        </w:rPr>
        <w:fldChar w:fldCharType="begin"/>
      </w:r>
      <w:r>
        <w:rPr>
          <w:i w:val="false"/>
          <w:iCs w:val="false"/>
          <w:color w:val="auto"/>
          <w:sz w:val="24"/>
          <w:szCs w:val="24"/>
        </w:rPr>
        <w:instrText xml:space="preserve"> SEQ Plate \* ARABIC </w:instrText>
      </w:r>
      <w:r>
        <w:rPr>
          <w:i w:val="false"/>
          <w:iCs w:val="false"/>
          <w:color w:val="auto"/>
          <w:sz w:val="24"/>
          <w:szCs w:val="24"/>
        </w:rPr>
        <w:fldChar w:fldCharType="separate"/>
      </w:r>
      <w:r>
        <w:rPr>
          <w:i w:val="false"/>
          <w:iCs w:val="false"/>
          <w:noProof/>
          <w:color w:val="auto"/>
          <w:sz w:val="24"/>
          <w:szCs w:val="24"/>
        </w:rPr>
        <w:t>5</w:t>
      </w:r>
      <w:r>
        <w:rPr>
          <w:i w:val="false"/>
          <w:iCs w:val="false"/>
          <w:color w:val="auto"/>
          <w:sz w:val="24"/>
          <w:szCs w:val="24"/>
        </w:rPr>
        <w:fldChar w:fldCharType="end"/>
      </w:r>
      <w:r>
        <w:rPr>
          <w:i w:val="false"/>
          <w:iCs w:val="false"/>
          <w:color w:val="auto"/>
          <w:sz w:val="24"/>
          <w:szCs w:val="24"/>
        </w:rPr>
        <w:t>: Grevi</w:t>
      </w:r>
      <w:r>
        <w:rPr>
          <w:i w:val="false"/>
          <w:iCs w:val="false"/>
          <w:color w:val="auto"/>
          <w:sz w:val="24"/>
          <w:szCs w:val="24"/>
        </w:rPr>
        <w:t>l</w:t>
      </w:r>
      <w:r>
        <w:rPr>
          <w:i w:val="false"/>
          <w:iCs w:val="false"/>
          <w:color w:val="auto"/>
          <w:sz w:val="24"/>
          <w:szCs w:val="24"/>
        </w:rPr>
        <w:t>lea trees</w:t>
      </w:r>
      <w:bookmarkEnd w:id="132"/>
    </w:p>
    <w:p>
      <w:pPr>
        <w:pStyle w:val="style0"/>
        <w:spacing w:lineRule="auto" w:line="480"/>
        <w:rPr/>
      </w:pPr>
      <w:r>
        <w:t>Furthermore, t</w:t>
      </w:r>
      <w:r>
        <w:t>he local authorities</w:t>
      </w:r>
      <w:r>
        <w:t xml:space="preserve"> </w:t>
      </w:r>
      <w:r>
        <w:t xml:space="preserve">have enforced restricted harvesting zones where only specific trees can be harvested to ensure forest sustainability. This </w:t>
      </w:r>
      <w:r>
        <w:t>tree-planting</w:t>
      </w:r>
      <w:r>
        <w:t xml:space="preserve"> initiative, supported by local NGOs, has increased environmental awareness among residents, leading to the preservation of indigenous species. According to John </w:t>
      </w:r>
      <w:r>
        <w:rPr>
          <w:i/>
          <w:iCs/>
        </w:rPr>
        <w:t>et al</w:t>
      </w:r>
      <w:r>
        <w:rPr>
          <w:i/>
          <w:iCs/>
        </w:rPr>
        <w:t>.</w:t>
      </w:r>
      <w:r>
        <w:t xml:space="preserve"> (2020), tree planting has been proven effective in reducing deforestation in similar contexts.</w:t>
      </w:r>
    </w:p>
    <w:p>
      <w:pPr>
        <w:pStyle w:val="style0"/>
        <w:spacing w:lineRule="auto" w:line="480"/>
        <w:rPr>
          <w:b/>
          <w:bCs/>
        </w:rPr>
      </w:pPr>
      <w:r>
        <w:rPr>
          <w:b/>
          <w:bCs/>
        </w:rPr>
        <w:t>4.4.2 Checkpoint Improvement</w:t>
      </w:r>
    </w:p>
    <w:p>
      <w:pPr>
        <w:pStyle w:val="style0"/>
        <w:spacing w:lineRule="auto" w:line="480"/>
        <w:rPr/>
      </w:pPr>
      <w:r>
        <w:t xml:space="preserve">Checkpoint improvements have been introduced to enhance law enforcement, regulate logging activities, and ensure proper licensing procedures are followed. The key laws governing these efforts include the Forest Act of 2002 and the Environmental Management Act of 2004, which have been instrumental in controlling illegal logging </w:t>
      </w:r>
      <w:r>
        <w:t>activities.</w:t>
      </w:r>
      <w:r>
        <w:t xml:space="preserve"> </w:t>
      </w:r>
      <w:r>
        <w:t xml:space="preserve">Licensing procedures have been streamlined, requiring loggers to apply for permits before harvesting any trees. Local authorities have also improved checkpoints around forest reserves to monitor illegal activities more effectively. Additionally, the local forest patrol has been expanded, making it harder for illegal logging to occur unnoticed. Between 2021 and 2023, there was a 25% reduction in illegal logging activities in Mazingara Ward (Smith </w:t>
      </w:r>
      <w:r>
        <w:rPr>
          <w:i/>
          <w:iCs/>
        </w:rPr>
        <w:t>et al</w:t>
      </w:r>
      <w:r>
        <w:t>., 2022).</w:t>
      </w:r>
      <w:r>
        <w:t xml:space="preserve"> The </w:t>
      </w:r>
      <w:r>
        <w:t>local authorities</w:t>
      </w:r>
      <w:r>
        <w:t xml:space="preserve"> </w:t>
      </w:r>
      <w:r>
        <w:t>have also focused on creating awareness among residents about the consequences of illegal logging and the benefits of sustainable harvesting. Despite these efforts, challenges persist, particularly regarding the lack of sufficient manpower to cover all checkpoints. Efforts are underway to recruit more personnel and increase funding for forest management operations.</w:t>
      </w:r>
    </w:p>
    <w:p>
      <w:pPr>
        <w:pStyle w:val="style0"/>
        <w:spacing w:lineRule="auto" w:line="480"/>
        <w:rPr>
          <w:b/>
          <w:bCs/>
        </w:rPr>
      </w:pPr>
      <w:r>
        <w:rPr>
          <w:b/>
          <w:bCs/>
        </w:rPr>
        <w:t>4.4.3 Use of Alternative Energy Sources</w:t>
      </w:r>
    </w:p>
    <w:p>
      <w:pPr>
        <w:pStyle w:val="style0"/>
        <w:spacing w:lineRule="auto" w:line="480"/>
        <w:rPr/>
      </w:pPr>
      <w:r>
        <w:t>To mitigate the reliance on wood fuel, several alternative energy sources have been introduced in Mazingara Ward. These include the use of gas, improved cooking stoves, electricity, and solar energy. Table 1</w:t>
      </w:r>
      <w:r>
        <w:t>1</w:t>
      </w:r>
      <w:r>
        <w:t xml:space="preserve"> presents the distribution of alternative energy use among 99 respondents in the ward.</w:t>
      </w:r>
    </w:p>
    <w:p>
      <w:pPr>
        <w:pStyle w:val="style0"/>
        <w:spacing w:lineRule="auto" w:line="480"/>
        <w:rPr/>
      </w:pPr>
    </w:p>
    <w:p>
      <w:pPr>
        <w:pStyle w:val="style0"/>
        <w:spacing w:lineRule="auto" w:line="480"/>
        <w:rPr/>
      </w:pPr>
    </w:p>
    <w:p>
      <w:pPr>
        <w:pStyle w:val="style0"/>
        <w:spacing w:lineRule="auto" w:line="480"/>
        <w:rPr/>
      </w:pPr>
    </w:p>
    <w:bookmarkStart w:id="133" w:name="_Toc177668546"/>
    <w:p>
      <w:pPr>
        <w:pStyle w:val="style34"/>
        <w:keepNext/>
        <w:rPr>
          <w:i w:val="false"/>
          <w:iCs w:val="false"/>
          <w:color w:val="000000"/>
          <w:sz w:val="24"/>
          <w:szCs w:val="24"/>
        </w:rPr>
      </w:pPr>
      <w:r>
        <w:rPr>
          <w:i w:val="false"/>
          <w:iCs w:val="false"/>
          <w:color w:val="000000"/>
          <w:sz w:val="24"/>
          <w:szCs w:val="24"/>
        </w:rPr>
        <w:t xml:space="preserve">Table </w:t>
      </w:r>
      <w:r>
        <w:rPr>
          <w:i w:val="false"/>
          <w:iCs w:val="false"/>
          <w:color w:val="000000"/>
          <w:sz w:val="24"/>
          <w:szCs w:val="24"/>
        </w:rPr>
        <w:fldChar w:fldCharType="begin"/>
      </w:r>
      <w:r>
        <w:rPr>
          <w:i w:val="false"/>
          <w:iCs w:val="false"/>
          <w:color w:val="000000"/>
          <w:sz w:val="24"/>
          <w:szCs w:val="24"/>
        </w:rPr>
        <w:instrText xml:space="preserve"> SEQ Table \* ARABIC </w:instrText>
      </w:r>
      <w:r>
        <w:rPr>
          <w:i w:val="false"/>
          <w:iCs w:val="false"/>
          <w:color w:val="000000"/>
          <w:sz w:val="24"/>
          <w:szCs w:val="24"/>
        </w:rPr>
        <w:fldChar w:fldCharType="separate"/>
      </w:r>
      <w:r>
        <w:rPr>
          <w:i w:val="false"/>
          <w:iCs w:val="false"/>
          <w:noProof/>
          <w:color w:val="000000"/>
          <w:sz w:val="24"/>
          <w:szCs w:val="24"/>
        </w:rPr>
        <w:t>11</w:t>
      </w:r>
      <w:r>
        <w:rPr>
          <w:i w:val="false"/>
          <w:iCs w:val="false"/>
          <w:color w:val="000000"/>
          <w:sz w:val="24"/>
          <w:szCs w:val="24"/>
        </w:rPr>
        <w:fldChar w:fldCharType="end"/>
      </w:r>
      <w:r>
        <w:rPr>
          <w:i w:val="false"/>
          <w:iCs w:val="false"/>
          <w:color w:val="000000"/>
          <w:sz w:val="24"/>
          <w:szCs w:val="24"/>
        </w:rPr>
        <w:t>: Use of Alternative Energy Sources</w:t>
      </w:r>
      <w:bookmarkEnd w:id="133"/>
    </w:p>
    <w:tbl>
      <w:tblPr>
        <w:tblStyle w:val="style1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9"/>
        <w:gridCol w:w="2436"/>
        <w:gridCol w:w="1725"/>
      </w:tblGrid>
      <w:tr>
        <w:trPr>
          <w:trHeight w:val="559" w:hRule="atLeast"/>
        </w:trPr>
        <w:tc>
          <w:tcPr>
            <w:tcW w:w="4059" w:type="dxa"/>
            <w:tcBorders>
              <w:top w:val="single" w:sz="8" w:space="0" w:color="auto"/>
              <w:bottom w:val="single" w:sz="8" w:space="0" w:color="auto"/>
            </w:tcBorders>
          </w:tcPr>
          <w:p>
            <w:pPr>
              <w:pStyle w:val="style0"/>
              <w:spacing w:lineRule="auto" w:line="480"/>
              <w:rPr/>
            </w:pPr>
            <w:r>
              <w:t xml:space="preserve"> Energy Source       </w:t>
            </w:r>
          </w:p>
        </w:tc>
        <w:tc>
          <w:tcPr>
            <w:tcW w:w="2436" w:type="dxa"/>
            <w:tcBorders>
              <w:top w:val="single" w:sz="8" w:space="0" w:color="auto"/>
              <w:bottom w:val="single" w:sz="8" w:space="0" w:color="auto"/>
            </w:tcBorders>
          </w:tcPr>
          <w:p>
            <w:pPr>
              <w:pStyle w:val="style0"/>
              <w:spacing w:lineRule="auto" w:line="480"/>
              <w:jc w:val="center"/>
              <w:rPr/>
            </w:pPr>
            <w:r>
              <w:rPr>
                <w:color w:val="000000"/>
              </w:rPr>
              <w:t>Frequency</w:t>
            </w:r>
          </w:p>
        </w:tc>
        <w:tc>
          <w:tcPr>
            <w:tcW w:w="1725" w:type="dxa"/>
            <w:tcBorders>
              <w:top w:val="single" w:sz="8" w:space="0" w:color="auto"/>
              <w:bottom w:val="single" w:sz="8" w:space="0" w:color="auto"/>
            </w:tcBorders>
          </w:tcPr>
          <w:p>
            <w:pPr>
              <w:pStyle w:val="style0"/>
              <w:spacing w:lineRule="auto" w:line="480"/>
              <w:jc w:val="center"/>
              <w:rPr/>
            </w:pPr>
            <w:r>
              <w:rPr>
                <w:color w:val="000000"/>
              </w:rPr>
              <w:t>Percentage (%)</w:t>
            </w:r>
          </w:p>
        </w:tc>
      </w:tr>
      <w:tr>
        <w:tblPrEx/>
        <w:trPr>
          <w:trHeight w:val="358" w:hRule="atLeast"/>
        </w:trPr>
        <w:tc>
          <w:tcPr>
            <w:tcW w:w="4059" w:type="dxa"/>
            <w:tcBorders>
              <w:top w:val="single" w:sz="8" w:space="0" w:color="auto"/>
            </w:tcBorders>
          </w:tcPr>
          <w:p>
            <w:pPr>
              <w:pStyle w:val="style0"/>
              <w:spacing w:lineRule="auto" w:line="480"/>
              <w:rPr/>
            </w:pPr>
            <w:r>
              <w:t xml:space="preserve"> Gas                 </w:t>
            </w:r>
          </w:p>
        </w:tc>
        <w:tc>
          <w:tcPr>
            <w:tcW w:w="2436" w:type="dxa"/>
            <w:tcBorders>
              <w:top w:val="single" w:sz="8" w:space="0" w:color="auto"/>
            </w:tcBorders>
          </w:tcPr>
          <w:p>
            <w:pPr>
              <w:pStyle w:val="style0"/>
              <w:spacing w:lineRule="auto" w:line="480"/>
              <w:jc w:val="center"/>
              <w:rPr/>
            </w:pPr>
            <w:r>
              <w:t>7</w:t>
            </w:r>
          </w:p>
        </w:tc>
        <w:tc>
          <w:tcPr>
            <w:tcW w:w="1725" w:type="dxa"/>
            <w:tcBorders>
              <w:top w:val="single" w:sz="8" w:space="0" w:color="auto"/>
            </w:tcBorders>
          </w:tcPr>
          <w:p>
            <w:pPr>
              <w:pStyle w:val="style0"/>
              <w:spacing w:lineRule="auto" w:line="480"/>
              <w:jc w:val="center"/>
              <w:rPr/>
            </w:pPr>
            <w:r>
              <w:t>7.1</w:t>
            </w:r>
          </w:p>
        </w:tc>
      </w:tr>
      <w:tr>
        <w:tblPrEx/>
        <w:trPr>
          <w:trHeight w:val="717" w:hRule="atLeast"/>
        </w:trPr>
        <w:tc>
          <w:tcPr>
            <w:tcW w:w="4059" w:type="dxa"/>
            <w:tcBorders/>
          </w:tcPr>
          <w:p>
            <w:pPr>
              <w:pStyle w:val="style0"/>
              <w:spacing w:lineRule="auto" w:line="480"/>
              <w:rPr/>
            </w:pPr>
            <w:r>
              <w:t xml:space="preserve"> Improved Stoves     </w:t>
            </w:r>
          </w:p>
        </w:tc>
        <w:tc>
          <w:tcPr>
            <w:tcW w:w="2436" w:type="dxa"/>
            <w:tcBorders/>
          </w:tcPr>
          <w:p>
            <w:pPr>
              <w:pStyle w:val="style0"/>
              <w:spacing w:lineRule="auto" w:line="480"/>
              <w:jc w:val="center"/>
              <w:rPr/>
            </w:pPr>
            <w:r>
              <w:t>89</w:t>
            </w:r>
          </w:p>
        </w:tc>
        <w:tc>
          <w:tcPr>
            <w:tcW w:w="1725" w:type="dxa"/>
            <w:tcBorders/>
          </w:tcPr>
          <w:p>
            <w:pPr>
              <w:pStyle w:val="style0"/>
              <w:spacing w:lineRule="auto" w:line="480"/>
              <w:jc w:val="center"/>
              <w:rPr/>
            </w:pPr>
            <w:r>
              <w:t>89.9</w:t>
            </w:r>
          </w:p>
        </w:tc>
      </w:tr>
      <w:tr>
        <w:tblPrEx/>
        <w:trPr>
          <w:trHeight w:val="358" w:hRule="atLeast"/>
        </w:trPr>
        <w:tc>
          <w:tcPr>
            <w:tcW w:w="4059" w:type="dxa"/>
            <w:tcBorders/>
          </w:tcPr>
          <w:p>
            <w:pPr>
              <w:pStyle w:val="style0"/>
              <w:spacing w:lineRule="auto" w:line="480"/>
              <w:rPr/>
            </w:pPr>
            <w:r>
              <w:t xml:space="preserve"> Electricity         </w:t>
            </w:r>
          </w:p>
        </w:tc>
        <w:tc>
          <w:tcPr>
            <w:tcW w:w="2436" w:type="dxa"/>
            <w:tcBorders/>
          </w:tcPr>
          <w:p>
            <w:pPr>
              <w:pStyle w:val="style0"/>
              <w:spacing w:lineRule="auto" w:line="480"/>
              <w:jc w:val="center"/>
              <w:rPr/>
            </w:pPr>
            <w:r>
              <w:t>2</w:t>
            </w:r>
          </w:p>
        </w:tc>
        <w:tc>
          <w:tcPr>
            <w:tcW w:w="1725" w:type="dxa"/>
            <w:tcBorders/>
          </w:tcPr>
          <w:p>
            <w:pPr>
              <w:pStyle w:val="style0"/>
              <w:spacing w:lineRule="auto" w:line="480"/>
              <w:jc w:val="center"/>
              <w:rPr/>
            </w:pPr>
            <w:r>
              <w:t>2</w:t>
            </w:r>
            <w:r>
              <w:t>.0</w:t>
            </w:r>
          </w:p>
        </w:tc>
      </w:tr>
      <w:tr>
        <w:tblPrEx/>
        <w:trPr>
          <w:trHeight w:val="358" w:hRule="atLeast"/>
        </w:trPr>
        <w:tc>
          <w:tcPr>
            <w:tcW w:w="4059" w:type="dxa"/>
            <w:tcBorders>
              <w:bottom w:val="single" w:sz="8" w:space="0" w:color="auto"/>
            </w:tcBorders>
          </w:tcPr>
          <w:p>
            <w:pPr>
              <w:pStyle w:val="style0"/>
              <w:spacing w:lineRule="auto" w:line="480"/>
              <w:rPr/>
            </w:pPr>
            <w:r>
              <w:t xml:space="preserve"> Solar Energy        </w:t>
            </w:r>
          </w:p>
        </w:tc>
        <w:tc>
          <w:tcPr>
            <w:tcW w:w="2436" w:type="dxa"/>
            <w:tcBorders>
              <w:bottom w:val="single" w:sz="8" w:space="0" w:color="auto"/>
            </w:tcBorders>
          </w:tcPr>
          <w:p>
            <w:pPr>
              <w:pStyle w:val="style0"/>
              <w:spacing w:lineRule="auto" w:line="480"/>
              <w:jc w:val="center"/>
              <w:rPr/>
            </w:pPr>
            <w:r>
              <w:t>1</w:t>
            </w:r>
          </w:p>
        </w:tc>
        <w:tc>
          <w:tcPr>
            <w:tcW w:w="1725" w:type="dxa"/>
            <w:tcBorders>
              <w:bottom w:val="single" w:sz="8" w:space="0" w:color="auto"/>
            </w:tcBorders>
          </w:tcPr>
          <w:p>
            <w:pPr>
              <w:pStyle w:val="style0"/>
              <w:spacing w:lineRule="auto" w:line="480"/>
              <w:jc w:val="center"/>
              <w:rPr/>
            </w:pPr>
            <w:r>
              <w:t>1</w:t>
            </w:r>
            <w:r>
              <w:t>.0</w:t>
            </w:r>
          </w:p>
        </w:tc>
      </w:tr>
    </w:tbl>
    <w:p>
      <w:pPr>
        <w:pStyle w:val="style0"/>
        <w:spacing w:lineRule="auto" w:line="480"/>
        <w:rPr/>
      </w:pPr>
      <w:r>
        <w:t xml:space="preserve">As shown in Table </w:t>
      </w:r>
      <w:r>
        <w:t>1</w:t>
      </w:r>
      <w:r>
        <w:t>1, the most widely adopted alternative is improved stoves (</w:t>
      </w:r>
      <w:r>
        <w:t>89.9</w:t>
      </w:r>
      <w:r>
        <w:t>%), followed by gas (</w:t>
      </w:r>
      <w:r>
        <w:t>7.1</w:t>
      </w:r>
      <w:r>
        <w:t>%), electricity (</w:t>
      </w:r>
      <w:r>
        <w:t>2.0</w:t>
      </w:r>
      <w:r>
        <w:t>%), and solar energy (1</w:t>
      </w:r>
      <w:r>
        <w:t>.0</w:t>
      </w:r>
      <w:r>
        <w:t>%). Despite these options being available, many households still rely on wood fuel due to the high costs of purchasing and maintaining these alternatives. Improved stoves, while more efficient than traditional stoves, have not been fully embraced due to their initial cost.</w:t>
      </w:r>
      <w:r>
        <w:t xml:space="preserve"> </w:t>
      </w:r>
      <w:r>
        <w:t xml:space="preserve">Efforts to promote the use of alternative energy sources have also been part of the Ministry of Energy’s broader campaign to reduce deforestation. Respondents’ awareness of tree conservation when using gas or solar energy shows a growing understanding of the benefits of these alternatives, although practical adoption remains low. Further education and subsidies for alternative energy sources may help to increase their usage, aligning with Mwakalobo </w:t>
      </w:r>
      <w:r>
        <w:rPr>
          <w:i/>
          <w:iCs/>
        </w:rPr>
        <w:t>et al</w:t>
      </w:r>
      <w:r>
        <w:t>. (2021), who argue that financial incentives are essential in promoting clean energy adoption.</w:t>
      </w:r>
    </w:p>
    <w:p>
      <w:pPr>
        <w:pStyle w:val="style0"/>
        <w:spacing w:after="0" w:lineRule="auto" w:line="480"/>
        <w:rPr>
          <w:color w:val="000000"/>
        </w:rPr>
      </w:pPr>
      <w:r>
        <w:rPr>
          <w:color w:val="000000"/>
        </w:rPr>
        <w:t xml:space="preserve">. </w:t>
      </w:r>
    </w:p>
    <w:p>
      <w:pPr>
        <w:pStyle w:val="style0"/>
        <w:spacing w:after="0" w:lineRule="auto" w:line="480"/>
        <w:rPr>
          <w:color w:val="000000"/>
        </w:rPr>
      </w:pPr>
    </w:p>
    <w:p>
      <w:pPr>
        <w:pStyle w:val="style0"/>
        <w:spacing w:lineRule="auto" w:line="480"/>
        <w:rPr/>
      </w:pPr>
    </w:p>
    <w:bookmarkStart w:id="134" w:name="_Toc172659005"/>
    <w:bookmarkStart w:id="135" w:name="_Toc173633243"/>
    <w:bookmarkStart w:id="136" w:name="_Toc173975048"/>
    <w:p>
      <w:pPr>
        <w:pStyle w:val="style0"/>
        <w:spacing w:lineRule="auto" w:line="480"/>
        <w:jc w:val="center"/>
        <w:rPr>
          <w:b/>
          <w:bCs/>
          <w:color w:val="000000"/>
        </w:rPr>
      </w:pPr>
      <w:r>
        <w:rPr>
          <w:b/>
          <w:bCs/>
          <w:color w:val="000000"/>
        </w:rPr>
        <w:t>CHAPTER FIVE</w:t>
      </w:r>
      <w:bookmarkEnd w:id="134"/>
      <w:bookmarkEnd w:id="135"/>
      <w:bookmarkEnd w:id="136"/>
    </w:p>
    <w:bookmarkStart w:id="137" w:name="_Toc172659006"/>
    <w:bookmarkStart w:id="138" w:name="_Toc173633244"/>
    <w:bookmarkStart w:id="139" w:name="_Toc173975049"/>
    <w:bookmarkStart w:id="140" w:name="_Toc178076744"/>
    <w:p>
      <w:pPr>
        <w:pStyle w:val="style1"/>
        <w:tabs>
          <w:tab w:val="left" w:leader="none" w:pos="3240"/>
        </w:tabs>
        <w:spacing w:before="0" w:lineRule="auto" w:line="480"/>
        <w:jc w:val="center"/>
        <w:rPr>
          <w:rFonts w:ascii="Times New Roman" w:cs="Times New Roman" w:hAnsi="Times New Roman"/>
          <w:b/>
          <w:bCs/>
          <w:color w:val="000000"/>
          <w:sz w:val="24"/>
          <w:szCs w:val="24"/>
        </w:rPr>
      </w:pPr>
      <w:r>
        <w:rPr>
          <w:rFonts w:ascii="Times New Roman" w:cs="Times New Roman" w:hAnsi="Times New Roman"/>
          <w:b/>
          <w:bCs/>
          <w:color w:val="000000"/>
          <w:sz w:val="24"/>
          <w:szCs w:val="24"/>
        </w:rPr>
        <w:t>CONCLUSIONS AND RECOMMENDATIONS</w:t>
      </w:r>
      <w:bookmarkEnd w:id="137"/>
      <w:bookmarkEnd w:id="138"/>
      <w:bookmarkEnd w:id="139"/>
      <w:bookmarkEnd w:id="140"/>
    </w:p>
    <w:bookmarkStart w:id="141" w:name="_Toc172659007"/>
    <w:bookmarkStart w:id="142" w:name="_Toc173633245"/>
    <w:bookmarkStart w:id="143" w:name="_Toc173975050"/>
    <w:bookmarkStart w:id="144" w:name="_Toc178076745"/>
    <w:p>
      <w:pPr>
        <w:pStyle w:val="style2"/>
        <w:tabs>
          <w:tab w:val="left" w:leader="none" w:pos="540"/>
          <w:tab w:val="left" w:leader="none" w:pos="3240"/>
        </w:tabs>
        <w:spacing w:before="200" w:lineRule="auto" w:line="480"/>
        <w:rPr>
          <w:rFonts w:ascii="Times New Roman" w:cs="Times New Roman" w:hAnsi="Times New Roman"/>
          <w:b/>
          <w:color w:val="000000"/>
          <w:sz w:val="24"/>
          <w:szCs w:val="24"/>
        </w:rPr>
      </w:pPr>
      <w:r>
        <w:rPr>
          <w:rFonts w:ascii="Times New Roman" w:cs="Times New Roman" w:hAnsi="Times New Roman"/>
          <w:b/>
          <w:color w:val="000000"/>
          <w:sz w:val="24"/>
          <w:szCs w:val="24"/>
        </w:rPr>
        <w:t>5.1 Conclusion</w:t>
      </w:r>
      <w:bookmarkEnd w:id="141"/>
      <w:bookmarkEnd w:id="142"/>
      <w:bookmarkEnd w:id="143"/>
      <w:bookmarkEnd w:id="144"/>
    </w:p>
    <w:p>
      <w:pPr>
        <w:pStyle w:val="style0"/>
        <w:spacing w:lineRule="auto" w:line="480"/>
        <w:rPr/>
      </w:pPr>
      <w:r>
        <w:t>The current trends in wood fuel</w:t>
      </w:r>
      <w:r>
        <w:t xml:space="preserve"> consumption in Tanzania reveal a continued heavy reliance on traditional fuels such as firewood and charcoal despite efforts to promote cleaner </w:t>
      </w:r>
      <w:r>
        <w:t xml:space="preserve">energy alternatives. </w:t>
      </w:r>
      <w:r>
        <w:t>Findings</w:t>
      </w:r>
      <w:r>
        <w:t xml:space="preserve"> indicate </w:t>
      </w:r>
      <w:r>
        <w:t>that a significant majorit</w:t>
      </w:r>
      <w:r>
        <w:t xml:space="preserve">y of households use a mixture of </w:t>
      </w:r>
      <w:r>
        <w:t>firewood</w:t>
      </w:r>
      <w:r>
        <w:t xml:space="preserve"> and charcoal </w:t>
      </w:r>
      <w:r>
        <w:t xml:space="preserve">with </w:t>
      </w:r>
      <w:r>
        <w:t xml:space="preserve">charcoal </w:t>
      </w:r>
      <w:r>
        <w:t xml:space="preserve">reflecting high consumption levels across various household </w:t>
      </w:r>
      <w:r>
        <w:t xml:space="preserve">sizes. </w:t>
      </w:r>
    </w:p>
    <w:p>
      <w:pPr>
        <w:pStyle w:val="style0"/>
        <w:spacing w:lineRule="auto" w:line="480"/>
        <w:rPr/>
      </w:pPr>
      <w:r>
        <w:t>W</w:t>
      </w:r>
      <w:r>
        <w:t>hile the adoption of alternative energy sources and improved cooking technologies in Mazingara Ward is supported by local authorities and aligned with national campaigns, the uptake remains low due to barriers such as cost and limited awareness. Efforts to manage harvesting areas and enhance law enforcement against illegal logging are vital for sustainable forest management, evidenced by a 25% reduction in illegal activities between 2021 and 2023. Ultimately, increased education and financial incentives are essential to promote the use of cleaner energy alternatives and foster greater environmental awareness among residents.</w:t>
      </w:r>
    </w:p>
    <w:p>
      <w:pPr>
        <w:pStyle w:val="style0"/>
        <w:spacing w:lineRule="auto" w:line="480"/>
        <w:rPr>
          <w:color w:val="000000"/>
        </w:rPr>
      </w:pPr>
      <w:r>
        <w:rPr>
          <w:color w:val="000000"/>
        </w:rPr>
        <w:t>The</w:t>
      </w:r>
      <w:r>
        <w:rPr>
          <w:color w:val="000000"/>
        </w:rPr>
        <w:t xml:space="preserve"> research reveals significant concerns regarding the health, social, economic, and environmental impacts of wood fuel consumption in the community. While a majority of respondents recognize the adverse health effects, particularly respiratory issues and eye problems, there remains skepticism about the broader implications, such as lung </w:t>
      </w:r>
      <w:r>
        <w:rPr>
          <w:color w:val="000000"/>
        </w:rPr>
        <w:t>cancer and environmental degradation. Addressing these complex challenges requires targeted interventions that promote alternative energy sources, enhance public awareness, and implement policies for sustainable forest management.</w:t>
      </w:r>
    </w:p>
    <w:bookmarkStart w:id="145" w:name="_Toc173633246"/>
    <w:bookmarkStart w:id="146" w:name="_Toc173975051"/>
    <w:bookmarkStart w:id="147" w:name="_Toc178076746"/>
    <w:p>
      <w:pPr>
        <w:pStyle w:val="style2"/>
        <w:tabs>
          <w:tab w:val="left" w:leader="none" w:pos="540"/>
          <w:tab w:val="left" w:leader="none" w:pos="3240"/>
        </w:tabs>
        <w:spacing w:before="200" w:lineRule="auto" w:line="480"/>
        <w:rPr>
          <w:rFonts w:ascii="Times New Roman" w:cs="Times New Roman" w:hAnsi="Times New Roman"/>
          <w:b/>
          <w:color w:val="000000"/>
          <w:sz w:val="24"/>
          <w:szCs w:val="24"/>
        </w:rPr>
      </w:pPr>
      <w:r>
        <w:rPr>
          <w:rFonts w:ascii="Times New Roman" w:cs="Times New Roman" w:hAnsi="Times New Roman"/>
          <w:b/>
          <w:color w:val="000000"/>
          <w:sz w:val="24"/>
          <w:szCs w:val="24"/>
        </w:rPr>
        <w:t>5.2 Recommendations</w:t>
      </w:r>
      <w:bookmarkEnd w:id="145"/>
      <w:bookmarkEnd w:id="146"/>
      <w:bookmarkEnd w:id="147"/>
    </w:p>
    <w:p>
      <w:pPr>
        <w:pStyle w:val="style0"/>
        <w:spacing w:lineRule="auto" w:line="480"/>
        <w:rPr/>
      </w:pPr>
      <w:r>
        <w:t>To address the low adoption rate of improved stoves and the reliance on traditional cooking methods, it is crucial for the government to implement subsidized programs to make these stoves more affordable and accessible. Additionally, increasing outreach efforts to raise awareness about the benefits of improved stoves can help overcome barriers related to cost and lack of information, ultimately encouraging broader adoption among communities.</w:t>
      </w:r>
    </w:p>
    <w:p>
      <w:pPr>
        <w:pStyle w:val="style0"/>
        <w:spacing w:lineRule="auto" w:line="480"/>
        <w:rPr/>
      </w:pPr>
      <w:r>
        <w:t>To enhance the adoption of alternative energy sources in Mazingara Ward, local authorities should implement targeted educational campaigns that raise awareness about the benefits and cost-effectiveness of cleaner cooking technologies. Additionally, providing financial incentives or subsidies for purchasing these technologies could significantly increase uptake among residents.</w:t>
      </w:r>
    </w:p>
    <w:p>
      <w:pPr>
        <w:pStyle w:val="style0"/>
        <w:spacing w:lineRule="auto" w:line="480"/>
        <w:rPr>
          <w:color w:val="000000"/>
        </w:rPr>
      </w:pPr>
      <w:r>
        <w:t>To address the health and environmental impacts of wood fuel consumption, a comprehensive community outreach program should be established to educate residents about the risks associated with wood fuel and promote sustainable practices. Strengthening law enforcement measures against illegal logging and ensuring sustainable harvesting practices will also be crucial for long-term forest management and community health.</w:t>
      </w:r>
    </w:p>
    <w:p>
      <w:pPr>
        <w:pStyle w:val="style0"/>
        <w:spacing w:lineRule="auto" w:line="480"/>
        <w:jc w:val="center"/>
        <w:rPr>
          <w:b/>
          <w:color w:val="000000"/>
        </w:rPr>
      </w:pPr>
      <w:r>
        <w:rPr>
          <w:b/>
          <w:color w:val="000000"/>
        </w:rPr>
        <w:t>REFERENCES</w:t>
      </w:r>
    </w:p>
    <w:p>
      <w:pPr>
        <w:pStyle w:val="style0"/>
        <w:spacing w:lineRule="auto" w:line="480"/>
        <w:ind w:left="709" w:hanging="709"/>
        <w:rPr/>
      </w:pPr>
      <w:r>
        <w:t xml:space="preserve">Ahmed, A., Ahmed, N., </w:t>
      </w:r>
      <w:r>
        <w:t>and</w:t>
      </w:r>
      <w:r>
        <w:t xml:space="preserve"> Nurul, A. (2016). Mixed method research: Approach and strategies. </w:t>
      </w:r>
      <w:r>
        <w:rPr>
          <w:i/>
          <w:iCs/>
        </w:rPr>
        <w:t>London</w:t>
      </w:r>
      <w:r>
        <w:t>: Sage Publications.</w:t>
      </w:r>
    </w:p>
    <w:p>
      <w:pPr>
        <w:pStyle w:val="style0"/>
        <w:spacing w:lineRule="auto" w:line="480"/>
        <w:ind w:left="709" w:hanging="709"/>
        <w:rPr/>
      </w:pPr>
      <w:r>
        <w:t xml:space="preserve">Berndes, G., Hoogwijk, M., </w:t>
      </w:r>
      <w:r>
        <w:t>and</w:t>
      </w:r>
      <w:r>
        <w:t xml:space="preserve"> van den Broek, R. (2003). The contribution of biomass in the future global energy supply: A review of 17 studies. </w:t>
      </w:r>
      <w:r>
        <w:rPr>
          <w:i/>
          <w:iCs/>
        </w:rPr>
        <w:t>Biomass and Bioenergy</w:t>
      </w:r>
      <w:r>
        <w:t xml:space="preserve">, 25(1), 1-28. </w:t>
      </w:r>
      <w:r>
        <w:rPr/>
        <w:fldChar w:fldCharType="begin"/>
      </w:r>
      <w:r>
        <w:instrText xml:space="preserve"> HYPERLINK "https://doi.org/10.1016/S0961-9534(02)00185-X" </w:instrText>
      </w:r>
      <w:r>
        <w:rPr/>
        <w:fldChar w:fldCharType="separate"/>
      </w:r>
      <w:r>
        <w:rPr>
          <w:rStyle w:val="style85"/>
        </w:rPr>
        <w:t>https://doi.org/10.1016/S0961-9534(02)00185-X</w:t>
      </w:r>
      <w:r>
        <w:rPr/>
        <w:fldChar w:fldCharType="end"/>
      </w:r>
    </w:p>
    <w:p>
      <w:pPr>
        <w:pStyle w:val="style0"/>
        <w:spacing w:lineRule="auto" w:line="480"/>
        <w:ind w:left="709" w:hanging="709"/>
        <w:rPr/>
      </w:pPr>
      <w:r>
        <w:t>Boyle, G. (2004). Renewable energy: Power for a sustainable future (2</w:t>
      </w:r>
      <w:r>
        <w:rPr>
          <w:vertAlign w:val="superscript"/>
        </w:rPr>
        <w:t>nd</w:t>
      </w:r>
      <w:r>
        <w:t xml:space="preserve"> ed.). Oxford University Press.</w:t>
      </w:r>
    </w:p>
    <w:p>
      <w:pPr>
        <w:pStyle w:val="style0"/>
        <w:spacing w:lineRule="auto" w:line="480"/>
        <w:ind w:left="709" w:hanging="709"/>
        <w:rPr/>
      </w:pPr>
      <w:r>
        <w:t xml:space="preserve">Brewer, M. B. (1988). A dual process model of impression formation. In T. K. Srull </w:t>
      </w:r>
      <w:r>
        <w:t>and</w:t>
      </w:r>
      <w:r>
        <w:t xml:space="preserve"> R. S. Wyer Jr. (Eds.), Advances in social cognition (Vol. 1, pp. 1-36). </w:t>
      </w:r>
      <w:r>
        <w:rPr>
          <w:i/>
          <w:iCs/>
        </w:rPr>
        <w:t>Lawrence Erlbaum Associates</w:t>
      </w:r>
      <w:r>
        <w:t>.</w:t>
      </w:r>
    </w:p>
    <w:p>
      <w:pPr>
        <w:pStyle w:val="style0"/>
        <w:spacing w:lineRule="auto" w:line="480"/>
        <w:ind w:left="709" w:hanging="709"/>
        <w:rPr/>
      </w:pPr>
      <w:r>
        <w:t xml:space="preserve">Buonocore, J. J., Luckow, P., Norris, G., Spengler, J. D., Biewald, B., Fisher, J., </w:t>
      </w:r>
      <w:r>
        <w:t>and</w:t>
      </w:r>
      <w:r>
        <w:t xml:space="preserve"> Levy, J. I. (2019). Health and climate benefits of different energy-efficiency and renewable energy choices. </w:t>
      </w:r>
      <w:r>
        <w:rPr>
          <w:i/>
          <w:iCs/>
        </w:rPr>
        <w:t>Nature Climate Change</w:t>
      </w:r>
      <w:r>
        <w:t xml:space="preserve">, 6(1), 100-105. </w:t>
      </w:r>
      <w:r>
        <w:rPr/>
        <w:fldChar w:fldCharType="begin"/>
      </w:r>
      <w:r>
        <w:instrText xml:space="preserve"> HYPERLINK "https://doi.org/10.1038/nclimate2771" </w:instrText>
      </w:r>
      <w:r>
        <w:rPr/>
        <w:fldChar w:fldCharType="separate"/>
      </w:r>
      <w:r>
        <w:rPr>
          <w:rStyle w:val="style85"/>
        </w:rPr>
        <w:t>https://doi.org/10.1038/nclimate2771</w:t>
      </w:r>
      <w:r>
        <w:rPr/>
        <w:fldChar w:fldCharType="end"/>
      </w:r>
    </w:p>
    <w:p>
      <w:pPr>
        <w:pStyle w:val="style0"/>
        <w:spacing w:lineRule="auto" w:line="480"/>
        <w:ind w:left="709" w:hanging="709"/>
        <w:rPr/>
      </w:pPr>
      <w:r>
        <w:t xml:space="preserve">Cherubini, F., Strømman, A. H., </w:t>
      </w:r>
      <w:r>
        <w:t>and</w:t>
      </w:r>
      <w:r>
        <w:t xml:space="preserve"> Hertwich, E. (2015). Quantifying the climate impact of bioenergy systems: Alternative metrics and their influence on policy analysis. </w:t>
      </w:r>
      <w:r>
        <w:rPr>
          <w:i/>
          <w:iCs/>
        </w:rPr>
        <w:t>GCB Bioenergy</w:t>
      </w:r>
      <w:r>
        <w:t xml:space="preserve">, 3(5), 413-426. </w:t>
      </w:r>
      <w:r>
        <w:rPr/>
        <w:fldChar w:fldCharType="begin"/>
      </w:r>
      <w:r>
        <w:instrText xml:space="preserve"> HYPERLINK "https://doi.org/10.1111/j.1757-1707.2010.01092.x" </w:instrText>
      </w:r>
      <w:r>
        <w:rPr/>
        <w:fldChar w:fldCharType="separate"/>
      </w:r>
      <w:r>
        <w:rPr>
          <w:rStyle w:val="style85"/>
        </w:rPr>
        <w:t>https://doi.org/10.1111/j.1757-1707.2010.01092.x</w:t>
      </w:r>
      <w:r>
        <w:rPr/>
        <w:fldChar w:fldCharType="end"/>
      </w:r>
    </w:p>
    <w:p>
      <w:pPr>
        <w:pStyle w:val="style0"/>
        <w:spacing w:lineRule="auto" w:line="480"/>
        <w:ind w:left="709" w:hanging="709"/>
        <w:rPr/>
      </w:pPr>
      <w:r>
        <w:t xml:space="preserve">Clean Energy Strategic Plan 2024-2034. (2023). Government strategy for sustainable energy use and reduction of wood fuel consumption. </w:t>
      </w:r>
      <w:r>
        <w:rPr>
          <w:i/>
          <w:iCs/>
        </w:rPr>
        <w:t>Ministry of Energy</w:t>
      </w:r>
      <w:r>
        <w:t xml:space="preserve">. </w:t>
      </w:r>
    </w:p>
    <w:p>
      <w:pPr>
        <w:pStyle w:val="style0"/>
        <w:spacing w:lineRule="auto" w:line="480"/>
        <w:ind w:left="709" w:hanging="709"/>
        <w:rPr/>
      </w:pPr>
      <w:r>
        <w:t xml:space="preserve">Demirbas, A. (2009). Biomass and biofuels: Securing the planet’s future energy needs. </w:t>
      </w:r>
      <w:r>
        <w:rPr>
          <w:i/>
          <w:iCs/>
        </w:rPr>
        <w:t>Springer</w:t>
      </w:r>
      <w:r>
        <w:t>.</w:t>
      </w:r>
    </w:p>
    <w:p>
      <w:pPr>
        <w:pStyle w:val="style0"/>
        <w:spacing w:lineRule="auto" w:line="480"/>
        <w:ind w:left="709" w:hanging="709"/>
        <w:rPr/>
      </w:pPr>
      <w:r>
        <w:t xml:space="preserve">Felix, M., Kaale, E., </w:t>
      </w:r>
      <w:r>
        <w:t>and</w:t>
      </w:r>
      <w:r>
        <w:t xml:space="preserve"> Mbwambo, Z. (2011). Factors affecting wood fuel consumption in Tanzania: A comparative analysis. </w:t>
      </w:r>
      <w:r>
        <w:rPr>
          <w:i/>
          <w:iCs/>
        </w:rPr>
        <w:t>Tanzania Forestry Services</w:t>
      </w:r>
      <w:r>
        <w:t>.</w:t>
      </w:r>
    </w:p>
    <w:p>
      <w:pPr>
        <w:pStyle w:val="style0"/>
        <w:spacing w:lineRule="auto" w:line="480"/>
        <w:ind w:left="709" w:hanging="709"/>
        <w:rPr/>
      </w:pPr>
      <w:r>
        <w:t xml:space="preserve">Fisher, C., </w:t>
      </w:r>
      <w:r>
        <w:t>and</w:t>
      </w:r>
      <w:r>
        <w:t xml:space="preserve"> Buglear, J. (2010). Researching and writing a dissertation: An essential guide for business students (3</w:t>
      </w:r>
      <w:r>
        <w:rPr>
          <w:vertAlign w:val="superscript"/>
        </w:rPr>
        <w:t>rd</w:t>
      </w:r>
      <w:r>
        <w:t xml:space="preserve"> ed.). </w:t>
      </w:r>
      <w:r>
        <w:rPr>
          <w:i/>
          <w:iCs/>
        </w:rPr>
        <w:t>Pearson Education</w:t>
      </w:r>
      <w:r>
        <w:t>.</w:t>
      </w:r>
    </w:p>
    <w:p>
      <w:pPr>
        <w:pStyle w:val="style0"/>
        <w:spacing w:lineRule="auto" w:line="480"/>
        <w:ind w:left="709" w:hanging="709"/>
        <w:rPr/>
      </w:pPr>
      <w:r>
        <w:t>Food and Agriculture Organization (FAO)</w:t>
      </w:r>
      <w:r>
        <w:t xml:space="preserve">. </w:t>
      </w:r>
      <w:r>
        <w:t xml:space="preserve">(2020). </w:t>
      </w:r>
      <w:r>
        <w:rPr>
          <w:i/>
          <w:iCs/>
        </w:rPr>
        <w:t>The state of food security and nutrition in the world 2020: Transforming food systems for affordable healthy diets</w:t>
      </w:r>
      <w:r>
        <w:t>. FAO.</w:t>
      </w:r>
    </w:p>
    <w:p>
      <w:pPr>
        <w:pStyle w:val="style0"/>
        <w:spacing w:lineRule="auto" w:line="480"/>
        <w:ind w:left="709" w:hanging="709"/>
        <w:rPr/>
      </w:pPr>
      <w:r>
        <w:t>Food and Agriculture Organization (FAO). (2020). The state of the world’s forests 2020: Forests, biodiversity and people. FAO.</w:t>
      </w:r>
    </w:p>
    <w:p>
      <w:pPr>
        <w:pStyle w:val="style0"/>
        <w:spacing w:lineRule="auto" w:line="480"/>
        <w:ind w:left="709" w:hanging="709"/>
        <w:rPr/>
      </w:pPr>
      <w:r>
        <w:t xml:space="preserve">Gain, A. K., Apipattanavis, S., Giupponi, C., </w:t>
      </w:r>
      <w:r>
        <w:t>and</w:t>
      </w:r>
      <w:r>
        <w:t xml:space="preserve"> Renaud, F. G. (2017). Climate risk index: Evaluating climate change induced risks in Bangladesh. </w:t>
      </w:r>
      <w:r>
        <w:rPr>
          <w:i/>
          <w:iCs/>
        </w:rPr>
        <w:t>Springer Climate</w:t>
      </w:r>
      <w:r>
        <w:t xml:space="preserve">, 11(1), 12-29. </w:t>
      </w:r>
      <w:r>
        <w:rPr/>
        <w:fldChar w:fldCharType="begin"/>
      </w:r>
      <w:r>
        <w:instrText xml:space="preserve"> HYPERLINK "https://doi.org/10.1007/s10661-015-4670-3" </w:instrText>
      </w:r>
      <w:r>
        <w:rPr/>
        <w:fldChar w:fldCharType="separate"/>
      </w:r>
      <w:r>
        <w:rPr>
          <w:rStyle w:val="style85"/>
        </w:rPr>
        <w:t>https://doi.org/10.1007/s10661-015-4670-3</w:t>
      </w:r>
      <w:r>
        <w:rPr/>
        <w:fldChar w:fldCharType="end"/>
      </w:r>
    </w:p>
    <w:p>
      <w:pPr>
        <w:pStyle w:val="style0"/>
        <w:spacing w:lineRule="auto" w:line="480"/>
        <w:ind w:left="709" w:hanging="709"/>
        <w:rPr/>
      </w:pPr>
      <w:r>
        <w:t xml:space="preserve">Gain, A. K., Giupponi, C., </w:t>
      </w:r>
      <w:r>
        <w:t>and</w:t>
      </w:r>
      <w:r>
        <w:t xml:space="preserve"> Renaud, F. G. (2017). Climate change adaptation through a water-energy-food nexus perspective in the context of Bangladesh. </w:t>
      </w:r>
      <w:r>
        <w:rPr>
          <w:i/>
          <w:iCs/>
        </w:rPr>
        <w:t>Environmental Science and Policy</w:t>
      </w:r>
      <w:r>
        <w:t xml:space="preserve">, 75, 38-45. </w:t>
      </w:r>
      <w:r>
        <w:rPr/>
        <w:fldChar w:fldCharType="begin"/>
      </w:r>
      <w:r>
        <w:instrText xml:space="preserve"> HYPERLINK "https://doi.org/10.1016/j.envsci.2017.05.019" </w:instrText>
      </w:r>
      <w:r>
        <w:rPr/>
        <w:fldChar w:fldCharType="separate"/>
      </w:r>
      <w:r>
        <w:rPr>
          <w:rStyle w:val="style85"/>
        </w:rPr>
        <w:t>https://doi.org/10.1016/j.envsci.2017.05.019</w:t>
      </w:r>
      <w:r>
        <w:rPr/>
        <w:fldChar w:fldCharType="end"/>
      </w:r>
    </w:p>
    <w:p>
      <w:pPr>
        <w:pStyle w:val="style0"/>
        <w:spacing w:lineRule="auto" w:line="480"/>
        <w:ind w:left="709" w:hanging="709"/>
        <w:rPr/>
      </w:pPr>
      <w:r>
        <w:t xml:space="preserve">Gain, J., Muhunza, M., </w:t>
      </w:r>
      <w:r>
        <w:t>and</w:t>
      </w:r>
      <w:r>
        <w:t xml:space="preserve"> Lugonzo, K. (2017). Sustainable wood fuel practices: A case study from Tanzania. </w:t>
      </w:r>
      <w:r>
        <w:rPr>
          <w:i/>
          <w:iCs/>
        </w:rPr>
        <w:t>Renewable Energy Journal</w:t>
      </w:r>
      <w:r>
        <w:t>, 4(2), 45-56.</w:t>
      </w:r>
    </w:p>
    <w:p>
      <w:pPr>
        <w:pStyle w:val="style0"/>
        <w:spacing w:lineRule="auto" w:line="480"/>
        <w:ind w:left="709" w:hanging="709"/>
        <w:rPr/>
      </w:pPr>
      <w:r>
        <w:t xml:space="preserve">Hall, D. O., Rosillo-Calle, F., Williams, R. H., </w:t>
      </w:r>
      <w:r>
        <w:t>and</w:t>
      </w:r>
      <w:r>
        <w:t xml:space="preserve"> Woods, J. (1993). Biomass for energy: Supply prospects. </w:t>
      </w:r>
      <w:r>
        <w:rPr>
          <w:i/>
          <w:iCs/>
        </w:rPr>
        <w:t>Renewable energy: Sources for fuels and electricity</w:t>
      </w:r>
      <w:r>
        <w:t xml:space="preserve"> (pp. 593-651). Island Press.</w:t>
      </w:r>
    </w:p>
    <w:p>
      <w:pPr>
        <w:pStyle w:val="style0"/>
        <w:spacing w:lineRule="auto" w:line="480"/>
        <w:ind w:left="709" w:hanging="709"/>
        <w:rPr/>
      </w:pPr>
      <w:r>
        <w:t>International Energy Agency (IEA). (2019). Africa energy outlook 2019. IEA.</w:t>
      </w:r>
    </w:p>
    <w:p>
      <w:pPr>
        <w:pStyle w:val="style0"/>
        <w:spacing w:lineRule="auto" w:line="480"/>
        <w:ind w:left="709" w:hanging="709"/>
        <w:rPr/>
      </w:pPr>
      <w:r>
        <w:t>International Energy Agency (IEA). (2021). World energy outlook 2021. IEA.</w:t>
      </w:r>
    </w:p>
    <w:p>
      <w:pPr>
        <w:pStyle w:val="style0"/>
        <w:spacing w:lineRule="auto" w:line="480"/>
        <w:ind w:left="709" w:hanging="709"/>
        <w:rPr/>
      </w:pPr>
      <w:r>
        <w:t>International Union for Conservation of Nature (IUCN). (1980). World conservation strategy: Living resource conservation for sustainable development. IUCN.</w:t>
      </w:r>
    </w:p>
    <w:p>
      <w:pPr>
        <w:pStyle w:val="style0"/>
        <w:spacing w:lineRule="auto" w:line="480"/>
        <w:ind w:left="709" w:hanging="709"/>
        <w:rPr/>
      </w:pPr>
      <w:r>
        <w:t xml:space="preserve">Kaale, B. K. (2005). Charcoal consumption and production in Tanzania: An overview and future outlook. </w:t>
      </w:r>
      <w:r>
        <w:rPr>
          <w:i/>
          <w:iCs/>
        </w:rPr>
        <w:t>Ministry of Natural Resources and Tourism, Forestry and Beekeeping Division</w:t>
      </w:r>
      <w:r>
        <w:t>.</w:t>
      </w:r>
    </w:p>
    <w:p>
      <w:pPr>
        <w:pStyle w:val="style0"/>
        <w:spacing w:lineRule="auto" w:line="480"/>
        <w:ind w:left="709" w:hanging="709"/>
        <w:rPr/>
      </w:pPr>
      <w:r>
        <w:t>Kothari, C. R. (2004). Research methodology: Methods and techniques (2</w:t>
      </w:r>
      <w:r>
        <w:rPr>
          <w:vertAlign w:val="superscript"/>
        </w:rPr>
        <w:t>nd</w:t>
      </w:r>
      <w:r>
        <w:t xml:space="preserve"> ed.). New Age International.</w:t>
      </w:r>
    </w:p>
    <w:p>
      <w:pPr>
        <w:pStyle w:val="style0"/>
        <w:spacing w:lineRule="auto" w:line="480"/>
        <w:ind w:left="709" w:hanging="709"/>
        <w:rPr/>
      </w:pPr>
      <w:r>
        <w:t>Kothari, C. R. (2004). Research methodology: Methods and techniques (2</w:t>
      </w:r>
      <w:r>
        <w:rPr>
          <w:vertAlign w:val="superscript"/>
        </w:rPr>
        <w:t>nd</w:t>
      </w:r>
      <w:r>
        <w:t xml:space="preserve"> ed.). New Age International.</w:t>
      </w:r>
    </w:p>
    <w:p>
      <w:pPr>
        <w:pStyle w:val="style0"/>
        <w:spacing w:lineRule="auto" w:line="480"/>
        <w:ind w:left="709" w:hanging="709"/>
        <w:rPr/>
      </w:pPr>
      <w:r>
        <w:t>Kothari, C. R. (2016). Research methodology: Methods and techniques (3</w:t>
      </w:r>
      <w:r>
        <w:rPr>
          <w:vertAlign w:val="superscript"/>
        </w:rPr>
        <w:t>rd</w:t>
      </w:r>
      <w:r>
        <w:t xml:space="preserve"> ed.). New Age International.</w:t>
      </w:r>
    </w:p>
    <w:p>
      <w:pPr>
        <w:pStyle w:val="style0"/>
        <w:spacing w:lineRule="auto" w:line="480"/>
        <w:ind w:left="709" w:hanging="709"/>
        <w:rPr/>
      </w:pPr>
      <w:r>
        <w:t xml:space="preserve">Krosnick, J. A. (1991). Response strategies for coping with the cognitive demands of attitude measures in surveys. </w:t>
      </w:r>
      <w:r>
        <w:rPr>
          <w:i/>
          <w:iCs/>
        </w:rPr>
        <w:t>Applied Cognitive Psychology</w:t>
      </w:r>
      <w:r>
        <w:t xml:space="preserve">, 5(3), 213-236. </w:t>
      </w:r>
      <w:r>
        <w:rPr/>
        <w:fldChar w:fldCharType="begin"/>
      </w:r>
      <w:r>
        <w:instrText xml:space="preserve"> HYPERLINK "https://doi.org/10.1002/acp.2350050305" </w:instrText>
      </w:r>
      <w:r>
        <w:rPr/>
        <w:fldChar w:fldCharType="separate"/>
      </w:r>
      <w:r>
        <w:rPr>
          <w:rStyle w:val="style85"/>
        </w:rPr>
        <w:t>https://doi.org/10.1002/acp.2350050305</w:t>
      </w:r>
      <w:r>
        <w:rPr/>
        <w:fldChar w:fldCharType="end"/>
      </w:r>
    </w:p>
    <w:p>
      <w:pPr>
        <w:pStyle w:val="style0"/>
        <w:spacing w:lineRule="auto" w:line="480"/>
        <w:ind w:left="709" w:hanging="709"/>
        <w:rPr/>
      </w:pPr>
      <w:r>
        <w:t>Kumar, R. (2017). Research methodology: A step-by-step guide for beginners (5</w:t>
      </w:r>
      <w:r>
        <w:rPr>
          <w:vertAlign w:val="superscript"/>
        </w:rPr>
        <w:t>th</w:t>
      </w:r>
      <w:r>
        <w:t xml:space="preserve"> ed.). Sage Publications.</w:t>
      </w:r>
    </w:p>
    <w:p>
      <w:pPr>
        <w:pStyle w:val="style0"/>
        <w:spacing w:lineRule="auto" w:line="480"/>
        <w:ind w:left="709" w:hanging="709"/>
        <w:rPr/>
      </w:pPr>
      <w:r>
        <w:t xml:space="preserve">Lehtikangas, P. (2015). Quality properties of wood pellets for fuel in Finland. </w:t>
      </w:r>
      <w:r>
        <w:rPr>
          <w:i/>
          <w:iCs/>
        </w:rPr>
        <w:t>Biomass and Bioenergy</w:t>
      </w:r>
      <w:r>
        <w:t xml:space="preserve">, 20(5), 377-383. </w:t>
      </w:r>
      <w:r>
        <w:rPr/>
        <w:fldChar w:fldCharType="begin"/>
      </w:r>
      <w:r>
        <w:instrText xml:space="preserve"> HYPERLINK "https://doi.org/10.1016/S0961-9534(01)00097-5" </w:instrText>
      </w:r>
      <w:r>
        <w:rPr/>
        <w:fldChar w:fldCharType="separate"/>
      </w:r>
      <w:r>
        <w:rPr>
          <w:rStyle w:val="style85"/>
        </w:rPr>
        <w:t>https://doi.org/10.1016/S0961-9534(01)00097-5</w:t>
      </w:r>
      <w:r>
        <w:rPr/>
        <w:fldChar w:fldCharType="end"/>
      </w:r>
    </w:p>
    <w:p>
      <w:pPr>
        <w:pStyle w:val="style0"/>
        <w:spacing w:lineRule="auto" w:line="480"/>
        <w:ind w:left="709" w:hanging="709"/>
        <w:rPr/>
      </w:pPr>
      <w:r>
        <w:t xml:space="preserve">Malik, S., Thakur, A., </w:t>
      </w:r>
      <w:r>
        <w:t>and</w:t>
      </w:r>
      <w:r>
        <w:t xml:space="preserve"> Singh, K. (2021). Biochemical conversion of biomass for bioenergy production. </w:t>
      </w:r>
      <w:r>
        <w:rPr>
          <w:i/>
          <w:iCs/>
        </w:rPr>
        <w:t>In Recent advances in bioenergy research</w:t>
      </w:r>
      <w:r>
        <w:t xml:space="preserve"> (pp. 115-134). Springer. </w:t>
      </w:r>
      <w:r>
        <w:rPr/>
        <w:fldChar w:fldCharType="begin"/>
      </w:r>
      <w:r>
        <w:instrText xml:space="preserve"> HYPERLINK "https://doi.org/10.1007/978-981-16-0521-8_7" </w:instrText>
      </w:r>
      <w:r>
        <w:rPr/>
        <w:fldChar w:fldCharType="separate"/>
      </w:r>
      <w:r>
        <w:rPr>
          <w:rStyle w:val="style85"/>
        </w:rPr>
        <w:t>https://doi.org/10.1007/978-981-16-0521-8_7</w:t>
      </w:r>
      <w:r>
        <w:rPr/>
        <w:fldChar w:fldCharType="end"/>
      </w:r>
    </w:p>
    <w:p>
      <w:pPr>
        <w:pStyle w:val="style0"/>
        <w:spacing w:lineRule="auto" w:line="480"/>
        <w:ind w:left="709" w:hanging="709"/>
        <w:rPr/>
      </w:pPr>
      <w:r>
        <w:t xml:space="preserve">Martin, R., Smith, P., </w:t>
      </w:r>
      <w:r>
        <w:t>and</w:t>
      </w:r>
      <w:r>
        <w:t xml:space="preserve"> Mutyaba, W. (2009). Wood fuel energy consumption in Tanzania. </w:t>
      </w:r>
      <w:r>
        <w:rPr>
          <w:i/>
          <w:iCs/>
        </w:rPr>
        <w:t>Energy Policy</w:t>
      </w:r>
      <w:r>
        <w:t xml:space="preserve">, 37(3), 1095-1101. </w:t>
      </w:r>
      <w:r>
        <w:rPr/>
        <w:fldChar w:fldCharType="begin"/>
      </w:r>
      <w:r>
        <w:instrText xml:space="preserve"> HYPERLINK "https://doi.org/10.1016/j.enpol.2008.10.042" </w:instrText>
      </w:r>
      <w:r>
        <w:rPr/>
        <w:fldChar w:fldCharType="separate"/>
      </w:r>
      <w:r>
        <w:rPr>
          <w:rStyle w:val="style85"/>
        </w:rPr>
        <w:t>https://doi.org/10.1016/j.enpol.2008.10.042</w:t>
      </w:r>
      <w:r>
        <w:rPr/>
        <w:fldChar w:fldCharType="end"/>
      </w:r>
    </w:p>
    <w:p>
      <w:pPr>
        <w:pStyle w:val="style0"/>
        <w:spacing w:lineRule="auto" w:line="480"/>
        <w:ind w:left="709" w:hanging="709"/>
        <w:rPr/>
      </w:pPr>
      <w:r>
        <w:t xml:space="preserve">Menendez, J., Castillo, A., </w:t>
      </w:r>
      <w:r>
        <w:t>and</w:t>
      </w:r>
      <w:r>
        <w:t xml:space="preserve"> Kairuki, S. (2013). _Economic impacts of wood fuel consumption on household finances in Tanzania: Case studies from Shinyanga. </w:t>
      </w:r>
      <w:r>
        <w:rPr>
          <w:i/>
          <w:iCs/>
        </w:rPr>
        <w:t>Energy for Sustainable Development Journal</w:t>
      </w:r>
      <w:r>
        <w:t>, 17(3), 157–163.</w:t>
      </w:r>
    </w:p>
    <w:p>
      <w:pPr>
        <w:pStyle w:val="style0"/>
        <w:spacing w:lineRule="auto" w:line="480"/>
        <w:ind w:left="709" w:hanging="709"/>
        <w:rPr/>
      </w:pPr>
      <w:r>
        <w:t xml:space="preserve">Msuya, N., Masanja, E., </w:t>
      </w:r>
      <w:r>
        <w:t>and</w:t>
      </w:r>
      <w:r>
        <w:t xml:space="preserve"> Temu, A. (2011). Environmental burden of charcoal production and use in Dar es Salaam, Tanzania. </w:t>
      </w:r>
      <w:r>
        <w:rPr>
          <w:i/>
          <w:iCs/>
        </w:rPr>
        <w:t>Journal of Environmental Protection</w:t>
      </w:r>
      <w:r>
        <w:t xml:space="preserve">, 2(10), 1364-1369. </w:t>
      </w:r>
      <w:r>
        <w:rPr/>
        <w:fldChar w:fldCharType="begin"/>
      </w:r>
      <w:r>
        <w:instrText xml:space="preserve"> HYPERLINK "https://doi.org/10.4236/jep.2011.210157" </w:instrText>
      </w:r>
      <w:r>
        <w:rPr/>
        <w:fldChar w:fldCharType="separate"/>
      </w:r>
      <w:r>
        <w:rPr>
          <w:rStyle w:val="style85"/>
        </w:rPr>
        <w:t>https://doi.org/10.4236/jep.2011.210157</w:t>
      </w:r>
      <w:r>
        <w:rPr/>
        <w:fldChar w:fldCharType="end"/>
      </w:r>
    </w:p>
    <w:p>
      <w:pPr>
        <w:pStyle w:val="style0"/>
        <w:spacing w:lineRule="auto" w:line="480"/>
        <w:ind w:left="709" w:hanging="709"/>
        <w:rPr/>
      </w:pPr>
      <w:r>
        <w:t xml:space="preserve">Muhunza, G., Rutabingwa, L., </w:t>
      </w:r>
      <w:r>
        <w:t>and</w:t>
      </w:r>
      <w:r>
        <w:t xml:space="preserve"> Mziray, T. (2013). Renewable energy options for rural Tanzania: Solar energy potential and economic feasibility. </w:t>
      </w:r>
      <w:r>
        <w:rPr>
          <w:i/>
          <w:iCs/>
        </w:rPr>
        <w:t>Tanzanian Journal of Renewable Energy</w:t>
      </w:r>
      <w:r>
        <w:t>, 7(3), 120-136.</w:t>
      </w:r>
    </w:p>
    <w:p>
      <w:pPr>
        <w:pStyle w:val="style0"/>
        <w:spacing w:lineRule="auto" w:line="480"/>
        <w:ind w:left="709" w:hanging="709"/>
        <w:rPr/>
      </w:pPr>
      <w:r>
        <w:t xml:space="preserve">Muhunza, M., Gain, J., </w:t>
      </w:r>
      <w:r>
        <w:t>and</w:t>
      </w:r>
      <w:r>
        <w:t xml:space="preserve"> Lugonzo, K. (2013). Wood fuel energy consumption and sustainability in rural Tanzania. </w:t>
      </w:r>
      <w:r>
        <w:rPr>
          <w:i/>
          <w:iCs/>
        </w:rPr>
        <w:t>Renewable Energy Journal</w:t>
      </w:r>
      <w:r>
        <w:t>, 3(1), 78-90.</w:t>
      </w:r>
    </w:p>
    <w:p>
      <w:pPr>
        <w:pStyle w:val="style0"/>
        <w:spacing w:lineRule="auto" w:line="480"/>
        <w:ind w:left="709" w:hanging="709"/>
        <w:rPr/>
      </w:pPr>
      <w:r>
        <w:t xml:space="preserve">National Bureau of Statistics (NBS). (2024). Household energy consumption survey 2024: Mainland Tanzania. </w:t>
      </w:r>
      <w:r>
        <w:rPr>
          <w:i/>
          <w:iCs/>
        </w:rPr>
        <w:t>National Bureau of Statistics</w:t>
      </w:r>
      <w:r>
        <w:t>.</w:t>
      </w:r>
    </w:p>
    <w:p>
      <w:pPr>
        <w:pStyle w:val="style0"/>
        <w:spacing w:lineRule="auto" w:line="480"/>
        <w:ind w:left="709" w:hanging="709"/>
        <w:rPr/>
      </w:pPr>
      <w:r>
        <w:t xml:space="preserve">Nuru, A., Kagya, A., </w:t>
      </w:r>
      <w:r>
        <w:t>and</w:t>
      </w:r>
      <w:r>
        <w:t xml:space="preserve"> Msemwa, F. (2015). Wood fuel consumption and its health impacts in rural communities of Tanzania. </w:t>
      </w:r>
      <w:r>
        <w:rPr>
          <w:i/>
          <w:iCs/>
        </w:rPr>
        <w:t>Public Health Review</w:t>
      </w:r>
      <w:r>
        <w:t>, 34(2), 211-223.</w:t>
      </w:r>
    </w:p>
    <w:p>
      <w:pPr>
        <w:pStyle w:val="style0"/>
        <w:spacing w:lineRule="auto" w:line="480"/>
        <w:ind w:left="709" w:hanging="709"/>
        <w:rPr/>
      </w:pPr>
      <w:r>
        <w:t xml:space="preserve">Ogwo, A. E., Igboanugo, A. C., </w:t>
      </w:r>
      <w:r>
        <w:t>and</w:t>
      </w:r>
      <w:r>
        <w:t xml:space="preserve"> Okoli, D. (2012). Environmental impacts of wood fuel usage: A case study in Nigeria. </w:t>
      </w:r>
      <w:r>
        <w:rPr>
          <w:i/>
          <w:iCs/>
        </w:rPr>
        <w:t>Journal of Energy and Environmental Sustainability</w:t>
      </w:r>
      <w:r>
        <w:t>, 1(1), 8-12.</w:t>
      </w:r>
    </w:p>
    <w:p>
      <w:pPr>
        <w:pStyle w:val="style0"/>
        <w:spacing w:lineRule="auto" w:line="480"/>
        <w:ind w:left="709" w:hanging="709"/>
        <w:rPr/>
      </w:pPr>
      <w:r>
        <w:t xml:space="preserve">Oladeji, J. T. (2011). The effects of sawdust in the production of biomass briquettes as a good substitute for fossil fuel. </w:t>
      </w:r>
      <w:r>
        <w:rPr>
          <w:i/>
          <w:iCs/>
        </w:rPr>
        <w:t>Pacific Journal of Science and Technology</w:t>
      </w:r>
      <w:r>
        <w:t>, 12(2), 101-106.</w:t>
      </w:r>
    </w:p>
    <w:p>
      <w:pPr>
        <w:pStyle w:val="style0"/>
        <w:spacing w:lineRule="auto" w:line="480"/>
        <w:ind w:left="709" w:hanging="709"/>
        <w:rPr/>
      </w:pPr>
      <w:r>
        <w:t xml:space="preserve">Ravindranath, N. H., </w:t>
      </w:r>
      <w:r>
        <w:t>and</w:t>
      </w:r>
      <w:r>
        <w:t xml:space="preserve"> Hall, D. O. (2015). Biomass, energy, and environment: A developing country perspective from India. Oxford University Press.</w:t>
      </w:r>
    </w:p>
    <w:p>
      <w:pPr>
        <w:pStyle w:val="style0"/>
        <w:spacing w:lineRule="auto" w:line="480"/>
        <w:ind w:left="709" w:hanging="709"/>
        <w:rPr/>
      </w:pPr>
      <w:r>
        <w:t xml:space="preserve">Smith, K. R., Bruce, N., Balakrishnan, K., Adair-Rohani, H., Balmes, J., Chafe, Z., </w:t>
      </w:r>
      <w:r>
        <w:t>and</w:t>
      </w:r>
      <w:r>
        <w:t xml:space="preserve"> Rehfuess, E. (2014). Millions dead: How do we know and what does it mean? Methods used in the comparative risk assessment of household air pollution. </w:t>
      </w:r>
      <w:r>
        <w:rPr>
          <w:i/>
          <w:iCs/>
        </w:rPr>
        <w:t>Annual Review of Public Health</w:t>
      </w:r>
      <w:r>
        <w:t xml:space="preserve">, 35(1), 185-206. </w:t>
      </w:r>
      <w:r>
        <w:rPr/>
        <w:fldChar w:fldCharType="begin"/>
      </w:r>
      <w:r>
        <w:instrText xml:space="preserve"> HYPERLINK "https://doi.org/10.1146/annurev-publhealth-032013-182356" </w:instrText>
      </w:r>
      <w:r>
        <w:rPr/>
        <w:fldChar w:fldCharType="separate"/>
      </w:r>
      <w:r>
        <w:rPr>
          <w:rStyle w:val="style85"/>
        </w:rPr>
        <w:t>https://doi.org/10.1146/annurev-publhealth-032013-182356</w:t>
      </w:r>
      <w:r>
        <w:rPr/>
        <w:fldChar w:fldCharType="end"/>
      </w:r>
    </w:p>
    <w:p>
      <w:pPr>
        <w:pStyle w:val="style0"/>
        <w:spacing w:lineRule="auto" w:line="480"/>
        <w:ind w:left="709" w:hanging="709"/>
        <w:rPr/>
      </w:pPr>
      <w:r>
        <w:t xml:space="preserve">Smith, P. (2015). The sustainability of wood fuel energy in developing countries. </w:t>
      </w:r>
      <w:r>
        <w:rPr>
          <w:i/>
          <w:iCs/>
        </w:rPr>
        <w:t>Journal of Renewable Energy,</w:t>
      </w:r>
      <w:r>
        <w:t xml:space="preserve"> 5(2), 55-68.</w:t>
      </w:r>
    </w:p>
    <w:p>
      <w:pPr>
        <w:pStyle w:val="style0"/>
        <w:spacing w:lineRule="auto" w:line="480"/>
        <w:ind w:left="709" w:hanging="709"/>
        <w:rPr/>
      </w:pPr>
      <w:r>
        <w:t xml:space="preserve">Solinas, M., Ortega, S. S., </w:t>
      </w:r>
      <w:r>
        <w:t>and</w:t>
      </w:r>
      <w:r>
        <w:t xml:space="preserve"> Fernández, C. A. (2019). Environmental impacts of wood fuel production and use in southern Europe. </w:t>
      </w:r>
      <w:r>
        <w:rPr>
          <w:i/>
          <w:iCs/>
        </w:rPr>
        <w:t>Forest Ecology and Management</w:t>
      </w:r>
      <w:r>
        <w:t xml:space="preserve">, 5(3), 35-48. </w:t>
      </w:r>
      <w:r>
        <w:rPr/>
        <w:fldChar w:fldCharType="begin"/>
      </w:r>
      <w:r>
        <w:instrText xml:space="preserve"> HYPERLINK "https://doi.org/10.1016/j.foreco.2018.12.015" </w:instrText>
      </w:r>
      <w:r>
        <w:rPr/>
        <w:fldChar w:fldCharType="separate"/>
      </w:r>
      <w:r>
        <w:rPr>
          <w:rStyle w:val="style85"/>
        </w:rPr>
        <w:t>https://doi.org/10.1016/j.foreco.2018.12.015</w:t>
      </w:r>
      <w:r>
        <w:rPr/>
        <w:fldChar w:fldCharType="end"/>
      </w:r>
    </w:p>
    <w:p>
      <w:pPr>
        <w:pStyle w:val="style0"/>
        <w:spacing w:lineRule="auto" w:line="480"/>
        <w:ind w:left="709" w:hanging="709"/>
        <w:rPr/>
      </w:pPr>
      <w:r>
        <w:t xml:space="preserve">Stolton, S., Dudley, N., </w:t>
      </w:r>
      <w:r>
        <w:t>and</w:t>
      </w:r>
      <w:r>
        <w:t xml:space="preserve"> Garner, L. (2017). Protected areas: A guide to management. IUCN.</w:t>
      </w:r>
    </w:p>
    <w:p>
      <w:pPr>
        <w:pStyle w:val="style0"/>
        <w:spacing w:lineRule="auto" w:line="480"/>
        <w:ind w:left="709" w:hanging="709"/>
        <w:rPr/>
      </w:pPr>
      <w:r>
        <w:t>Tanzania Forest Service (TFS) (2023). Charcoal and firewood production report (2014-2023). Tanzania Forest Service.</w:t>
      </w:r>
    </w:p>
    <w:p>
      <w:pPr>
        <w:pStyle w:val="style0"/>
        <w:spacing w:lineRule="auto" w:line="480"/>
        <w:ind w:left="709" w:hanging="709"/>
        <w:rPr/>
      </w:pPr>
      <w:r>
        <w:t>Tanzania Forestry Services (TFS). (2014-2023). Charcoal and firewood production trends in Mazingara Ward. Tanzania Forestry Services.</w:t>
      </w:r>
    </w:p>
    <w:p>
      <w:pPr>
        <w:pStyle w:val="style0"/>
        <w:spacing w:lineRule="auto" w:line="480"/>
        <w:ind w:left="709" w:hanging="709"/>
        <w:rPr/>
      </w:pPr>
      <w:r>
        <w:t>Tanzania Ministry of Energy (2024). Tanzania’s clean energy strategic plan (2024-2034). Ministry of Energy, Tanzania.</w:t>
      </w:r>
    </w:p>
    <w:p>
      <w:pPr>
        <w:pStyle w:val="style0"/>
        <w:spacing w:lineRule="auto" w:line="480"/>
        <w:ind w:left="709" w:hanging="709"/>
        <w:rPr/>
      </w:pPr>
      <w:r>
        <w:t>Tanzania Ministry of Energy. (2019). Tanzania energy sector overview. Ministry of Energy.</w:t>
      </w:r>
    </w:p>
    <w:p>
      <w:pPr>
        <w:pStyle w:val="style0"/>
        <w:spacing w:lineRule="auto" w:line="480"/>
        <w:ind w:left="709" w:hanging="709"/>
        <w:rPr/>
      </w:pPr>
      <w:r>
        <w:t xml:space="preserve">Terrapon-Pfaff, J., Dienst, C., König, J., </w:t>
      </w:r>
      <w:r>
        <w:t>and</w:t>
      </w:r>
      <w:r>
        <w:t xml:space="preserve"> Ortiz, W. (2012). A cross-sectional review: Impacts of electricity generation from renewable sources on the poor. </w:t>
      </w:r>
      <w:r>
        <w:rPr>
          <w:i/>
          <w:iCs/>
        </w:rPr>
        <w:t>Renewable and Sustainable Energy Reviews</w:t>
      </w:r>
      <w:r>
        <w:t xml:space="preserve">, 16(2), 466-475. </w:t>
      </w:r>
      <w:r>
        <w:rPr/>
        <w:fldChar w:fldCharType="begin"/>
      </w:r>
      <w:r>
        <w:instrText xml:space="preserve"> HYPERLINK "https://doi.org/10.1016/j.rser.2011.08.044" </w:instrText>
      </w:r>
      <w:r>
        <w:rPr/>
        <w:fldChar w:fldCharType="separate"/>
      </w:r>
      <w:r>
        <w:rPr>
          <w:rStyle w:val="style85"/>
        </w:rPr>
        <w:t>https://doi.org/10.1016/j.rser.2011.08.044</w:t>
      </w:r>
      <w:r>
        <w:rPr/>
        <w:fldChar w:fldCharType="end"/>
      </w:r>
    </w:p>
    <w:p>
      <w:pPr>
        <w:pStyle w:val="style0"/>
        <w:spacing w:lineRule="auto" w:line="480"/>
        <w:ind w:left="709" w:hanging="709"/>
        <w:rPr/>
      </w:pPr>
      <w:r>
        <w:t>United Nations Development Programme (UNDP). (2018). Sustainable development goals report. UNDP.</w:t>
      </w:r>
    </w:p>
    <w:p>
      <w:pPr>
        <w:pStyle w:val="style0"/>
        <w:spacing w:lineRule="auto" w:line="480"/>
        <w:ind w:left="709" w:hanging="709"/>
        <w:rPr/>
      </w:pPr>
      <w:r>
        <w:t xml:space="preserve">United Nations Environment Programme (UNEP). (2017). </w:t>
      </w:r>
      <w:r>
        <w:rPr>
          <w:i/>
          <w:iCs/>
        </w:rPr>
        <w:t>The emissions gap report 2017</w:t>
      </w:r>
      <w:r>
        <w:t>. UNEP.</w:t>
      </w:r>
    </w:p>
    <w:p>
      <w:pPr>
        <w:pStyle w:val="style0"/>
        <w:spacing w:lineRule="auto" w:line="480"/>
        <w:ind w:left="709" w:hanging="709"/>
        <w:rPr>
          <w:i/>
          <w:iCs/>
        </w:rPr>
      </w:pPr>
      <w:r>
        <w:t xml:space="preserve">United Republic of Tanzania. (2016). Forest resources assessment report. </w:t>
      </w:r>
      <w:r>
        <w:rPr>
          <w:i/>
          <w:iCs/>
        </w:rPr>
        <w:t>Ministry of Natural Resources and Tourism.</w:t>
      </w:r>
    </w:p>
    <w:p>
      <w:pPr>
        <w:pStyle w:val="style0"/>
        <w:spacing w:lineRule="auto" w:line="480"/>
        <w:ind w:left="709" w:hanging="709"/>
        <w:rPr/>
      </w:pPr>
      <w:r>
        <w:t xml:space="preserve">United Republic of Tanzania. (2016). National forest resources assessment 2015-2016: A comprehensive analysis of the state of Tanzania’s forests. </w:t>
      </w:r>
      <w:r>
        <w:rPr>
          <w:i/>
          <w:iCs/>
        </w:rPr>
        <w:t>Ministry of Natural Resources and Tourism</w:t>
      </w:r>
      <w:r>
        <w:t>.</w:t>
      </w:r>
    </w:p>
    <w:p>
      <w:pPr>
        <w:pStyle w:val="style0"/>
        <w:spacing w:lineRule="auto" w:line="480"/>
        <w:ind w:left="709" w:hanging="709"/>
        <w:rPr>
          <w:i/>
          <w:iCs/>
        </w:rPr>
      </w:pPr>
      <w:r>
        <w:t xml:space="preserve">United Republic of Tanzania. (2017). National forest policy. </w:t>
      </w:r>
      <w:r>
        <w:rPr>
          <w:i/>
          <w:iCs/>
        </w:rPr>
        <w:t>Ministry of Natural Resources and Tourism.</w:t>
      </w:r>
    </w:p>
    <w:p>
      <w:pPr>
        <w:pStyle w:val="style0"/>
        <w:spacing w:lineRule="auto" w:line="480"/>
        <w:ind w:left="709" w:hanging="709"/>
        <w:rPr/>
      </w:pPr>
      <w:r>
        <w:t xml:space="preserve">United Republic of Tanzania. (2017). Tanzania wood fuel development strategy 2017-2022. </w:t>
      </w:r>
      <w:r>
        <w:rPr>
          <w:i/>
          <w:iCs/>
        </w:rPr>
        <w:t>Ministry of Energy</w:t>
      </w:r>
      <w:r>
        <w:t>.</w:t>
      </w:r>
    </w:p>
    <w:p>
      <w:pPr>
        <w:pStyle w:val="style0"/>
        <w:spacing w:lineRule="auto" w:line="480"/>
        <w:ind w:left="709" w:hanging="709"/>
        <w:rPr>
          <w:i/>
          <w:iCs/>
        </w:rPr>
      </w:pPr>
      <w:r>
        <w:t xml:space="preserve">United Republic of Tanzania. (2018). Tanga region environmental status report. </w:t>
      </w:r>
      <w:r>
        <w:rPr>
          <w:i/>
          <w:iCs/>
        </w:rPr>
        <w:t>Ministry of Natural Resources and Tourism.</w:t>
      </w:r>
    </w:p>
    <w:p>
      <w:pPr>
        <w:pStyle w:val="style0"/>
        <w:spacing w:lineRule="auto" w:line="480"/>
        <w:ind w:left="709" w:hanging="709"/>
        <w:rPr/>
      </w:pPr>
      <w:r>
        <w:t xml:space="preserve">WEO (2024). Ward Executive Officer report on wood fuel usage in Mazingara ward, Handeni district. </w:t>
      </w:r>
      <w:r>
        <w:rPr>
          <w:i/>
          <w:iCs/>
        </w:rPr>
        <w:t>Handeni District Council</w:t>
      </w:r>
      <w:r>
        <w:t>.</w:t>
      </w:r>
    </w:p>
    <w:p>
      <w:pPr>
        <w:pStyle w:val="style0"/>
        <w:spacing w:lineRule="auto" w:line="480"/>
        <w:ind w:left="709" w:hanging="709"/>
        <w:rPr/>
      </w:pPr>
      <w:r>
        <w:t xml:space="preserve">Wiskerke, W., Groot, W., </w:t>
      </w:r>
      <w:r>
        <w:t>and</w:t>
      </w:r>
      <w:r>
        <w:t xml:space="preserve"> Benschop, R. (2010). The economic and environmental effects of wood fuel use in semi-arid regions: A case study of Shinyanga, Tanzania. </w:t>
      </w:r>
      <w:r>
        <w:rPr>
          <w:i/>
          <w:iCs/>
        </w:rPr>
        <w:t>Journal of Sustainable Forestry</w:t>
      </w:r>
      <w:r>
        <w:t>, 29(4), 245-260.</w:t>
      </w:r>
    </w:p>
    <w:p>
      <w:pPr>
        <w:pStyle w:val="style0"/>
        <w:spacing w:lineRule="auto" w:line="480"/>
        <w:ind w:left="709" w:hanging="709"/>
        <w:rPr/>
      </w:pPr>
      <w:r>
        <w:t xml:space="preserve">World Health Organization (WHO). (2018). Household air pollution and health. WHO. </w:t>
      </w:r>
      <w:r>
        <w:rPr/>
        <w:fldChar w:fldCharType="begin"/>
      </w:r>
      <w:r>
        <w:instrText xml:space="preserve"> HYPERLINK "https://www.who.int/news-room/fact-sheets/detail/household-air-pollution-and-health" </w:instrText>
      </w:r>
      <w:r>
        <w:rPr/>
        <w:fldChar w:fldCharType="separate"/>
      </w:r>
      <w:r>
        <w:rPr>
          <w:rStyle w:val="style85"/>
        </w:rPr>
        <w:t>https://www.who.int/news-room/fact-sheets/detail/household-air-pollution-and-health</w:t>
      </w:r>
      <w:r>
        <w:rPr/>
        <w:fldChar w:fldCharType="end"/>
      </w:r>
    </w:p>
    <w:p>
      <w:pPr>
        <w:pStyle w:val="style0"/>
        <w:spacing w:lineRule="auto" w:line="480"/>
        <w:ind w:left="720" w:hanging="720"/>
        <w:rPr>
          <w:color w:val="000000"/>
        </w:rPr>
      </w:pPr>
    </w:p>
    <w:p>
      <w:pPr>
        <w:pStyle w:val="style0"/>
        <w:spacing w:lineRule="auto" w:line="480"/>
        <w:ind w:left="720" w:hanging="720"/>
        <w:rPr>
          <w:color w:val="000000"/>
        </w:rPr>
      </w:pPr>
    </w:p>
    <w:p>
      <w:pPr>
        <w:pStyle w:val="style0"/>
        <w:spacing w:lineRule="auto" w:line="480"/>
        <w:ind w:left="720" w:hanging="720"/>
        <w:rPr>
          <w:color w:val="000000"/>
        </w:rPr>
      </w:pPr>
    </w:p>
    <w:p>
      <w:pPr>
        <w:pStyle w:val="style0"/>
        <w:spacing w:lineRule="auto" w:line="480"/>
        <w:ind w:left="720" w:hanging="720"/>
        <w:rPr>
          <w:color w:val="000000"/>
        </w:rPr>
      </w:pPr>
    </w:p>
    <w:p>
      <w:pPr>
        <w:pStyle w:val="style0"/>
        <w:spacing w:lineRule="auto" w:line="480"/>
        <w:ind w:left="720" w:hanging="720"/>
        <w:rPr>
          <w:color w:val="000000"/>
        </w:rPr>
      </w:pPr>
    </w:p>
    <w:p>
      <w:pPr>
        <w:pStyle w:val="style0"/>
        <w:spacing w:lineRule="auto" w:line="480"/>
        <w:ind w:left="720" w:hanging="720"/>
        <w:rPr>
          <w:color w:val="000000"/>
        </w:rPr>
      </w:pPr>
    </w:p>
    <w:p>
      <w:pPr>
        <w:pStyle w:val="style0"/>
        <w:jc w:val="center"/>
        <w:rPr>
          <w:b/>
          <w:color w:val="000000"/>
        </w:rPr>
      </w:pPr>
      <w:r>
        <w:rPr>
          <w:b/>
          <w:color w:val="000000"/>
        </w:rPr>
        <w:t>QUESTIONNAIRE</w:t>
      </w:r>
    </w:p>
    <w:p>
      <w:pPr>
        <w:pStyle w:val="style0"/>
        <w:rPr>
          <w:b/>
          <w:color w:val="000000"/>
        </w:rPr>
      </w:pPr>
      <w:r>
        <w:rPr>
          <w:b/>
          <w:color w:val="000000"/>
        </w:rPr>
        <w:t>Section A: Demographic Information</w:t>
      </w:r>
    </w:p>
    <w:p>
      <w:pPr>
        <w:pStyle w:val="style179"/>
        <w:numPr>
          <w:ilvl w:val="0"/>
          <w:numId w:val="8"/>
        </w:numPr>
        <w:spacing w:before="0" w:beforeAutospacing="false" w:after="0" w:afterAutospacing="false"/>
        <w:rPr>
          <w:color w:val="000000"/>
        </w:rPr>
      </w:pPr>
      <w:r>
        <w:rPr>
          <w:noProof/>
          <w:color w:val="000000"/>
        </w:rPr>
        <mc:AlternateContent>
          <mc:Choice Requires="wps">
            <w:drawing>
              <wp:anchor distT="0" distB="0" distL="0" distR="0" simplePos="false" relativeHeight="4" behindDoc="false" locked="false" layoutInCell="true" allowOverlap="true">
                <wp:simplePos x="0" y="0"/>
                <wp:positionH relativeFrom="column">
                  <wp:posOffset>2110902</wp:posOffset>
                </wp:positionH>
                <wp:positionV relativeFrom="paragraph">
                  <wp:posOffset>148117</wp:posOffset>
                </wp:positionV>
                <wp:extent cx="350196" cy="340468"/>
                <wp:effectExtent l="0" t="0" r="12065" b="21590"/>
                <wp:wrapNone/>
                <wp:docPr id="1050" name="Rectangle 1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50196" cy="340468"/>
                        </a:xfrm>
                        <a:prstGeom prst="rect"/>
                        <a:ln cmpd="sng" cap="flat" w="25400">
                          <a:solidFill>
                            <a:srgbClr val="000000"/>
                          </a:solidFill>
                          <a:prstDash val="solid"/>
                          <a:round/>
                          <a:headEnd/>
                          <a:tailEnd/>
                        </a:ln>
                      </wps:spPr>
                      <wps:bodyPr>
                        <a:prstTxWarp prst="textNoShape"/>
                      </wps:bodyPr>
                    </wps:wsp>
                  </a:graphicData>
                </a:graphic>
                <wp14:sizeRelV relativeFrom="margin">
                  <wp14:pctHeight>0</wp14:pctHeight>
                </wp14:sizeRelV>
              </wp:anchor>
            </w:drawing>
          </mc:Choice>
          <mc:Fallback>
            <w:pict>
              <v:rect id="1050" filled="f" stroked="t" style="position:absolute;margin-left:166.21pt;margin-top:11.66pt;width:27.57pt;height:26.81pt;z-index:4;mso-position-horizontal-relative:text;mso-position-vertical-relative:text;mso-height-percent:0;mso-width-relative:page;mso-height-relative:margin;mso-wrap-distance-left:0.0pt;mso-wrap-distance-right:0.0pt;visibility:visible;">
                <v:stroke weight="2.0pt"/>
                <v:fill/>
              </v:rect>
            </w:pict>
          </mc:Fallback>
        </mc:AlternateContent>
      </w:r>
      <w:r>
        <w:rPr>
          <w:color w:val="000000"/>
        </w:rPr>
        <w:t>Sex of respondent</w:t>
      </w:r>
    </w:p>
    <w:p>
      <w:pPr>
        <w:pStyle w:val="style0"/>
        <w:numPr>
          <w:ilvl w:val="0"/>
          <w:numId w:val="5"/>
        </w:numPr>
        <w:spacing w:before="0" w:beforeAutospacing="false" w:after="0" w:afterAutospacing="false"/>
        <w:ind w:left="1440"/>
        <w:rPr>
          <w:color w:val="000000"/>
        </w:rPr>
      </w:pPr>
      <w:r>
        <w:rPr>
          <w:color w:val="000000"/>
        </w:rPr>
        <w:t>Male</w:t>
      </w:r>
    </w:p>
    <w:p>
      <w:pPr>
        <w:pStyle w:val="style0"/>
        <w:numPr>
          <w:ilvl w:val="0"/>
          <w:numId w:val="5"/>
        </w:numPr>
        <w:spacing w:before="0" w:beforeAutospacing="false" w:after="0" w:afterAutospacing="false"/>
        <w:ind w:left="1440"/>
        <w:rPr>
          <w:color w:val="000000"/>
        </w:rPr>
      </w:pPr>
      <w:r>
        <w:rPr>
          <w:color w:val="000000"/>
        </w:rPr>
        <w:t>Female</w:t>
      </w:r>
    </w:p>
    <w:p>
      <w:pPr>
        <w:pStyle w:val="style179"/>
        <w:numPr>
          <w:ilvl w:val="0"/>
          <w:numId w:val="8"/>
        </w:numPr>
        <w:spacing w:before="0" w:beforeAutospacing="false" w:after="0" w:afterAutospacing="false"/>
        <w:rPr>
          <w:color w:val="000000"/>
        </w:rPr>
      </w:pPr>
      <w:r>
        <w:rPr>
          <w:color w:val="000000"/>
        </w:rPr>
        <w:t>Age of the respondent…………………………………….</w:t>
      </w:r>
    </w:p>
    <w:p>
      <w:pPr>
        <w:pStyle w:val="style179"/>
        <w:numPr>
          <w:ilvl w:val="0"/>
          <w:numId w:val="8"/>
        </w:numPr>
        <w:spacing w:before="0" w:beforeAutospacing="false" w:after="0" w:afterAutospacing="false"/>
        <w:rPr>
          <w:color w:val="000000"/>
        </w:rPr>
      </w:pPr>
      <w:r>
        <w:rPr>
          <w:color w:val="000000"/>
        </w:rPr>
        <w:t>Marital status of the respondent</w:t>
      </w:r>
    </w:p>
    <w:p>
      <w:pPr>
        <w:pStyle w:val="style179"/>
        <w:numPr>
          <w:ilvl w:val="0"/>
          <w:numId w:val="7"/>
        </w:numPr>
        <w:spacing w:before="0" w:beforeAutospacing="false" w:after="0" w:afterAutospacing="false"/>
        <w:ind w:left="1440"/>
        <w:rPr>
          <w:color w:val="000000"/>
        </w:rPr>
      </w:pPr>
      <w:r>
        <w:rPr>
          <w:color w:val="000000"/>
        </w:rPr>
        <w:t xml:space="preserve">Single </w:t>
      </w:r>
    </w:p>
    <w:p>
      <w:pPr>
        <w:pStyle w:val="style179"/>
        <w:numPr>
          <w:ilvl w:val="0"/>
          <w:numId w:val="7"/>
        </w:numPr>
        <w:spacing w:before="0" w:beforeAutospacing="false" w:after="0" w:afterAutospacing="false"/>
        <w:ind w:left="1440"/>
        <w:rPr>
          <w:color w:val="000000"/>
        </w:rPr>
      </w:pPr>
      <w:r>
        <w:rPr>
          <w:noProof/>
          <w:color w:val="000000"/>
        </w:rPr>
        <mc:AlternateContent>
          <mc:Choice Requires="wps">
            <w:drawing>
              <wp:anchor distT="0" distB="0" distL="0" distR="0" simplePos="false" relativeHeight="5" behindDoc="false" locked="false" layoutInCell="true" allowOverlap="true">
                <wp:simplePos x="0" y="0"/>
                <wp:positionH relativeFrom="column">
                  <wp:posOffset>2139315</wp:posOffset>
                </wp:positionH>
                <wp:positionV relativeFrom="paragraph">
                  <wp:posOffset>10309</wp:posOffset>
                </wp:positionV>
                <wp:extent cx="350196" cy="340468"/>
                <wp:effectExtent l="0" t="0" r="12065" b="21590"/>
                <wp:wrapNone/>
                <wp:docPr id="1051" name="Rectangle 1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50196" cy="340468"/>
                        </a:xfrm>
                        <a:prstGeom prst="rect"/>
                        <a:ln cmpd="sng" cap="flat" w="25400">
                          <a:solidFill>
                            <a:srgbClr val="000000"/>
                          </a:solidFill>
                          <a:prstDash val="solid"/>
                          <a:round/>
                          <a:headEnd/>
                          <a:tailEnd/>
                        </a:ln>
                      </wps:spPr>
                      <wps:bodyPr>
                        <a:prstTxWarp prst="textNoShape"/>
                      </wps:bodyPr>
                    </wps:wsp>
                  </a:graphicData>
                </a:graphic>
                <wp14:sizeRelV relativeFrom="margin">
                  <wp14:pctHeight>0</wp14:pctHeight>
                </wp14:sizeRelV>
              </wp:anchor>
            </w:drawing>
          </mc:Choice>
          <mc:Fallback>
            <w:pict>
              <v:rect id="1051" filled="f" stroked="t" style="position:absolute;margin-left:168.45pt;margin-top:0.81pt;width:27.57pt;height:26.81pt;z-index:5;mso-position-horizontal-relative:text;mso-position-vertical-relative:text;mso-height-percent:0;mso-width-relative:page;mso-height-relative:margin;mso-wrap-distance-left:0.0pt;mso-wrap-distance-right:0.0pt;visibility:visible;">
                <v:stroke weight="2.0pt"/>
                <v:fill/>
              </v:rect>
            </w:pict>
          </mc:Fallback>
        </mc:AlternateContent>
      </w:r>
      <w:r>
        <w:rPr>
          <w:color w:val="000000"/>
        </w:rPr>
        <w:t xml:space="preserve">Married </w:t>
      </w:r>
    </w:p>
    <w:p>
      <w:pPr>
        <w:pStyle w:val="style179"/>
        <w:numPr>
          <w:ilvl w:val="0"/>
          <w:numId w:val="7"/>
        </w:numPr>
        <w:spacing w:before="0" w:beforeAutospacing="false" w:after="0" w:afterAutospacing="false"/>
        <w:ind w:left="1440"/>
        <w:rPr>
          <w:color w:val="000000"/>
        </w:rPr>
      </w:pPr>
      <w:r>
        <w:rPr>
          <w:color w:val="000000"/>
        </w:rPr>
        <w:t xml:space="preserve">Widow </w:t>
      </w:r>
    </w:p>
    <w:p>
      <w:pPr>
        <w:pStyle w:val="style179"/>
        <w:numPr>
          <w:ilvl w:val="0"/>
          <w:numId w:val="7"/>
        </w:numPr>
        <w:spacing w:before="0" w:beforeAutospacing="false" w:after="0" w:afterAutospacing="false"/>
        <w:ind w:left="1440"/>
        <w:rPr>
          <w:color w:val="000000"/>
        </w:rPr>
      </w:pPr>
      <w:r>
        <w:rPr>
          <w:color w:val="000000"/>
        </w:rPr>
        <w:t xml:space="preserve">Separated </w:t>
      </w:r>
    </w:p>
    <w:p>
      <w:pPr>
        <w:pStyle w:val="style179"/>
        <w:numPr>
          <w:ilvl w:val="0"/>
          <w:numId w:val="8"/>
        </w:numPr>
        <w:spacing w:before="0" w:beforeAutospacing="false" w:after="0" w:afterAutospacing="false"/>
        <w:rPr>
          <w:color w:val="000000"/>
        </w:rPr>
      </w:pPr>
      <w:r>
        <w:rPr>
          <w:color w:val="000000"/>
        </w:rPr>
        <w:t>Education level:</w:t>
      </w:r>
    </w:p>
    <w:p>
      <w:pPr>
        <w:pStyle w:val="style179"/>
        <w:numPr>
          <w:ilvl w:val="0"/>
          <w:numId w:val="6"/>
        </w:numPr>
        <w:spacing w:before="0" w:beforeAutospacing="false" w:after="0" w:afterAutospacing="false"/>
        <w:ind w:left="1530"/>
        <w:rPr>
          <w:color w:val="000000"/>
        </w:rPr>
      </w:pPr>
      <w:r>
        <w:rPr>
          <w:color w:val="000000"/>
        </w:rPr>
        <w:t>No education at all</w:t>
      </w:r>
    </w:p>
    <w:p>
      <w:pPr>
        <w:pStyle w:val="style179"/>
        <w:numPr>
          <w:ilvl w:val="0"/>
          <w:numId w:val="6"/>
        </w:numPr>
        <w:spacing w:before="0" w:beforeAutospacing="false" w:after="0" w:afterAutospacing="false"/>
        <w:ind w:left="1530"/>
        <w:rPr>
          <w:color w:val="000000"/>
        </w:rPr>
      </w:pPr>
      <w:r>
        <w:rPr>
          <w:color w:val="000000"/>
        </w:rPr>
        <w:t>Primary education</w:t>
      </w:r>
    </w:p>
    <w:p>
      <w:pPr>
        <w:pStyle w:val="style179"/>
        <w:numPr>
          <w:ilvl w:val="0"/>
          <w:numId w:val="6"/>
        </w:numPr>
        <w:spacing w:before="0" w:beforeAutospacing="false" w:after="0" w:afterAutospacing="false"/>
        <w:ind w:left="1530"/>
        <w:rPr>
          <w:color w:val="000000"/>
        </w:rPr>
      </w:pPr>
      <w:r>
        <w:rPr>
          <w:noProof/>
          <w:color w:val="000000"/>
        </w:rPr>
        <mc:AlternateContent>
          <mc:Choice Requires="wps">
            <w:drawing>
              <wp:anchor distT="0" distB="0" distL="0" distR="0" simplePos="false" relativeHeight="6" behindDoc="false" locked="false" layoutInCell="true" allowOverlap="true">
                <wp:simplePos x="0" y="0"/>
                <wp:positionH relativeFrom="margin">
                  <wp:align>center</wp:align>
                </wp:positionH>
                <wp:positionV relativeFrom="paragraph">
                  <wp:posOffset>17585</wp:posOffset>
                </wp:positionV>
                <wp:extent cx="349885" cy="340360"/>
                <wp:effectExtent l="0" t="0" r="12065" b="21590"/>
                <wp:wrapNone/>
                <wp:docPr id="1052" name="Rectangle 1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49885" cy="340360"/>
                        </a:xfrm>
                        <a:prstGeom prst="rect"/>
                        <a:ln cmpd="sng" cap="flat" w="25400">
                          <a:solidFill>
                            <a:srgbClr val="000000"/>
                          </a:solidFill>
                          <a:prstDash val="solid"/>
                          <a:round/>
                          <a:headEnd/>
                          <a:tailEnd/>
                        </a:ln>
                      </wps:spPr>
                      <wps:bodyPr>
                        <a:prstTxWarp prst="textNoShape"/>
                      </wps:bodyPr>
                    </wps:wsp>
                  </a:graphicData>
                </a:graphic>
                <wp14:sizeRelV relativeFrom="margin">
                  <wp14:pctHeight>0</wp14:pctHeight>
                </wp14:sizeRelV>
              </wp:anchor>
            </w:drawing>
          </mc:Choice>
          <mc:Fallback>
            <w:pict>
              <v:rect id="1052" filled="f" stroked="t" style="position:absolute;margin-left:0.0pt;margin-top:1.38pt;width:27.55pt;height:26.8pt;z-index:6;mso-position-horizontal:center;mso-position-horizontal-relative:margin;mso-position-vertical-relative:text;mso-height-percent:0;mso-width-relative:page;mso-height-relative:margin;mso-wrap-distance-left:0.0pt;mso-wrap-distance-right:0.0pt;visibility:visible;">
                <v:stroke weight="2.0pt"/>
                <v:fill/>
              </v:rect>
            </w:pict>
          </mc:Fallback>
        </mc:AlternateContent>
      </w:r>
      <w:r>
        <w:rPr>
          <w:color w:val="000000"/>
        </w:rPr>
        <w:t>Secondary education</w:t>
      </w:r>
    </w:p>
    <w:p>
      <w:pPr>
        <w:pStyle w:val="style179"/>
        <w:numPr>
          <w:ilvl w:val="0"/>
          <w:numId w:val="6"/>
        </w:numPr>
        <w:spacing w:before="0" w:beforeAutospacing="false" w:after="0" w:afterAutospacing="false"/>
        <w:ind w:left="1530"/>
        <w:rPr>
          <w:color w:val="000000"/>
        </w:rPr>
      </w:pPr>
      <w:r>
        <w:rPr>
          <w:color w:val="000000"/>
        </w:rPr>
        <w:t>Tertiary education</w:t>
      </w:r>
    </w:p>
    <w:p>
      <w:pPr>
        <w:pStyle w:val="style179"/>
        <w:numPr>
          <w:ilvl w:val="0"/>
          <w:numId w:val="6"/>
        </w:numPr>
        <w:spacing w:before="0" w:beforeAutospacing="false" w:after="160" w:afterAutospacing="false"/>
        <w:ind w:left="1530"/>
        <w:rPr>
          <w:color w:val="000000"/>
        </w:rPr>
      </w:pPr>
      <w:r>
        <w:rPr>
          <w:color w:val="000000"/>
        </w:rPr>
        <w:t>Undergraduate</w:t>
      </w:r>
    </w:p>
    <w:p>
      <w:pPr>
        <w:pStyle w:val="style179"/>
        <w:numPr>
          <w:ilvl w:val="0"/>
          <w:numId w:val="6"/>
        </w:numPr>
        <w:spacing w:before="0" w:beforeAutospacing="false" w:after="160" w:afterAutospacing="false"/>
        <w:ind w:left="1530"/>
        <w:rPr>
          <w:color w:val="000000"/>
        </w:rPr>
      </w:pPr>
      <w:r>
        <w:rPr>
          <w:color w:val="000000"/>
        </w:rPr>
        <w:t>Postgraduate</w:t>
      </w:r>
    </w:p>
    <w:p>
      <w:pPr>
        <w:pStyle w:val="style179"/>
        <w:numPr>
          <w:ilvl w:val="0"/>
          <w:numId w:val="6"/>
        </w:numPr>
        <w:spacing w:before="0" w:beforeAutospacing="false" w:after="160" w:afterAutospacing="false"/>
        <w:ind w:left="1530"/>
        <w:rPr>
          <w:color w:val="000000"/>
        </w:rPr>
      </w:pPr>
      <w:r>
        <w:rPr>
          <w:color w:val="000000"/>
        </w:rPr>
        <w:t>Ph.D.</w:t>
      </w:r>
    </w:p>
    <w:p>
      <w:pPr>
        <w:pStyle w:val="style179"/>
        <w:widowControl w:val="false"/>
        <w:numPr>
          <w:ilvl w:val="0"/>
          <w:numId w:val="8"/>
        </w:numPr>
        <w:autoSpaceDE w:val="false"/>
        <w:autoSpaceDN w:val="false"/>
        <w:spacing w:before="0" w:beforeAutospacing="false" w:after="0" w:afterAutospacing="false"/>
        <w:contextualSpacing w:val="false"/>
        <w:rPr>
          <w:color w:val="000000"/>
        </w:rPr>
      </w:pPr>
      <w:r>
        <w:rPr>
          <w:color w:val="000000"/>
        </w:rPr>
        <w:t>How many years have you lived in the Mazingara ward?..................................</w:t>
      </w:r>
    </w:p>
    <w:p>
      <w:pPr>
        <w:pStyle w:val="style0"/>
        <w:ind w:left="360"/>
        <w:rPr>
          <w:b/>
          <w:color w:val="000000"/>
        </w:rPr>
      </w:pPr>
      <w:r>
        <w:rPr>
          <w:b/>
          <w:color w:val="000000"/>
        </w:rPr>
        <w:t>Section B: Biomass Energy Consumption</w:t>
      </w:r>
    </w:p>
    <w:p>
      <w:pPr>
        <w:pStyle w:val="style0"/>
        <w:ind w:left="360"/>
        <w:rPr>
          <w:color w:val="000000"/>
        </w:rPr>
      </w:pPr>
      <w:r>
        <w:rPr>
          <w:color w:val="000000"/>
        </w:rPr>
        <w:t>7</w:t>
      </w:r>
      <w:r>
        <w:rPr>
          <w:color w:val="000000"/>
        </w:rPr>
        <w:t>. What is your primary source of biomass energy?</w:t>
      </w:r>
    </w:p>
    <w:p>
      <w:pPr>
        <w:pStyle w:val="style179"/>
        <w:widowControl w:val="false"/>
        <w:numPr>
          <w:ilvl w:val="1"/>
          <w:numId w:val="9"/>
        </w:numPr>
        <w:autoSpaceDE w:val="false"/>
        <w:autoSpaceDN w:val="false"/>
        <w:spacing w:before="0" w:beforeAutospacing="false" w:after="0" w:afterAutospacing="false"/>
        <w:contextualSpacing w:val="false"/>
        <w:rPr>
          <w:color w:val="000000"/>
        </w:rPr>
      </w:pPr>
      <w:r>
        <w:rPr>
          <w:color w:val="000000"/>
        </w:rPr>
        <w:t>Own land/property</w:t>
      </w:r>
    </w:p>
    <w:p>
      <w:pPr>
        <w:pStyle w:val="style179"/>
        <w:widowControl w:val="false"/>
        <w:numPr>
          <w:ilvl w:val="1"/>
          <w:numId w:val="9"/>
        </w:numPr>
        <w:autoSpaceDE w:val="false"/>
        <w:autoSpaceDN w:val="false"/>
        <w:spacing w:before="0" w:beforeAutospacing="false" w:after="0" w:afterAutospacing="false"/>
        <w:contextualSpacing w:val="false"/>
        <w:rPr>
          <w:color w:val="000000"/>
        </w:rPr>
      </w:pPr>
      <w:r>
        <w:rPr>
          <w:color w:val="000000"/>
        </w:rPr>
        <w:t>Purchase from local suppliers</w:t>
      </w:r>
    </w:p>
    <w:p>
      <w:pPr>
        <w:pStyle w:val="style179"/>
        <w:widowControl w:val="false"/>
        <w:numPr>
          <w:ilvl w:val="1"/>
          <w:numId w:val="9"/>
        </w:numPr>
        <w:autoSpaceDE w:val="false"/>
        <w:autoSpaceDN w:val="false"/>
        <w:spacing w:before="0" w:beforeAutospacing="false" w:after="0" w:afterAutospacing="false"/>
        <w:contextualSpacing w:val="false"/>
        <w:rPr>
          <w:b/>
          <w:color w:val="000000"/>
        </w:rPr>
      </w:pPr>
      <w:r>
        <w:rPr>
          <w:color w:val="000000"/>
        </w:rPr>
        <w:t>Other (please specify): __________</w:t>
      </w:r>
    </w:p>
    <w:p>
      <w:pPr>
        <w:pStyle w:val="style179"/>
        <w:widowControl w:val="false"/>
        <w:numPr>
          <w:ilvl w:val="2"/>
          <w:numId w:val="9"/>
        </w:numPr>
        <w:autoSpaceDE w:val="false"/>
        <w:autoSpaceDN w:val="false"/>
        <w:spacing w:before="0" w:beforeAutospacing="false" w:after="0" w:afterAutospacing="false" w:lineRule="auto" w:line="240"/>
        <w:ind w:left="851"/>
        <w:contextualSpacing w:val="false"/>
        <w:rPr/>
      </w:pPr>
      <w:r>
        <w:t xml:space="preserve">What type of wood fuel does your household primarily use?  </w:t>
      </w:r>
    </w:p>
    <w:p>
      <w:pPr>
        <w:pStyle w:val="style179"/>
        <w:numPr>
          <w:ilvl w:val="0"/>
          <w:numId w:val="12"/>
        </w:numPr>
        <w:spacing w:before="0" w:beforeAutospacing="false" w:after="160" w:afterAutospacing="false" w:lineRule="auto" w:line="278"/>
        <w:ind w:left="1701"/>
        <w:rPr/>
      </w:pPr>
      <w:r>
        <w:t xml:space="preserve">Charcoal  </w:t>
      </w:r>
    </w:p>
    <w:p>
      <w:pPr>
        <w:pStyle w:val="style179"/>
        <w:numPr>
          <w:ilvl w:val="0"/>
          <w:numId w:val="12"/>
        </w:numPr>
        <w:spacing w:before="0" w:beforeAutospacing="false" w:after="160" w:afterAutospacing="false" w:lineRule="auto" w:line="278"/>
        <w:ind w:left="1701"/>
        <w:rPr/>
      </w:pPr>
      <w:r>
        <w:t xml:space="preserve">Firewood  </w:t>
      </w:r>
    </w:p>
    <w:p>
      <w:pPr>
        <w:pStyle w:val="style179"/>
        <w:numPr>
          <w:ilvl w:val="0"/>
          <w:numId w:val="12"/>
        </w:numPr>
        <w:spacing w:before="0" w:beforeAutospacing="false" w:after="160" w:afterAutospacing="false" w:lineRule="auto" w:line="278"/>
        <w:ind w:left="1701"/>
        <w:rPr/>
      </w:pPr>
      <w:r>
        <w:t xml:space="preserve">Both charcoal and firewood  </w:t>
      </w:r>
    </w:p>
    <w:p>
      <w:pPr>
        <w:pStyle w:val="style179"/>
        <w:numPr>
          <w:ilvl w:val="0"/>
          <w:numId w:val="12"/>
        </w:numPr>
        <w:spacing w:before="0" w:beforeAutospacing="false" w:after="160" w:afterAutospacing="false" w:lineRule="auto" w:line="278"/>
        <w:ind w:left="1701"/>
        <w:rPr/>
      </w:pPr>
      <w:r>
        <w:t>Other (Specify)  …………………………….</w:t>
      </w:r>
    </w:p>
    <w:p>
      <w:pPr>
        <w:pStyle w:val="style179"/>
        <w:widowControl w:val="false"/>
        <w:numPr>
          <w:ilvl w:val="2"/>
          <w:numId w:val="9"/>
        </w:numPr>
        <w:autoSpaceDE w:val="false"/>
        <w:autoSpaceDN w:val="false"/>
        <w:spacing w:before="0" w:beforeAutospacing="false" w:after="0" w:afterAutospacing="false" w:lineRule="auto" w:line="240"/>
        <w:ind w:left="567"/>
        <w:contextualSpacing w:val="false"/>
        <w:rPr/>
      </w:pPr>
      <w:r>
        <w:t xml:space="preserve">How much wood fuel (charcoal or firewood) do you use in a month?  </w:t>
      </w:r>
    </w:p>
    <w:p>
      <w:pPr>
        <w:pStyle w:val="style179"/>
        <w:numPr>
          <w:ilvl w:val="0"/>
          <w:numId w:val="11"/>
        </w:numPr>
        <w:spacing w:before="0" w:beforeAutospacing="false" w:after="160" w:afterAutospacing="false" w:lineRule="auto" w:line="278"/>
        <w:ind w:left="1701"/>
        <w:rPr/>
      </w:pPr>
      <w:r>
        <w:t xml:space="preserve">0-5 buckets/bundles  </w:t>
      </w:r>
    </w:p>
    <w:p>
      <w:pPr>
        <w:pStyle w:val="style179"/>
        <w:numPr>
          <w:ilvl w:val="0"/>
          <w:numId w:val="11"/>
        </w:numPr>
        <w:spacing w:before="0" w:beforeAutospacing="false" w:after="160" w:afterAutospacing="false" w:lineRule="auto" w:line="278"/>
        <w:ind w:left="1701"/>
        <w:rPr/>
      </w:pPr>
      <w:r>
        <w:t xml:space="preserve">5-10 buckets/bundles  </w:t>
      </w:r>
    </w:p>
    <w:p>
      <w:pPr>
        <w:pStyle w:val="style179"/>
        <w:numPr>
          <w:ilvl w:val="0"/>
          <w:numId w:val="11"/>
        </w:numPr>
        <w:spacing w:before="0" w:beforeAutospacing="false" w:after="160" w:afterAutospacing="false" w:lineRule="auto" w:line="278"/>
        <w:ind w:left="1701"/>
        <w:rPr/>
      </w:pPr>
      <w:r>
        <w:t xml:space="preserve">11-20 buckets/bundles  </w:t>
      </w:r>
    </w:p>
    <w:p>
      <w:pPr>
        <w:pStyle w:val="style179"/>
        <w:numPr>
          <w:ilvl w:val="0"/>
          <w:numId w:val="11"/>
        </w:numPr>
        <w:spacing w:before="0" w:beforeAutospacing="false" w:after="160" w:afterAutospacing="false" w:lineRule="auto" w:line="278"/>
        <w:ind w:left="1701"/>
        <w:rPr/>
      </w:pPr>
      <w:r>
        <w:t xml:space="preserve">More than 20 buckets/bundles  </w:t>
      </w:r>
    </w:p>
    <w:p>
      <w:pPr>
        <w:pStyle w:val="style179"/>
        <w:widowControl w:val="false"/>
        <w:numPr>
          <w:ilvl w:val="2"/>
          <w:numId w:val="9"/>
        </w:numPr>
        <w:autoSpaceDE w:val="false"/>
        <w:autoSpaceDN w:val="false"/>
        <w:spacing w:before="0" w:beforeAutospacing="false" w:after="0" w:afterAutospacing="false" w:lineRule="auto" w:line="240"/>
        <w:ind w:left="567"/>
        <w:contextualSpacing w:val="false"/>
        <w:rPr/>
      </w:pPr>
      <w:r>
        <w:t xml:space="preserve">Where do you source your wood fuel from?  </w:t>
      </w:r>
    </w:p>
    <w:p>
      <w:pPr>
        <w:pStyle w:val="style179"/>
        <w:numPr>
          <w:ilvl w:val="0"/>
          <w:numId w:val="13"/>
        </w:numPr>
        <w:spacing w:before="0" w:beforeAutospacing="false" w:after="160" w:afterAutospacing="false" w:lineRule="auto" w:line="278"/>
        <w:ind w:left="1701"/>
        <w:rPr/>
      </w:pPr>
      <w:r>
        <w:t xml:space="preserve">Purchase from local suppliers  </w:t>
      </w:r>
    </w:p>
    <w:p>
      <w:pPr>
        <w:pStyle w:val="style179"/>
        <w:numPr>
          <w:ilvl w:val="0"/>
          <w:numId w:val="13"/>
        </w:numPr>
        <w:spacing w:before="0" w:beforeAutospacing="false" w:after="160" w:afterAutospacing="false" w:lineRule="auto" w:line="278"/>
        <w:ind w:left="1701"/>
        <w:rPr/>
      </w:pPr>
      <w:r>
        <w:t xml:space="preserve">Collect from nearby bushes  </w:t>
      </w:r>
    </w:p>
    <w:p>
      <w:pPr>
        <w:pStyle w:val="style179"/>
        <w:numPr>
          <w:ilvl w:val="0"/>
          <w:numId w:val="13"/>
        </w:numPr>
        <w:spacing w:before="0" w:beforeAutospacing="false" w:after="160" w:afterAutospacing="false" w:lineRule="auto" w:line="278"/>
        <w:ind w:left="1701"/>
        <w:rPr/>
      </w:pPr>
      <w:r>
        <w:t xml:space="preserve">Harvest from charcoal furnaces  </w:t>
      </w:r>
    </w:p>
    <w:p>
      <w:pPr>
        <w:pStyle w:val="style179"/>
        <w:numPr>
          <w:ilvl w:val="0"/>
          <w:numId w:val="13"/>
        </w:numPr>
        <w:spacing w:before="0" w:beforeAutospacing="false" w:after="160" w:afterAutospacing="false" w:lineRule="auto" w:line="278"/>
        <w:ind w:left="1701"/>
        <w:rPr/>
      </w:pPr>
      <w:r>
        <w:t xml:space="preserve">Other (Specify)  </w:t>
      </w:r>
    </w:p>
    <w:p>
      <w:pPr>
        <w:pStyle w:val="style179"/>
        <w:widowControl w:val="false"/>
        <w:numPr>
          <w:ilvl w:val="2"/>
          <w:numId w:val="9"/>
        </w:numPr>
        <w:autoSpaceDE w:val="false"/>
        <w:autoSpaceDN w:val="false"/>
        <w:spacing w:before="0" w:beforeAutospacing="false" w:after="0" w:afterAutospacing="false" w:lineRule="auto" w:line="240"/>
        <w:ind w:left="567"/>
        <w:contextualSpacing w:val="false"/>
        <w:rPr/>
      </w:pPr>
      <w:r>
        <w:t xml:space="preserve">In your experience, has the amount of wood fuel your household uses increased, decreased, or remained the same over the last five years?  </w:t>
      </w:r>
    </w:p>
    <w:p>
      <w:pPr>
        <w:pStyle w:val="style179"/>
        <w:numPr>
          <w:ilvl w:val="1"/>
          <w:numId w:val="14"/>
        </w:numPr>
        <w:spacing w:before="0" w:beforeAutospacing="false" w:after="160" w:afterAutospacing="false" w:lineRule="auto" w:line="278"/>
        <w:rPr/>
      </w:pPr>
      <w:r>
        <w:t xml:space="preserve">Increased  </w:t>
      </w:r>
    </w:p>
    <w:p>
      <w:pPr>
        <w:pStyle w:val="style179"/>
        <w:numPr>
          <w:ilvl w:val="1"/>
          <w:numId w:val="14"/>
        </w:numPr>
        <w:spacing w:before="0" w:beforeAutospacing="false" w:after="160" w:afterAutospacing="false" w:lineRule="auto" w:line="278"/>
        <w:rPr/>
      </w:pPr>
      <w:r>
        <w:t xml:space="preserve">Decreased  </w:t>
      </w:r>
    </w:p>
    <w:p>
      <w:pPr>
        <w:pStyle w:val="style179"/>
        <w:numPr>
          <w:ilvl w:val="1"/>
          <w:numId w:val="14"/>
        </w:numPr>
        <w:spacing w:before="0" w:beforeAutospacing="false" w:after="160" w:afterAutospacing="false" w:lineRule="auto" w:line="278"/>
        <w:rPr/>
      </w:pPr>
      <w:r>
        <w:t xml:space="preserve">Remained the same  </w:t>
      </w:r>
    </w:p>
    <w:p>
      <w:pPr>
        <w:pStyle w:val="style0"/>
        <w:rPr>
          <w:b/>
          <w:color w:val="000000"/>
        </w:rPr>
      </w:pPr>
      <w:r>
        <w:rPr>
          <w:b/>
          <w:color w:val="000000"/>
        </w:rPr>
        <w:t>Section C: Perceived Effects of Biomass Energy Consumption</w:t>
      </w:r>
    </w:p>
    <w:p>
      <w:pPr>
        <w:pStyle w:val="style0"/>
        <w:ind w:left="360"/>
        <w:rPr>
          <w:color w:val="000000"/>
        </w:rPr>
      </w:pPr>
      <w:r>
        <w:rPr>
          <w:color w:val="000000"/>
        </w:rPr>
        <w:t>1</w:t>
      </w:r>
      <w:r>
        <w:rPr>
          <w:color w:val="000000"/>
        </w:rPr>
        <w:t>2</w:t>
      </w:r>
      <w:r>
        <w:rPr>
          <w:color w:val="000000"/>
        </w:rPr>
        <w:t>. In your opinion, what are the environmental effects of biomass energy consumption?</w:t>
      </w:r>
    </w:p>
    <w:p>
      <w:pPr>
        <w:pStyle w:val="style179"/>
        <w:widowControl w:val="false"/>
        <w:numPr>
          <w:ilvl w:val="1"/>
          <w:numId w:val="10"/>
        </w:numPr>
        <w:autoSpaceDE w:val="false"/>
        <w:autoSpaceDN w:val="false"/>
        <w:spacing w:before="0" w:beforeAutospacing="false" w:after="0" w:afterAutospacing="false"/>
        <w:contextualSpacing w:val="false"/>
        <w:rPr>
          <w:color w:val="000000"/>
        </w:rPr>
      </w:pPr>
      <w:r>
        <w:rPr>
          <w:color w:val="000000"/>
        </w:rPr>
        <w:t>Deforestation</w:t>
      </w:r>
    </w:p>
    <w:p>
      <w:pPr>
        <w:pStyle w:val="style179"/>
        <w:widowControl w:val="false"/>
        <w:numPr>
          <w:ilvl w:val="1"/>
          <w:numId w:val="10"/>
        </w:numPr>
        <w:autoSpaceDE w:val="false"/>
        <w:autoSpaceDN w:val="false"/>
        <w:spacing w:before="0" w:beforeAutospacing="false" w:after="0" w:afterAutospacing="false"/>
        <w:contextualSpacing w:val="false"/>
        <w:rPr>
          <w:color w:val="000000"/>
        </w:rPr>
      </w:pPr>
      <w:r>
        <w:rPr>
          <w:color w:val="000000"/>
        </w:rPr>
        <w:t>Air pollution</w:t>
      </w:r>
    </w:p>
    <w:p>
      <w:pPr>
        <w:pStyle w:val="style179"/>
        <w:widowControl w:val="false"/>
        <w:numPr>
          <w:ilvl w:val="1"/>
          <w:numId w:val="10"/>
        </w:numPr>
        <w:autoSpaceDE w:val="false"/>
        <w:autoSpaceDN w:val="false"/>
        <w:spacing w:before="0" w:beforeAutospacing="false" w:after="0" w:afterAutospacing="false"/>
        <w:contextualSpacing w:val="false"/>
        <w:rPr>
          <w:color w:val="000000"/>
        </w:rPr>
      </w:pPr>
      <w:r>
        <w:rPr>
          <w:color w:val="000000"/>
        </w:rPr>
        <w:t>Soil degradation</w:t>
      </w:r>
    </w:p>
    <w:p>
      <w:pPr>
        <w:pStyle w:val="style179"/>
        <w:widowControl w:val="false"/>
        <w:numPr>
          <w:ilvl w:val="1"/>
          <w:numId w:val="10"/>
        </w:numPr>
        <w:autoSpaceDE w:val="false"/>
        <w:autoSpaceDN w:val="false"/>
        <w:spacing w:before="0" w:beforeAutospacing="false" w:after="0" w:afterAutospacing="false"/>
        <w:contextualSpacing w:val="false"/>
        <w:rPr>
          <w:color w:val="000000"/>
        </w:rPr>
      </w:pPr>
      <w:r>
        <w:rPr>
          <w:color w:val="000000"/>
        </w:rPr>
        <w:t>Other (please specify) __________</w:t>
      </w:r>
    </w:p>
    <w:p>
      <w:pPr>
        <w:pStyle w:val="style0"/>
        <w:rPr/>
      </w:pPr>
      <w:r>
        <w:t xml:space="preserve">13. </w:t>
      </w:r>
      <w:r>
        <w:t xml:space="preserve">Do you believe wood fuel use leads to respiratory problems (such as coughing, shortness of breath)?  </w:t>
      </w:r>
    </w:p>
    <w:p>
      <w:pPr>
        <w:pStyle w:val="style179"/>
        <w:numPr>
          <w:ilvl w:val="1"/>
          <w:numId w:val="15"/>
        </w:numPr>
        <w:spacing w:before="0" w:beforeAutospacing="false" w:after="160" w:afterAutospacing="false" w:lineRule="auto" w:line="278"/>
        <w:rPr/>
      </w:pPr>
      <w:r>
        <w:t xml:space="preserve">Strongly agree  </w:t>
      </w:r>
    </w:p>
    <w:p>
      <w:pPr>
        <w:pStyle w:val="style179"/>
        <w:numPr>
          <w:ilvl w:val="1"/>
          <w:numId w:val="15"/>
        </w:numPr>
        <w:spacing w:before="0" w:beforeAutospacing="false" w:after="160" w:afterAutospacing="false" w:lineRule="auto" w:line="278"/>
        <w:rPr/>
      </w:pPr>
      <w:r>
        <w:t xml:space="preserve">Agree  </w:t>
      </w:r>
    </w:p>
    <w:p>
      <w:pPr>
        <w:pStyle w:val="style179"/>
        <w:numPr>
          <w:ilvl w:val="1"/>
          <w:numId w:val="15"/>
        </w:numPr>
        <w:spacing w:before="0" w:beforeAutospacing="false" w:after="160" w:afterAutospacing="false" w:lineRule="auto" w:line="278"/>
        <w:rPr/>
      </w:pPr>
      <w:r>
        <w:t xml:space="preserve">Neutral  </w:t>
      </w:r>
    </w:p>
    <w:p>
      <w:pPr>
        <w:pStyle w:val="style179"/>
        <w:numPr>
          <w:ilvl w:val="1"/>
          <w:numId w:val="15"/>
        </w:numPr>
        <w:spacing w:before="0" w:beforeAutospacing="false" w:after="160" w:afterAutospacing="false" w:lineRule="auto" w:line="278"/>
        <w:rPr/>
      </w:pPr>
      <w:r>
        <w:t xml:space="preserve">Disagree  </w:t>
      </w:r>
    </w:p>
    <w:p>
      <w:pPr>
        <w:pStyle w:val="style179"/>
        <w:numPr>
          <w:ilvl w:val="1"/>
          <w:numId w:val="15"/>
        </w:numPr>
        <w:spacing w:before="0" w:beforeAutospacing="false" w:after="160" w:afterAutospacing="false" w:lineRule="auto" w:line="278"/>
        <w:rPr/>
      </w:pPr>
      <w:r>
        <w:t xml:space="preserve">Strongly disagree  </w:t>
      </w:r>
    </w:p>
    <w:p>
      <w:pPr>
        <w:pStyle w:val="style0"/>
        <w:rPr/>
      </w:pPr>
      <w:r>
        <w:t>14</w:t>
      </w:r>
      <w:r>
        <w:t xml:space="preserve">. Have you or anyone in your household experienced eye irritation or red eyes due to wood fuel smoke?  </w:t>
      </w:r>
    </w:p>
    <w:p>
      <w:pPr>
        <w:pStyle w:val="style179"/>
        <w:numPr>
          <w:ilvl w:val="1"/>
          <w:numId w:val="16"/>
        </w:numPr>
        <w:spacing w:before="0" w:beforeAutospacing="false" w:after="160" w:afterAutospacing="false" w:lineRule="auto" w:line="278"/>
        <w:rPr/>
      </w:pPr>
      <w:r>
        <w:t xml:space="preserve">Yes  </w:t>
      </w:r>
    </w:p>
    <w:p>
      <w:pPr>
        <w:pStyle w:val="style179"/>
        <w:numPr>
          <w:ilvl w:val="1"/>
          <w:numId w:val="16"/>
        </w:numPr>
        <w:spacing w:before="0" w:beforeAutospacing="false" w:after="160" w:afterAutospacing="false" w:lineRule="auto" w:line="278"/>
        <w:rPr/>
      </w:pPr>
      <w:r>
        <w:t xml:space="preserve">No  </w:t>
      </w:r>
    </w:p>
    <w:p>
      <w:pPr>
        <w:pStyle w:val="style0"/>
        <w:rPr/>
      </w:pPr>
      <w:r>
        <w:t>15</w:t>
      </w:r>
      <w:r>
        <w:t xml:space="preserve">. Do you think using wood fuel could increase the risk of lung cancer?  </w:t>
      </w:r>
    </w:p>
    <w:p>
      <w:pPr>
        <w:pStyle w:val="style179"/>
        <w:numPr>
          <w:ilvl w:val="1"/>
          <w:numId w:val="17"/>
        </w:numPr>
        <w:spacing w:before="0" w:beforeAutospacing="false" w:after="160" w:afterAutospacing="false" w:lineRule="auto" w:line="278"/>
        <w:rPr/>
      </w:pPr>
      <w:r>
        <w:t xml:space="preserve">Strongly agree  </w:t>
      </w:r>
    </w:p>
    <w:p>
      <w:pPr>
        <w:pStyle w:val="style179"/>
        <w:numPr>
          <w:ilvl w:val="1"/>
          <w:numId w:val="17"/>
        </w:numPr>
        <w:spacing w:before="0" w:beforeAutospacing="false" w:after="160" w:afterAutospacing="false" w:lineRule="auto" w:line="278"/>
        <w:rPr/>
      </w:pPr>
      <w:r>
        <w:t xml:space="preserve">Agree  </w:t>
      </w:r>
    </w:p>
    <w:p>
      <w:pPr>
        <w:pStyle w:val="style179"/>
        <w:numPr>
          <w:ilvl w:val="1"/>
          <w:numId w:val="17"/>
        </w:numPr>
        <w:spacing w:before="0" w:beforeAutospacing="false" w:after="160" w:afterAutospacing="false" w:lineRule="auto" w:line="278"/>
        <w:rPr/>
      </w:pPr>
      <w:r>
        <w:t xml:space="preserve">Neutral  </w:t>
      </w:r>
    </w:p>
    <w:p>
      <w:pPr>
        <w:pStyle w:val="style179"/>
        <w:numPr>
          <w:ilvl w:val="1"/>
          <w:numId w:val="17"/>
        </w:numPr>
        <w:spacing w:before="0" w:beforeAutospacing="false" w:after="160" w:afterAutospacing="false" w:lineRule="auto" w:line="278"/>
        <w:rPr/>
      </w:pPr>
      <w:r>
        <w:t xml:space="preserve">Disagree  </w:t>
      </w:r>
    </w:p>
    <w:p>
      <w:pPr>
        <w:pStyle w:val="style179"/>
        <w:numPr>
          <w:ilvl w:val="1"/>
          <w:numId w:val="17"/>
        </w:numPr>
        <w:spacing w:before="0" w:beforeAutospacing="false" w:after="160" w:afterAutospacing="false" w:lineRule="auto" w:line="278"/>
        <w:rPr/>
      </w:pPr>
      <w:r>
        <w:t xml:space="preserve">Strongly disagree  </w:t>
      </w:r>
    </w:p>
    <w:p>
      <w:pPr>
        <w:pStyle w:val="style0"/>
        <w:rPr/>
      </w:pPr>
      <w:r>
        <w:t>1</w:t>
      </w:r>
      <w:r>
        <w:t>6</w:t>
      </w:r>
      <w:r>
        <w:t xml:space="preserve">. To what extent do you agree that wood fuel use can lead to family conflicts (e.g., over responsibilities for gathering fuel)?  </w:t>
      </w:r>
    </w:p>
    <w:p>
      <w:pPr>
        <w:pStyle w:val="style179"/>
        <w:numPr>
          <w:ilvl w:val="1"/>
          <w:numId w:val="18"/>
        </w:numPr>
        <w:spacing w:before="0" w:beforeAutospacing="false" w:after="160" w:afterAutospacing="false" w:lineRule="auto" w:line="278"/>
        <w:rPr/>
      </w:pPr>
      <w:r>
        <w:t xml:space="preserve">Strongly agree  </w:t>
      </w:r>
    </w:p>
    <w:p>
      <w:pPr>
        <w:pStyle w:val="style179"/>
        <w:numPr>
          <w:ilvl w:val="1"/>
          <w:numId w:val="18"/>
        </w:numPr>
        <w:spacing w:before="0" w:beforeAutospacing="false" w:after="160" w:afterAutospacing="false" w:lineRule="auto" w:line="278"/>
        <w:rPr/>
      </w:pPr>
      <w:r>
        <w:t xml:space="preserve">Agree  </w:t>
      </w:r>
    </w:p>
    <w:p>
      <w:pPr>
        <w:pStyle w:val="style179"/>
        <w:numPr>
          <w:ilvl w:val="1"/>
          <w:numId w:val="18"/>
        </w:numPr>
        <w:spacing w:before="0" w:beforeAutospacing="false" w:after="160" w:afterAutospacing="false" w:lineRule="auto" w:line="278"/>
        <w:rPr/>
      </w:pPr>
      <w:r>
        <w:t xml:space="preserve">Neutral  </w:t>
      </w:r>
    </w:p>
    <w:p>
      <w:pPr>
        <w:pStyle w:val="style179"/>
        <w:numPr>
          <w:ilvl w:val="1"/>
          <w:numId w:val="18"/>
        </w:numPr>
        <w:spacing w:before="0" w:beforeAutospacing="false" w:after="160" w:afterAutospacing="false" w:lineRule="auto" w:line="278"/>
        <w:rPr/>
      </w:pPr>
      <w:r>
        <w:t xml:space="preserve">Disagree  </w:t>
      </w:r>
    </w:p>
    <w:p>
      <w:pPr>
        <w:pStyle w:val="style179"/>
        <w:numPr>
          <w:ilvl w:val="1"/>
          <w:numId w:val="18"/>
        </w:numPr>
        <w:spacing w:before="0" w:beforeAutospacing="false" w:after="160" w:afterAutospacing="false" w:lineRule="auto" w:line="278"/>
        <w:rPr/>
      </w:pPr>
      <w:r>
        <w:t xml:space="preserve">Strongly disagree  </w:t>
      </w:r>
    </w:p>
    <w:p>
      <w:pPr>
        <w:pStyle w:val="style0"/>
        <w:rPr/>
      </w:pPr>
      <w:r>
        <w:t>16</w:t>
      </w:r>
      <w:r>
        <w:t xml:space="preserve">. Who is primarily responsible for collecting wood fuel in your household?  </w:t>
      </w:r>
    </w:p>
    <w:p>
      <w:pPr>
        <w:pStyle w:val="style179"/>
        <w:numPr>
          <w:ilvl w:val="1"/>
          <w:numId w:val="19"/>
        </w:numPr>
        <w:spacing w:before="0" w:beforeAutospacing="false" w:after="160" w:afterAutospacing="false" w:lineRule="auto" w:line="278"/>
        <w:rPr/>
      </w:pPr>
      <w:r>
        <w:t xml:space="preserve">Men  </w:t>
      </w:r>
    </w:p>
    <w:p>
      <w:pPr>
        <w:pStyle w:val="style179"/>
        <w:numPr>
          <w:ilvl w:val="1"/>
          <w:numId w:val="19"/>
        </w:numPr>
        <w:spacing w:before="0" w:beforeAutospacing="false" w:after="160" w:afterAutospacing="false" w:lineRule="auto" w:line="278"/>
        <w:rPr/>
      </w:pPr>
      <w:r>
        <w:t xml:space="preserve">Women  </w:t>
      </w:r>
    </w:p>
    <w:p>
      <w:pPr>
        <w:pStyle w:val="style179"/>
        <w:numPr>
          <w:ilvl w:val="1"/>
          <w:numId w:val="19"/>
        </w:numPr>
        <w:spacing w:before="0" w:beforeAutospacing="false" w:after="160" w:afterAutospacing="false" w:lineRule="auto" w:line="278"/>
        <w:rPr/>
      </w:pPr>
      <w:r>
        <w:t xml:space="preserve">Girls  </w:t>
      </w:r>
    </w:p>
    <w:p>
      <w:pPr>
        <w:pStyle w:val="style179"/>
        <w:numPr>
          <w:ilvl w:val="1"/>
          <w:numId w:val="19"/>
        </w:numPr>
        <w:spacing w:before="0" w:beforeAutospacing="false" w:after="160" w:afterAutospacing="false" w:lineRule="auto" w:line="278"/>
        <w:rPr/>
      </w:pPr>
      <w:r>
        <w:t xml:space="preserve">Boys  </w:t>
      </w:r>
    </w:p>
    <w:p>
      <w:pPr>
        <w:pStyle w:val="style179"/>
        <w:numPr>
          <w:ilvl w:val="1"/>
          <w:numId w:val="19"/>
        </w:numPr>
        <w:spacing w:before="0" w:beforeAutospacing="false" w:after="160" w:afterAutospacing="false" w:lineRule="auto" w:line="278"/>
        <w:rPr/>
      </w:pPr>
      <w:r>
        <w:t xml:space="preserve">Shared equally  </w:t>
      </w:r>
    </w:p>
    <w:p>
      <w:pPr>
        <w:pStyle w:val="style0"/>
        <w:rPr/>
      </w:pPr>
      <w:r>
        <w:t>17</w:t>
      </w:r>
      <w:r>
        <w:t xml:space="preserve">. Does wood fuel collection affect girls' school attendance or performance in your household?  </w:t>
      </w:r>
    </w:p>
    <w:p>
      <w:pPr>
        <w:pStyle w:val="style179"/>
        <w:numPr>
          <w:ilvl w:val="1"/>
          <w:numId w:val="20"/>
        </w:numPr>
        <w:spacing w:before="0" w:beforeAutospacing="false" w:after="160" w:afterAutospacing="false" w:lineRule="auto" w:line="278"/>
        <w:rPr/>
      </w:pPr>
      <w:r>
        <w:t xml:space="preserve">Yes  </w:t>
      </w:r>
    </w:p>
    <w:p>
      <w:pPr>
        <w:pStyle w:val="style179"/>
        <w:numPr>
          <w:ilvl w:val="1"/>
          <w:numId w:val="20"/>
        </w:numPr>
        <w:spacing w:before="0" w:beforeAutospacing="false" w:after="160" w:afterAutospacing="false" w:lineRule="auto" w:line="278"/>
        <w:rPr/>
      </w:pPr>
      <w:r>
        <w:t xml:space="preserve">No  </w:t>
      </w:r>
    </w:p>
    <w:p>
      <w:pPr>
        <w:pStyle w:val="style0"/>
        <w:ind w:left="360"/>
        <w:rPr>
          <w:b/>
          <w:color w:val="000000"/>
        </w:rPr>
      </w:pPr>
      <w:r>
        <w:rPr>
          <w:b/>
          <w:color w:val="000000"/>
        </w:rPr>
        <w:t>Section D: Coping Strategies for Biomass Energy Consumption</w:t>
      </w:r>
    </w:p>
    <w:p>
      <w:pPr>
        <w:pStyle w:val="style0"/>
        <w:rPr/>
      </w:pPr>
      <w:r>
        <w:t>1</w:t>
      </w:r>
      <w:r>
        <w:t>8</w:t>
      </w:r>
      <w:r>
        <w:t xml:space="preserve">. Are you aware of any government programs promoting clean energy alternatives (e.g., LPG, solar, improved cookstoves)?  </w:t>
      </w:r>
    </w:p>
    <w:p>
      <w:pPr>
        <w:pStyle w:val="style179"/>
        <w:numPr>
          <w:ilvl w:val="1"/>
          <w:numId w:val="21"/>
        </w:numPr>
        <w:spacing w:before="0" w:beforeAutospacing="false" w:after="160" w:afterAutospacing="false" w:lineRule="auto" w:line="278"/>
        <w:rPr/>
      </w:pPr>
      <w:r>
        <w:t xml:space="preserve">Yes  </w:t>
      </w:r>
    </w:p>
    <w:p>
      <w:pPr>
        <w:pStyle w:val="style179"/>
        <w:numPr>
          <w:ilvl w:val="1"/>
          <w:numId w:val="21"/>
        </w:numPr>
        <w:spacing w:before="0" w:beforeAutospacing="false" w:after="160" w:afterAutospacing="false" w:lineRule="auto" w:line="278"/>
        <w:rPr/>
      </w:pPr>
      <w:r>
        <w:t xml:space="preserve">No  </w:t>
      </w:r>
    </w:p>
    <w:p>
      <w:pPr>
        <w:pStyle w:val="style0"/>
        <w:rPr/>
      </w:pPr>
      <w:r>
        <w:t>19</w:t>
      </w:r>
      <w:r>
        <w:t xml:space="preserve">. Have you ever considered switching to cleaner energy sources for cooking (e.g., LPG, solar energy)?  </w:t>
      </w:r>
    </w:p>
    <w:p>
      <w:pPr>
        <w:pStyle w:val="style179"/>
        <w:numPr>
          <w:ilvl w:val="0"/>
          <w:numId w:val="22"/>
        </w:numPr>
        <w:spacing w:before="0" w:beforeAutospacing="false" w:after="160" w:afterAutospacing="false" w:lineRule="auto" w:line="278"/>
        <w:rPr/>
      </w:pPr>
      <w:r>
        <w:t xml:space="preserve">Yes  </w:t>
      </w:r>
    </w:p>
    <w:p>
      <w:pPr>
        <w:pStyle w:val="style179"/>
        <w:numPr>
          <w:ilvl w:val="0"/>
          <w:numId w:val="22"/>
        </w:numPr>
        <w:spacing w:before="0" w:beforeAutospacing="false" w:after="160" w:afterAutospacing="false" w:lineRule="auto" w:line="278"/>
        <w:rPr/>
      </w:pPr>
      <w:r>
        <w:t xml:space="preserve">No  </w:t>
      </w:r>
    </w:p>
    <w:p>
      <w:pPr>
        <w:pStyle w:val="style0"/>
        <w:rPr/>
      </w:pPr>
      <w:r>
        <w:t>20</w:t>
      </w:r>
      <w:r>
        <w:t xml:space="preserve">. What prevents your household from adopting clean energy alternatives?  </w:t>
      </w:r>
    </w:p>
    <w:p>
      <w:pPr>
        <w:pStyle w:val="style179"/>
        <w:numPr>
          <w:ilvl w:val="1"/>
          <w:numId w:val="23"/>
        </w:numPr>
        <w:spacing w:before="0" w:beforeAutospacing="false" w:after="160" w:afterAutospacing="false" w:lineRule="auto" w:line="278"/>
        <w:rPr/>
      </w:pPr>
      <w:r>
        <w:t xml:space="preserve">Cost  </w:t>
      </w:r>
    </w:p>
    <w:p>
      <w:pPr>
        <w:pStyle w:val="style179"/>
        <w:numPr>
          <w:ilvl w:val="1"/>
          <w:numId w:val="23"/>
        </w:numPr>
        <w:spacing w:before="0" w:beforeAutospacing="false" w:after="160" w:afterAutospacing="false" w:lineRule="auto" w:line="278"/>
        <w:rPr/>
      </w:pPr>
      <w:r>
        <w:t xml:space="preserve">Availability  </w:t>
      </w:r>
    </w:p>
    <w:p>
      <w:pPr>
        <w:pStyle w:val="style179"/>
        <w:numPr>
          <w:ilvl w:val="1"/>
          <w:numId w:val="23"/>
        </w:numPr>
        <w:spacing w:before="0" w:beforeAutospacing="false" w:after="160" w:afterAutospacing="false" w:lineRule="auto" w:line="278"/>
        <w:rPr/>
      </w:pPr>
      <w:r>
        <w:t xml:space="preserve">Lack of information  </w:t>
      </w:r>
    </w:p>
    <w:p>
      <w:pPr>
        <w:pStyle w:val="style179"/>
        <w:numPr>
          <w:ilvl w:val="1"/>
          <w:numId w:val="23"/>
        </w:numPr>
        <w:spacing w:before="0" w:beforeAutospacing="false" w:after="160" w:afterAutospacing="false" w:lineRule="auto" w:line="278"/>
        <w:rPr/>
      </w:pPr>
      <w:r>
        <w:t xml:space="preserve">Cultural preference for wood fuel  </w:t>
      </w:r>
    </w:p>
    <w:p>
      <w:pPr>
        <w:pStyle w:val="style179"/>
        <w:numPr>
          <w:ilvl w:val="1"/>
          <w:numId w:val="23"/>
        </w:numPr>
        <w:spacing w:before="0" w:beforeAutospacing="false" w:after="0" w:afterAutospacing="false"/>
        <w:rPr>
          <w:color w:val="000000"/>
        </w:rPr>
      </w:pPr>
      <w:r>
        <w:t xml:space="preserve">Other (Specify)  </w:t>
      </w:r>
    </w:p>
    <w:p>
      <w:pPr>
        <w:pStyle w:val="style0"/>
        <w:spacing w:lineRule="auto" w:line="480"/>
        <w:ind w:left="720" w:hanging="720"/>
        <w:rPr>
          <w:color w:val="000000"/>
        </w:rPr>
      </w:pPr>
    </w:p>
    <w:p>
      <w:pPr>
        <w:pStyle w:val="style0"/>
        <w:spacing w:lineRule="auto" w:line="480"/>
        <w:ind w:left="720" w:hanging="720"/>
        <w:rPr>
          <w:color w:val="000000"/>
        </w:rPr>
      </w:pPr>
    </w:p>
    <w:p>
      <w:pPr>
        <w:pStyle w:val="style0"/>
        <w:spacing w:lineRule="auto" w:line="480"/>
        <w:ind w:left="720" w:hanging="720"/>
        <w:rPr>
          <w:color w:val="000000"/>
        </w:rPr>
      </w:pPr>
    </w:p>
    <w:p>
      <w:pPr>
        <w:pStyle w:val="style0"/>
        <w:spacing w:lineRule="auto" w:line="480"/>
        <w:ind w:left="720" w:hanging="720"/>
        <w:rPr>
          <w:color w:val="000000"/>
        </w:rPr>
      </w:pPr>
    </w:p>
    <w:p>
      <w:pPr>
        <w:pStyle w:val="style0"/>
        <w:spacing w:lineRule="auto" w:line="480"/>
        <w:ind w:left="720" w:hanging="720"/>
        <w:rPr>
          <w:color w:val="000000"/>
        </w:rPr>
      </w:pPr>
    </w:p>
    <w:p>
      <w:pPr>
        <w:pStyle w:val="style0"/>
        <w:spacing w:lineRule="auto" w:line="480"/>
        <w:ind w:left="720" w:hanging="720"/>
        <w:rPr>
          <w:color w:val="000000"/>
        </w:rPr>
      </w:pPr>
    </w:p>
    <w:p>
      <w:pPr>
        <w:pStyle w:val="style0"/>
        <w:spacing w:lineRule="auto" w:line="480"/>
        <w:ind w:left="720" w:hanging="720"/>
        <w:rPr>
          <w:color w:val="000000"/>
        </w:rPr>
      </w:pPr>
    </w:p>
    <w:p>
      <w:pPr>
        <w:pStyle w:val="style0"/>
        <w:spacing w:lineRule="auto" w:line="480"/>
        <w:ind w:left="720" w:hanging="720"/>
        <w:rPr>
          <w:color w:val="000000"/>
        </w:rPr>
      </w:pPr>
      <w:r>
        <w:rPr>
          <w:color w:val="000000"/>
        </w:rPr>
        <w:t>APPENDIX II: KEY INFORMANT QUESTIONNAIRE</w:t>
      </w:r>
    </w:p>
    <w:p>
      <w:pPr>
        <w:pStyle w:val="style0"/>
        <w:tabs>
          <w:tab w:val="left" w:leader="none" w:pos="2670"/>
        </w:tabs>
        <w:rPr>
          <w:b/>
        </w:rPr>
      </w:pPr>
      <w:r>
        <w:rPr>
          <w:b/>
        </w:rPr>
        <w:t>AGRICULTURAL OFFICER</w:t>
      </w:r>
    </w:p>
    <w:p>
      <w:pPr>
        <w:pStyle w:val="style0"/>
        <w:tabs>
          <w:tab w:val="left" w:leader="none" w:pos="2670"/>
        </w:tabs>
        <w:rPr/>
      </w:pPr>
      <w:r>
        <w:rPr>
          <w:b/>
        </w:rPr>
        <w:t xml:space="preserve">SECTION: A </w:t>
      </w:r>
      <w:r>
        <w:rPr>
          <w:b/>
        </w:rPr>
        <w:tab/>
      </w:r>
    </w:p>
    <w:p>
      <w:pPr>
        <w:pStyle w:val="style0"/>
        <w:rPr/>
      </w:pPr>
      <w:r>
        <w:t>NAME    ……………………………………………………………</w:t>
      </w:r>
    </w:p>
    <w:p>
      <w:pPr>
        <w:pStyle w:val="style0"/>
        <w:rPr/>
      </w:pPr>
      <w:r>
        <w:t>SEX ………………………………………………………………</w:t>
      </w:r>
    </w:p>
    <w:p>
      <w:pPr>
        <w:pStyle w:val="style0"/>
        <w:rPr/>
      </w:pPr>
      <w:r>
        <w:t xml:space="preserve">ORGANIZATION…………………………………………………  </w:t>
      </w:r>
    </w:p>
    <w:p>
      <w:pPr>
        <w:pStyle w:val="style0"/>
        <w:rPr/>
      </w:pPr>
      <w:r>
        <w:t>POSITION ………………………………………………………………..</w:t>
      </w:r>
    </w:p>
    <w:p>
      <w:pPr>
        <w:pStyle w:val="style0"/>
        <w:rPr>
          <w:b/>
        </w:rPr>
      </w:pPr>
      <w:r>
        <w:rPr>
          <w:b/>
        </w:rPr>
        <w:t>SECTION: B</w:t>
      </w:r>
    </w:p>
    <w:p>
      <w:pPr>
        <w:pStyle w:val="style179"/>
        <w:numPr>
          <w:ilvl w:val="0"/>
          <w:numId w:val="24"/>
        </w:numPr>
        <w:rPr/>
      </w:pPr>
      <w:r>
        <w:t>Has the use of charcoal and firewood in Mazingara Ward led to noticeable soil degradation in agricultural areas? (Yes/No)………………………………………………………………………………</w:t>
      </w:r>
    </w:p>
    <w:p>
      <w:pPr>
        <w:pStyle w:val="style179"/>
        <w:numPr>
          <w:ilvl w:val="0"/>
          <w:numId w:val="24"/>
        </w:numPr>
        <w:rPr/>
      </w:pPr>
      <w:r>
        <w:t>Do you believe that the current rate of charcoal and firewood consumption is sustainable for the local environment? (Yes/No)…………………………………………………..........................................................................</w:t>
      </w:r>
    </w:p>
    <w:p>
      <w:pPr>
        <w:pStyle w:val="style179"/>
        <w:numPr>
          <w:ilvl w:val="0"/>
          <w:numId w:val="24"/>
        </w:numPr>
        <w:rPr/>
      </w:pPr>
      <w:r>
        <w:t>Are there any regulations or policies in place in Mazingara Ward to control the harvesting of wood for charcoal and firewood? (Yes/No)………………………………………………………………………………………………………….</w:t>
      </w:r>
    </w:p>
    <w:p>
      <w:pPr>
        <w:pStyle w:val="style179"/>
        <w:numPr>
          <w:ilvl w:val="0"/>
          <w:numId w:val="24"/>
        </w:numPr>
        <w:rPr/>
      </w:pPr>
      <w:r>
        <w:t>How has the use of charcoal and firewood as biomass energy sources affected forest conservation efforts in Mazingara Ward?</w:t>
      </w:r>
    </w:p>
    <w:p>
      <w:pPr>
        <w:pStyle w:val="style0"/>
        <w:rPr/>
      </w:pPr>
      <w:r>
        <w:t>……………………………………………………………………………………………………………………………………………………….……………………………</w:t>
      </w:r>
      <w:r>
        <w:t xml:space="preserve">…………………………………………………………………………………………………………………………..…………………………………………………………………………………………………………………………………………………………………………………..                                                </w:t>
      </w:r>
    </w:p>
    <w:p>
      <w:pPr>
        <w:pStyle w:val="style179"/>
        <w:numPr>
          <w:ilvl w:val="0"/>
          <w:numId w:val="24"/>
        </w:numPr>
        <w:rPr/>
      </w:pPr>
      <w:r>
        <w:t>What are the main environmental challenges associated with the use of charcoal and firewood in this region?</w:t>
      </w:r>
    </w:p>
    <w:p>
      <w:pPr>
        <w:pStyle w:val="style0"/>
        <w:rPr/>
      </w:pPr>
      <w:r>
        <w:t>…………………………………………………………………………………………………………………………………………………………………………………………………………………………………………………………………………………………………………………..……………………………………………………………………………………………………………………………………………………………………………….…………………………………………………………………………………………………………………………………………………………….........</w:t>
      </w:r>
    </w:p>
    <w:p>
      <w:pPr>
        <w:pStyle w:val="style179"/>
        <w:numPr>
          <w:ilvl w:val="0"/>
          <w:numId w:val="24"/>
        </w:numPr>
        <w:rPr/>
      </w:pPr>
      <w:r>
        <w:t>Can you discuss any observed changes in biodiversity or wildlife habitats that may be linked to the use of charcoal and firewood in Mazingara Ward?</w:t>
      </w:r>
    </w:p>
    <w:p>
      <w:pPr>
        <w:pStyle w:val="style0"/>
        <w:spacing w:lineRule="auto" w:line="480"/>
        <w:ind w:left="720" w:hanging="720"/>
        <w:rPr/>
      </w:pPr>
      <w:r>
        <w:t>……………………………………………………………………………………………………………………………………………………………………………</w:t>
      </w:r>
    </w:p>
    <w:p>
      <w:pPr>
        <w:pStyle w:val="style0"/>
        <w:spacing w:lineRule="auto" w:line="480"/>
        <w:ind w:left="720" w:hanging="720"/>
        <w:rPr/>
      </w:pPr>
    </w:p>
    <w:p>
      <w:pPr>
        <w:pStyle w:val="style0"/>
        <w:spacing w:lineRule="auto" w:line="480"/>
        <w:ind w:left="720" w:hanging="720"/>
        <w:rPr/>
      </w:pPr>
    </w:p>
    <w:p>
      <w:pPr>
        <w:pStyle w:val="style0"/>
        <w:spacing w:lineRule="auto" w:line="480"/>
        <w:ind w:left="720" w:hanging="720"/>
        <w:rPr/>
      </w:pPr>
    </w:p>
    <w:p>
      <w:pPr>
        <w:pStyle w:val="style0"/>
        <w:spacing w:lineRule="auto" w:line="480"/>
        <w:ind w:left="720" w:hanging="720"/>
        <w:rPr/>
      </w:pPr>
    </w:p>
    <w:p>
      <w:pPr>
        <w:pStyle w:val="style0"/>
        <w:rPr>
          <w:b/>
          <w:bCs/>
          <w:sz w:val="22"/>
          <w:szCs w:val="22"/>
        </w:rPr>
      </w:pPr>
      <w:r>
        <w:rPr>
          <w:b/>
          <w:bCs/>
        </w:rPr>
        <w:t>WARD EXECUTIVE OFFICER</w:t>
      </w:r>
    </w:p>
    <w:p>
      <w:pPr>
        <w:pStyle w:val="style0"/>
        <w:rPr>
          <w:b/>
        </w:rPr>
      </w:pPr>
      <w:r>
        <w:rPr>
          <w:b/>
        </w:rPr>
        <w:t xml:space="preserve">SECTION: A </w:t>
      </w:r>
    </w:p>
    <w:p>
      <w:pPr>
        <w:pStyle w:val="style0"/>
        <w:rPr/>
      </w:pPr>
      <w:r>
        <w:t>NAME    …………………………………………………………………………</w:t>
      </w:r>
    </w:p>
    <w:p>
      <w:pPr>
        <w:pStyle w:val="style0"/>
        <w:rPr/>
      </w:pPr>
      <w:r>
        <w:t xml:space="preserve"> SEX ………………………………………………………………</w:t>
      </w:r>
    </w:p>
    <w:p>
      <w:pPr>
        <w:pStyle w:val="style0"/>
        <w:rPr/>
      </w:pPr>
      <w:r>
        <w:t xml:space="preserve">ORGANIZATION…………………………………………………  </w:t>
      </w:r>
    </w:p>
    <w:p>
      <w:pPr>
        <w:pStyle w:val="style0"/>
        <w:rPr/>
      </w:pPr>
      <w:r>
        <w:t>POSITION ………………………………………………………………..</w:t>
      </w:r>
    </w:p>
    <w:p>
      <w:pPr>
        <w:pStyle w:val="style0"/>
        <w:rPr>
          <w:b/>
        </w:rPr>
      </w:pPr>
      <w:r>
        <w:rPr>
          <w:b/>
        </w:rPr>
        <w:t>SECTION:  B</w:t>
      </w:r>
    </w:p>
    <w:p>
      <w:pPr>
        <w:pStyle w:val="style179"/>
        <w:numPr>
          <w:ilvl w:val="0"/>
          <w:numId w:val="25"/>
        </w:numPr>
        <w:rPr/>
      </w:pPr>
      <w:r>
        <w:t>What are the numbers of households in mazingara ward?...........................................................</w:t>
      </w:r>
    </w:p>
    <w:p>
      <w:pPr>
        <w:pStyle w:val="style179"/>
        <w:numPr>
          <w:ilvl w:val="0"/>
          <w:numId w:val="25"/>
        </w:numPr>
        <w:rPr/>
      </w:pPr>
      <w:r>
        <w:t>Has the use of charcoal and firewood led to significant environmental degradation in Mazingara Ward? (Yes/No) …………………………………………………………..</w:t>
      </w:r>
    </w:p>
    <w:p>
      <w:pPr>
        <w:pStyle w:val="style179"/>
        <w:numPr>
          <w:ilvl w:val="0"/>
          <w:numId w:val="25"/>
        </w:numPr>
        <w:rPr/>
      </w:pPr>
      <w:r>
        <w:t>Are there sufficient regulations in place to control the harvesting and use of wood for charcoal and firewood in Mazingara Ward? (Yes/No) ………………………………………………….</w:t>
      </w:r>
    </w:p>
    <w:p>
      <w:pPr>
        <w:pStyle w:val="style179"/>
        <w:numPr>
          <w:ilvl w:val="0"/>
          <w:numId w:val="25"/>
        </w:numPr>
        <w:rPr/>
      </w:pPr>
      <w:r>
        <w:t>Do you believe that the current rate of charcoal and firewood consumption in Mazingara Ward is sustainable? (Yes/No)………………………………………………..</w:t>
      </w:r>
    </w:p>
    <w:p>
      <w:pPr>
        <w:pStyle w:val="style179"/>
        <w:numPr>
          <w:ilvl w:val="0"/>
          <w:numId w:val="25"/>
        </w:numPr>
        <w:rPr/>
      </w:pPr>
      <w:r>
        <w:t>How has the reliance on charcoal and firewood as primary energy sources impacted local environmental conservation efforts in Mazingara Ward?</w:t>
      </w:r>
    </w:p>
    <w:p>
      <w:pPr>
        <w:pStyle w:val="style0"/>
        <w:rPr/>
      </w:pPr>
      <w:r>
        <w:t>……………………………………………………………………………………………………………………………………………………………..………………………………………………………………………………………………………………</w:t>
      </w:r>
    </w:p>
    <w:p>
      <w:pPr>
        <w:pStyle w:val="style179"/>
        <w:numPr>
          <w:ilvl w:val="0"/>
          <w:numId w:val="25"/>
        </w:numPr>
        <w:rPr/>
      </w:pPr>
      <w:r>
        <w:t>What challenges do you face in managing and regulating the use of charcoal and firewood in Mazingara Ward?</w:t>
      </w:r>
    </w:p>
    <w:p>
      <w:pPr>
        <w:pStyle w:val="style0"/>
        <w:rPr/>
      </w:pPr>
      <w:r>
        <w:t>………………………………………………………………………………………………………………………………………………………………….………………………………………………………………………………………………………………………………………………………………………………………………………</w:t>
      </w:r>
    </w:p>
    <w:p>
      <w:pPr>
        <w:pStyle w:val="style179"/>
        <w:numPr>
          <w:ilvl w:val="0"/>
          <w:numId w:val="25"/>
        </w:numPr>
        <w:rPr/>
      </w:pPr>
      <w:r>
        <w:t>Can you describe any community-based initiatives or programs aimed at promoting alternative energy sources to reduce the dependence on charcoal and firewood?</w:t>
      </w:r>
    </w:p>
    <w:p>
      <w:pPr>
        <w:pStyle w:val="style0"/>
        <w:rPr/>
      </w:pPr>
      <w:r>
        <w:t>…………………………………………………………………………………………………………………………………………………………….…………………………………………………………………………………………………………………………………………………………….………………………………………………</w:t>
      </w:r>
    </w:p>
    <w:p>
      <w:pPr>
        <w:pStyle w:val="style0"/>
        <w:spacing w:lineRule="auto" w:line="480"/>
        <w:ind w:left="720" w:hanging="720"/>
        <w:rPr>
          <w:color w:val="000000"/>
        </w:rPr>
      </w:pPr>
    </w:p>
    <w:sectPr>
      <w:pgSz w:w="11906" w:h="16838" w:orient="portrait" w:code="9"/>
      <w:pgMar w:top="2275" w:right="1411" w:bottom="1411" w:left="2275"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000247B" w:usb2="00000009" w:usb3="00000000" w:csb0="000001FF" w:csb1="00000000"/>
  </w:font>
  <w:font w:name="SimSun">
    <w:altName w:val="宋体"/>
    <w:panose1 w:val="02010600030001010101"/>
    <w:charset w:val="86"/>
    <w:family w:val="auto"/>
    <w:pitch w:val="variable"/>
    <w:sig w:usb0="00000203" w:usb1="288F0000" w:usb2="00000016" w:usb3="00000000" w:csb0="00040001" w:csb1="00000000"/>
  </w:font>
  <w:font w:name="Calibri Light">
    <w:altName w:val="Calibri Light"/>
    <w:panose1 w:val="020f0302020002030204"/>
    <w:charset w:val="00"/>
    <w:family w:val="swiss"/>
    <w:pitch w:val="variable"/>
    <w:sig w:usb0="E4002EFF" w:usb1="C000247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Consolas">
    <w:altName w:val="Consolas"/>
    <w:panose1 w:val="020b0609020002030204"/>
    <w:charset w:val="00"/>
    <w:family w:val="modern"/>
    <w:pitch w:val="fixed"/>
    <w:sig w:usb0="E00006FF" w:usb1="0000FCFF" w:usb2="00000001" w:usb3="00000000" w:csb0="0000019F" w:csb1="00000000"/>
  </w:font>
  <w:font w:name="Segoe UI">
    <w:altName w:val="Segoe UI"/>
    <w:panose1 w:val="020b0502040002020203"/>
    <w:charset w:val="00"/>
    <w:family w:val="swiss"/>
    <w:pitch w:val="variable"/>
    <w:sig w:usb0="E4002EFF" w:usb1="C000E47F"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rPr/>
      <w:fldChar w:fldCharType="begin"/>
    </w:r>
    <w:r>
      <w:instrText xml:space="preserve"> PAGE   \* MERGEFORMAT </w:instrText>
    </w:r>
    <w:r>
      <w:rPr/>
      <w:fldChar w:fldCharType="separate"/>
    </w:r>
    <w:r>
      <w:rPr>
        <w:noProof/>
      </w:rPr>
      <w:t>57</w:t>
    </w:r>
    <w:r>
      <w:rPr>
        <w:noProof/>
      </w:rPr>
      <w:fldChar w:fldCharType="end"/>
    </w:r>
  </w:p>
  <w:p>
    <w:pPr>
      <w:pStyle w:val="style32"/>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509E322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1"/>
    <w:multiLevelType w:val="hybridMultilevel"/>
    <w:tmpl w:val="3846390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2"/>
    <w:multiLevelType w:val="hybridMultilevel"/>
    <w:tmpl w:val="F64C53CC"/>
    <w:lvl w:ilvl="0" w:tplc="04090001">
      <w:start w:val="1"/>
      <w:numFmt w:val="bullet"/>
      <w:lvlText w:val=""/>
      <w:lvlJc w:val="left"/>
      <w:pPr>
        <w:ind w:left="765" w:hanging="360"/>
      </w:pPr>
      <w:rPr>
        <w:rFonts w:ascii="Symbol" w:hAnsi="Symbol"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
    <w:nsid w:val="00000003"/>
    <w:multiLevelType w:val="hybridMultilevel"/>
    <w:tmpl w:val="60727FE8"/>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0000004"/>
    <w:multiLevelType w:val="hybridMultilevel"/>
    <w:tmpl w:val="D208F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5"/>
    <w:multiLevelType w:val="hybridMultilevel"/>
    <w:tmpl w:val="67E09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0000006"/>
    <w:multiLevelType w:val="hybridMultilevel"/>
    <w:tmpl w:val="71AC59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07"/>
    <w:multiLevelType w:val="hybridMultilevel"/>
    <w:tmpl w:val="CCD8F57C"/>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3DFC43EA">
      <w:start w:val="8"/>
      <w:numFmt w:val="decimal"/>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00000008"/>
    <w:multiLevelType w:val="hybridMultilevel"/>
    <w:tmpl w:val="37D8C652"/>
    <w:lvl w:ilvl="0" w:tplc="04090017">
      <w:start w:val="1"/>
      <w:numFmt w:val="lowerLetter"/>
      <w:lvlText w:val="%1)"/>
      <w:lvlJc w:val="left"/>
      <w:pPr>
        <w:ind w:left="720" w:hanging="360"/>
      </w:pPr>
    </w:lvl>
    <w:lvl w:ilvl="1" w:tplc="B70852A6">
      <w:start w:val="1"/>
      <w:numFmt w:val="bullet"/>
      <w:lvlText w:val="-"/>
      <w:lvlJc w:val="left"/>
      <w:pPr>
        <w:ind w:left="1440" w:hanging="360"/>
      </w:pPr>
      <w:rPr>
        <w:rFonts w:ascii="Times New Roman" w:cs="Times New Roman" w:eastAsia="宋体" w:hAnsi="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0000009"/>
    <w:multiLevelType w:val="hybridMultilevel"/>
    <w:tmpl w:val="470E6AA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000000A"/>
    <w:multiLevelType w:val="hybridMultilevel"/>
    <w:tmpl w:val="17E641F2"/>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0000000B"/>
    <w:multiLevelType w:val="hybridMultilevel"/>
    <w:tmpl w:val="845EAD8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000000C"/>
    <w:multiLevelType w:val="hybridMultilevel"/>
    <w:tmpl w:val="837A76D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000000D"/>
    <w:multiLevelType w:val="hybridMultilevel"/>
    <w:tmpl w:val="3C0E74D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000000E"/>
    <w:multiLevelType w:val="hybridMultilevel"/>
    <w:tmpl w:val="FC5ACE7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0000000F"/>
    <w:multiLevelType w:val="hybridMultilevel"/>
    <w:tmpl w:val="1DAA75F6"/>
    <w:lvl w:ilvl="0" w:tplc="04090017">
      <w:start w:val="1"/>
      <w:numFmt w:val="lowerLetter"/>
      <w:lvlText w:val="%1)"/>
      <w:lvlJc w:val="left"/>
      <w:pPr>
        <w:ind w:left="1264" w:hanging="360"/>
      </w:pPr>
      <w:rPr>
        <w:rFonts w:hint="default"/>
      </w:rPr>
    </w:lvl>
    <w:lvl w:ilvl="1" w:tplc="B10A41F4">
      <w:start w:val="1"/>
      <w:numFmt w:val="bullet"/>
      <w:lvlText w:val="-"/>
      <w:lvlJc w:val="left"/>
      <w:pPr>
        <w:ind w:left="1984" w:hanging="360"/>
      </w:pPr>
      <w:rPr>
        <w:rFonts w:ascii="Times New Roman" w:cs="Times New Roman" w:eastAsia="Times New Roman" w:hAnsi="Times New Roman" w:hint="default"/>
      </w:rPr>
    </w:lvl>
    <w:lvl w:ilvl="2" w:tplc="D32AA0A6">
      <w:start w:val="1"/>
      <w:numFmt w:val="lowerLetter"/>
      <w:lvlText w:val="%3."/>
      <w:lvlJc w:val="left"/>
      <w:pPr>
        <w:ind w:left="2884" w:hanging="360"/>
      </w:pPr>
      <w:rPr>
        <w:rFonts w:hint="default"/>
      </w:rPr>
    </w:lvl>
    <w:lvl w:ilvl="3" w:tplc="0409000F" w:tentative="1">
      <w:start w:val="1"/>
      <w:numFmt w:val="decimal"/>
      <w:lvlText w:val="%4."/>
      <w:lvlJc w:val="left"/>
      <w:pPr>
        <w:ind w:left="3424" w:hanging="360"/>
      </w:pPr>
    </w:lvl>
    <w:lvl w:ilvl="4" w:tplc="04090019" w:tentative="1">
      <w:start w:val="1"/>
      <w:numFmt w:val="lowerLetter"/>
      <w:lvlText w:val="%5."/>
      <w:lvlJc w:val="left"/>
      <w:pPr>
        <w:ind w:left="4144" w:hanging="360"/>
      </w:pPr>
    </w:lvl>
    <w:lvl w:ilvl="5" w:tplc="0409001B" w:tentative="1">
      <w:start w:val="1"/>
      <w:numFmt w:val="lowerRoman"/>
      <w:lvlText w:val="%6."/>
      <w:lvlJc w:val="right"/>
      <w:pPr>
        <w:ind w:left="4864" w:hanging="180"/>
      </w:pPr>
    </w:lvl>
    <w:lvl w:ilvl="6" w:tplc="0409000F" w:tentative="1">
      <w:start w:val="1"/>
      <w:numFmt w:val="decimal"/>
      <w:lvlText w:val="%7."/>
      <w:lvlJc w:val="left"/>
      <w:pPr>
        <w:ind w:left="5584" w:hanging="360"/>
      </w:pPr>
    </w:lvl>
    <w:lvl w:ilvl="7" w:tplc="04090019" w:tentative="1">
      <w:start w:val="1"/>
      <w:numFmt w:val="lowerLetter"/>
      <w:lvlText w:val="%8."/>
      <w:lvlJc w:val="left"/>
      <w:pPr>
        <w:ind w:left="6304" w:hanging="360"/>
      </w:pPr>
    </w:lvl>
    <w:lvl w:ilvl="8" w:tplc="0409001B" w:tentative="1">
      <w:start w:val="1"/>
      <w:numFmt w:val="lowerRoman"/>
      <w:lvlText w:val="%9."/>
      <w:lvlJc w:val="right"/>
      <w:pPr>
        <w:ind w:left="7024" w:hanging="180"/>
      </w:pPr>
    </w:lvl>
  </w:abstractNum>
  <w:abstractNum w:abstractNumId="16">
    <w:nsid w:val="00000010"/>
    <w:multiLevelType w:val="hybridMultilevel"/>
    <w:tmpl w:val="D09A54C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0000011"/>
    <w:multiLevelType w:val="hybridMultilevel"/>
    <w:tmpl w:val="E596677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0000012"/>
    <w:multiLevelType w:val="hybridMultilevel"/>
    <w:tmpl w:val="A61C230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00000013"/>
    <w:multiLevelType w:val="hybridMultilevel"/>
    <w:tmpl w:val="9B6E67D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00000014"/>
    <w:multiLevelType w:val="hybridMultilevel"/>
    <w:tmpl w:val="ADDC6A8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0000015"/>
    <w:multiLevelType w:val="hybridMultilevel"/>
    <w:tmpl w:val="520ABB9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00000016"/>
    <w:multiLevelType w:val="hybridMultilevel"/>
    <w:tmpl w:val="7E2AAC1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00000017"/>
    <w:multiLevelType w:val="hybridMultilevel"/>
    <w:tmpl w:val="49604A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00000018"/>
    <w:multiLevelType w:val="hybridMultilevel"/>
    <w:tmpl w:val="DDA80CD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 w:numId="5">
    <w:abstractNumId w:val="17"/>
  </w:num>
  <w:num w:numId="6">
    <w:abstractNumId w:val="23"/>
  </w:num>
  <w:num w:numId="7">
    <w:abstractNumId w:val="15"/>
  </w:num>
  <w:num w:numId="8">
    <w:abstractNumId w:val="4"/>
  </w:num>
  <w:num w:numId="9">
    <w:abstractNumId w:val="7"/>
  </w:num>
  <w:num w:numId="10">
    <w:abstractNumId w:val="10"/>
  </w:num>
  <w:num w:numId="11">
    <w:abstractNumId w:val="21"/>
  </w:num>
  <w:num w:numId="12">
    <w:abstractNumId w:val="20"/>
  </w:num>
  <w:num w:numId="13">
    <w:abstractNumId w:val="8"/>
  </w:num>
  <w:num w:numId="14">
    <w:abstractNumId w:val="13"/>
  </w:num>
  <w:num w:numId="15">
    <w:abstractNumId w:val="12"/>
  </w:num>
  <w:num w:numId="16">
    <w:abstractNumId w:val="16"/>
  </w:num>
  <w:num w:numId="17">
    <w:abstractNumId w:val="24"/>
  </w:num>
  <w:num w:numId="18">
    <w:abstractNumId w:val="18"/>
  </w:num>
  <w:num w:numId="19">
    <w:abstractNumId w:val="11"/>
  </w:num>
  <w:num w:numId="20">
    <w:abstractNumId w:val="19"/>
  </w:num>
  <w:num w:numId="21">
    <w:abstractNumId w:val="9"/>
  </w:num>
  <w:num w:numId="22">
    <w:abstractNumId w:val="14"/>
  </w:num>
  <w:num w:numId="23">
    <w:abstractNumId w:val="22"/>
  </w:num>
  <w:num w:numId="24">
    <w:abstractNumId w:val="5"/>
  </w:num>
  <w:num w:numId="25">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22"/>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SimSun"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pacing w:before="100" w:beforeAutospacing="true" w:after="100" w:afterAutospacing="true" w:lineRule="auto" w:line="360"/>
      <w:jc w:val="both"/>
    </w:pPr>
    <w:rPr>
      <w:rFonts w:ascii="Times New Roman" w:cs="Times New Roman" w:eastAsia="Times New Roman" w:hAnsi="Times New Roman"/>
      <w:sz w:val="24"/>
      <w:szCs w:val="24"/>
    </w:rPr>
  </w:style>
  <w:style w:type="paragraph" w:styleId="style1">
    <w:name w:val="heading 1"/>
    <w:basedOn w:val="style0"/>
    <w:next w:val="style0"/>
    <w:link w:val="style4099"/>
    <w:qFormat/>
    <w:uiPriority w:val="9"/>
    <w:pPr>
      <w:keepNext/>
      <w:keepLines/>
      <w:spacing w:before="240" w:after="0"/>
      <w:outlineLvl w:val="0"/>
    </w:pPr>
    <w:rPr>
      <w:rFonts w:ascii="Calibri Light" w:cs="SimSun" w:eastAsia="SimSun" w:hAnsi="Calibri Light"/>
      <w:color w:val="2e74b5"/>
      <w:sz w:val="32"/>
      <w:szCs w:val="32"/>
    </w:rPr>
  </w:style>
  <w:style w:type="paragraph" w:styleId="style2">
    <w:name w:val="heading 2"/>
    <w:basedOn w:val="style0"/>
    <w:next w:val="style0"/>
    <w:link w:val="style4106"/>
    <w:qFormat/>
    <w:uiPriority w:val="9"/>
    <w:pPr>
      <w:keepNext/>
      <w:keepLines/>
      <w:spacing w:before="40" w:after="0"/>
      <w:outlineLvl w:val="1"/>
    </w:pPr>
    <w:rPr>
      <w:rFonts w:ascii="Cambria" w:cs="SimSun" w:eastAsia="SimSun" w:hAnsi="Cambria"/>
      <w:color w:val="365f91"/>
      <w:sz w:val="26"/>
      <w:szCs w:val="26"/>
    </w:rPr>
  </w:style>
  <w:style w:type="paragraph" w:styleId="style3">
    <w:name w:val="heading 3"/>
    <w:basedOn w:val="style0"/>
    <w:next w:val="style0"/>
    <w:link w:val="style4100"/>
    <w:qFormat/>
    <w:uiPriority w:val="9"/>
    <w:pPr>
      <w:keepNext/>
      <w:keepLines/>
      <w:spacing w:before="40" w:after="0"/>
      <w:outlineLvl w:val="2"/>
    </w:pPr>
    <w:rPr>
      <w:rFonts w:ascii="Calibri Light" w:cs="SimSun" w:eastAsia="SimSun" w:hAnsi="Calibri Light"/>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90">
    <w:name w:val="Plain Text"/>
    <w:basedOn w:val="style0"/>
    <w:next w:val="style90"/>
    <w:link w:val="style4097"/>
    <w:uiPriority w:val="99"/>
    <w:pPr>
      <w:spacing w:after="0" w:lineRule="auto" w:line="240"/>
    </w:pPr>
    <w:rPr>
      <w:rFonts w:ascii="Consolas" w:hAnsi="Consolas"/>
      <w:sz w:val="21"/>
      <w:szCs w:val="21"/>
    </w:rPr>
  </w:style>
  <w:style w:type="character" w:customStyle="1" w:styleId="style4097">
    <w:name w:val="Plain Text Char"/>
    <w:basedOn w:val="style65"/>
    <w:next w:val="style4097"/>
    <w:link w:val="style90"/>
    <w:uiPriority w:val="99"/>
    <w:rPr>
      <w:rFonts w:ascii="Consolas" w:hAnsi="Consolas"/>
      <w:sz w:val="21"/>
      <w:szCs w:val="21"/>
    </w:rPr>
  </w:style>
  <w:style w:type="paragraph" w:styleId="style94">
    <w:name w:val="Normal (Web)"/>
    <w:basedOn w:val="style0"/>
    <w:next w:val="style94"/>
    <w:uiPriority w:val="99"/>
    <w:pPr>
      <w:spacing w:lineRule="auto" w:line="240"/>
    </w:pPr>
    <w:rPr/>
  </w:style>
  <w:style w:type="character" w:customStyle="1" w:styleId="style4098">
    <w:name w:val="gen"/>
    <w:basedOn w:val="style65"/>
    <w:next w:val="style4098"/>
  </w:style>
  <w:style w:type="character" w:styleId="style85">
    <w:name w:val="Hyperlink"/>
    <w:basedOn w:val="style65"/>
    <w:next w:val="style85"/>
    <w:uiPriority w:val="99"/>
    <w:rPr>
      <w:color w:val="0000ff"/>
      <w:u w:val="single"/>
    </w:rPr>
  </w:style>
  <w:style w:type="paragraph" w:styleId="style179">
    <w:name w:val="List Paragraph"/>
    <w:basedOn w:val="style0"/>
    <w:next w:val="style179"/>
    <w:qFormat/>
    <w:uiPriority w:val="34"/>
    <w:pPr>
      <w:ind w:left="720"/>
      <w:contextualSpacing/>
    </w:pPr>
    <w:rPr/>
  </w:style>
  <w:style w:type="character" w:customStyle="1" w:styleId="style4099">
    <w:name w:val="Heading 1 Char_db2f2c20-5cb5-4f69-887d-a0ea4d3507ab"/>
    <w:basedOn w:val="style65"/>
    <w:next w:val="style4099"/>
    <w:link w:val="style1"/>
    <w:uiPriority w:val="9"/>
    <w:rPr>
      <w:rFonts w:ascii="Calibri Light" w:cs="SimSun" w:eastAsia="SimSun" w:hAnsi="Calibri Light"/>
      <w:color w:val="2e74b5"/>
      <w:sz w:val="32"/>
      <w:szCs w:val="32"/>
    </w:rPr>
  </w:style>
  <w:style w:type="character" w:customStyle="1" w:styleId="style4100">
    <w:name w:val="Heading 3 Char_889e9235-3641-4d57-9c49-ed38b3e96084"/>
    <w:basedOn w:val="style65"/>
    <w:next w:val="style4100"/>
    <w:link w:val="style3"/>
    <w:uiPriority w:val="9"/>
    <w:rPr>
      <w:rFonts w:ascii="Calibri Light" w:cs="SimSun" w:eastAsia="SimSun" w:hAnsi="Calibri Light"/>
      <w:color w:val="1f4d78"/>
      <w:sz w:val="24"/>
      <w:szCs w:val="24"/>
    </w:rPr>
  </w:style>
  <w:style w:type="paragraph" w:styleId="style32">
    <w:name w:val="footer"/>
    <w:basedOn w:val="style0"/>
    <w:next w:val="style32"/>
    <w:link w:val="style4101"/>
    <w:qFormat/>
    <w:uiPriority w:val="99"/>
    <w:pPr>
      <w:tabs>
        <w:tab w:val="center" w:leader="none" w:pos="4680"/>
        <w:tab w:val="right" w:leader="none" w:pos="9360"/>
      </w:tabs>
      <w:spacing w:after="0" w:lineRule="auto" w:line="240"/>
    </w:pPr>
    <w:rPr>
      <w:rFonts w:ascii="Calibri" w:eastAsia="SimSun" w:hAnsi="Calibri"/>
      <w:lang w:eastAsia="zh-CN"/>
    </w:rPr>
  </w:style>
  <w:style w:type="character" w:customStyle="1" w:styleId="style4101">
    <w:name w:val="Footer Char_f772e153-cfea-43d0-9489-ceb4f4814dea"/>
    <w:basedOn w:val="style65"/>
    <w:next w:val="style4101"/>
    <w:link w:val="style32"/>
    <w:uiPriority w:val="99"/>
    <w:rPr>
      <w:rFonts w:ascii="Calibri" w:cs="Times New Roman" w:eastAsia="SimSun" w:hAnsi="Calibri"/>
      <w:lang w:eastAsia="zh-CN"/>
    </w:rPr>
  </w:style>
  <w:style w:type="paragraph" w:styleId="style31">
    <w:name w:val="header"/>
    <w:basedOn w:val="style0"/>
    <w:next w:val="style31"/>
    <w:link w:val="style4102"/>
    <w:uiPriority w:val="99"/>
    <w:pPr>
      <w:tabs>
        <w:tab w:val="center" w:leader="none" w:pos="4680"/>
        <w:tab w:val="right" w:leader="none" w:pos="9360"/>
      </w:tabs>
      <w:spacing w:after="0" w:lineRule="auto" w:line="240"/>
    </w:pPr>
    <w:rPr/>
  </w:style>
  <w:style w:type="character" w:customStyle="1" w:styleId="style4102">
    <w:name w:val="Header Char_f0528e6e-1ee6-4cae-8a9e-debcee9f3e7c"/>
    <w:basedOn w:val="style65"/>
    <w:next w:val="style4102"/>
    <w:link w:val="style31"/>
    <w:uiPriority w:val="99"/>
  </w:style>
  <w:style w:type="paragraph" w:customStyle="1" w:styleId="style4103">
    <w:name w:val="Default"/>
    <w:next w:val="style4103"/>
    <w:qFormat/>
    <w:pPr>
      <w:autoSpaceDE w:val="false"/>
      <w:autoSpaceDN w:val="false"/>
      <w:adjustRightInd w:val="false"/>
      <w:spacing w:after="0" w:lineRule="auto" w:line="240"/>
    </w:pPr>
    <w:rPr>
      <w:rFonts w:ascii="Times New Roman" w:cs="Times New Roman" w:hAnsi="Times New Roman"/>
      <w:color w:val="000000"/>
      <w:sz w:val="24"/>
      <w:szCs w:val="24"/>
    </w:rPr>
  </w:style>
  <w:style w:type="table" w:styleId="style154">
    <w:name w:val="Table Grid"/>
    <w:basedOn w:val="style105"/>
    <w:next w:val="style154"/>
    <w:uiPriority w:val="39"/>
    <w:pPr>
      <w:spacing w:after="0" w:lineRule="auto" w:line="240"/>
    </w:pPr>
    <w:rPr>
      <w:rFonts w:cs="Times New Roman" w:eastAsia="SimSu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66">
    <w:name w:val="Body Text"/>
    <w:basedOn w:val="style0"/>
    <w:next w:val="style66"/>
    <w:link w:val="style4104"/>
    <w:qFormat/>
    <w:uiPriority w:val="1"/>
    <w:pPr>
      <w:widowControl w:val="false"/>
      <w:autoSpaceDE w:val="false"/>
      <w:autoSpaceDN w:val="false"/>
      <w:spacing w:before="0" w:beforeAutospacing="false" w:after="0" w:afterAutospacing="false" w:lineRule="auto" w:line="240"/>
      <w:jc w:val="left"/>
    </w:pPr>
    <w:rPr/>
  </w:style>
  <w:style w:type="character" w:customStyle="1" w:styleId="style4104">
    <w:name w:val="Body Text Char"/>
    <w:basedOn w:val="style65"/>
    <w:next w:val="style4104"/>
    <w:link w:val="style66"/>
    <w:uiPriority w:val="1"/>
    <w:rPr>
      <w:rFonts w:ascii="Times New Roman" w:cs="Times New Roman" w:eastAsia="Times New Roman" w:hAnsi="Times New Roman"/>
      <w:sz w:val="24"/>
      <w:szCs w:val="24"/>
    </w:rPr>
  </w:style>
  <w:style w:type="paragraph" w:styleId="style153">
    <w:name w:val="Balloon Text"/>
    <w:basedOn w:val="style0"/>
    <w:next w:val="style153"/>
    <w:link w:val="style4105"/>
    <w:uiPriority w:val="99"/>
    <w:pPr>
      <w:spacing w:before="0" w:after="0" w:lineRule="auto" w:line="240"/>
    </w:pPr>
    <w:rPr>
      <w:rFonts w:ascii="Segoe UI" w:cs="Segoe UI" w:hAnsi="Segoe UI"/>
      <w:sz w:val="18"/>
      <w:szCs w:val="18"/>
    </w:rPr>
  </w:style>
  <w:style w:type="character" w:customStyle="1" w:styleId="style4105">
    <w:name w:val="Balloon Text Char"/>
    <w:basedOn w:val="style65"/>
    <w:next w:val="style4105"/>
    <w:link w:val="style153"/>
    <w:uiPriority w:val="99"/>
    <w:rPr>
      <w:rFonts w:ascii="Segoe UI" w:cs="Segoe UI" w:eastAsia="Times New Roman" w:hAnsi="Segoe UI"/>
      <w:sz w:val="18"/>
      <w:szCs w:val="18"/>
    </w:rPr>
  </w:style>
  <w:style w:type="character" w:styleId="style87">
    <w:name w:val="Strong"/>
    <w:basedOn w:val="style65"/>
    <w:next w:val="style87"/>
    <w:qFormat/>
    <w:uiPriority w:val="22"/>
    <w:rPr>
      <w:b/>
      <w:bCs/>
    </w:rPr>
  </w:style>
  <w:style w:type="paragraph" w:styleId="style34">
    <w:name w:val="caption"/>
    <w:basedOn w:val="style0"/>
    <w:next w:val="style0"/>
    <w:qFormat/>
    <w:uiPriority w:val="35"/>
    <w:pPr>
      <w:spacing w:before="0" w:after="200" w:lineRule="auto" w:line="240"/>
    </w:pPr>
    <w:rPr>
      <w:i/>
      <w:iCs/>
      <w:color w:val="1f497d"/>
      <w:sz w:val="18"/>
      <w:szCs w:val="18"/>
    </w:rPr>
  </w:style>
  <w:style w:type="paragraph" w:styleId="style35">
    <w:name w:val="table of figures"/>
    <w:basedOn w:val="style0"/>
    <w:next w:val="style35"/>
    <w:qFormat/>
    <w:uiPriority w:val="99"/>
    <w:pPr>
      <w:spacing w:before="0" w:beforeAutospacing="false" w:after="0" w:afterAutospacing="false" w:lineRule="auto" w:line="259"/>
      <w:jc w:val="left"/>
    </w:pPr>
    <w:rPr>
      <w:rFonts w:eastAsia="SimSun"/>
      <w:sz w:val="22"/>
      <w:szCs w:val="22"/>
      <w:lang w:val="en-GB"/>
    </w:rPr>
  </w:style>
  <w:style w:type="paragraph" w:styleId="style19">
    <w:name w:val="toc 1"/>
    <w:basedOn w:val="style0"/>
    <w:next w:val="style19"/>
    <w:qFormat/>
    <w:uiPriority w:val="39"/>
    <w:pPr>
      <w:spacing w:before="0" w:beforeAutospacing="false" w:afterAutospacing="false" w:lineRule="auto" w:line="259"/>
      <w:jc w:val="left"/>
    </w:pPr>
    <w:rPr>
      <w:rFonts w:eastAsia="SimSun"/>
      <w:b/>
      <w:szCs w:val="22"/>
      <w:lang w:val="en-GB"/>
    </w:rPr>
  </w:style>
  <w:style w:type="paragraph" w:styleId="style20">
    <w:name w:val="toc 2"/>
    <w:basedOn w:val="style0"/>
    <w:next w:val="style0"/>
    <w:uiPriority w:val="39"/>
    <w:pPr>
      <w:spacing w:before="0" w:beforeAutospacing="false" w:afterAutospacing="false" w:lineRule="auto" w:line="259"/>
      <w:ind w:left="220"/>
      <w:jc w:val="left"/>
    </w:pPr>
    <w:rPr>
      <w:rFonts w:ascii="Calibri" w:cs="SimSun" w:eastAsia="Calibri" w:hAnsi="Calibri"/>
      <w:sz w:val="22"/>
      <w:szCs w:val="22"/>
    </w:rPr>
  </w:style>
  <w:style w:type="character" w:customStyle="1" w:styleId="style4106">
    <w:name w:val="Heading 2 Char_30d2f256-ee00-4fc6-b1d5-c54aa1c7a929"/>
    <w:basedOn w:val="style65"/>
    <w:next w:val="style4106"/>
    <w:link w:val="style2"/>
    <w:uiPriority w:val="9"/>
    <w:rPr>
      <w:rFonts w:ascii="Cambria" w:cs="SimSun" w:eastAsia="SimSun" w:hAnsi="Cambria"/>
      <w:color w:val="365f91"/>
      <w:sz w:val="26"/>
      <w:szCs w:val="26"/>
    </w:rPr>
  </w:style>
  <w:style w:type="paragraph" w:styleId="style157">
    <w:name w:val="No Spacing"/>
    <w:next w:val="style157"/>
    <w:qFormat/>
    <w:uiPriority w:val="1"/>
    <w:pPr>
      <w:spacing w:beforeAutospacing="true" w:after="0" w:afterAutospacing="true" w:lineRule="auto" w:line="240"/>
      <w:jc w:val="both"/>
    </w:pPr>
    <w:rPr>
      <w:rFonts w:ascii="Times New Roman" w:cs="Times New Roman" w:eastAsia="Times New Roman" w:hAnsi="Times New Roman"/>
      <w:sz w:val="24"/>
      <w:szCs w:val="24"/>
    </w:rPr>
  </w:style>
</w:styles>
</file>

<file path=word/_rels/document.xml.rels><?xml version="1.0" encoding="UTF-8"?>
<Relationships xmlns="http://schemas.openxmlformats.org/package/2006/relationships"><Relationship Id="rId11" Type="http://schemas.openxmlformats.org/officeDocument/2006/relationships/image" Target="media/image6.jpeg"/><Relationship Id="rId10" Type="http://schemas.openxmlformats.org/officeDocument/2006/relationships/oleObject" Target="embeddings/oleObject1.bin"/><Relationship Id="rId13" Type="http://schemas.openxmlformats.org/officeDocument/2006/relationships/styles" Target="styles.xml"/><Relationship Id="rId12" Type="http://schemas.openxmlformats.org/officeDocument/2006/relationships/image" Target="media/image7.jpe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footer" Target="footer2.xml"/><Relationship Id="rId9" Type="http://schemas.openxmlformats.org/officeDocument/2006/relationships/image" Target="media/image5.jpeg"/><Relationship Id="rId15" Type="http://schemas.openxmlformats.org/officeDocument/2006/relationships/settings" Target="settings.xml"/><Relationship Id="rId14"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theme" Target="theme/theme1.xml"/><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chart" Target="charts/chart1.xml"/></Relationships>
</file>

<file path=word/charts/_rels/chart1.xml.rels><?xml version="1.0" encoding="UTF-8"?>
<Relationships xmlns="http://schemas.openxmlformats.org/package/2006/relationships"><Relationship Id="rId1" Type="http://schemas.openxmlformats.org/officeDocument/2006/relationships/oleObject" TargetMode="External" Target="NULL"/><Relationship Id="rId2" Type="http://schemas.microsoft.com/office/2011/relationships/chartStyle" Target="style1.xml"/><Relationship Id="rId3" Type="http://schemas.microsoft.com/office/2011/relationships/chartColorStyle" Target="colors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kern="1200" spc="0" baseline="0">
                <a:solidFill>
                  <a:sysClr val="windowText" lastClr="000000">
                    <a:lumMod val="65000"/>
                    <a:lumOff val="35000"/>
                  </a:sysClr>
                </a:solidFill>
                <a:latin typeface="+mn-lt"/>
                <a:ea typeface="+mn-ea"/>
                <a:cs typeface="+mn-cs"/>
              </a:rPr>
              <a:t>WOOD FUEL</a:t>
            </a:r>
            <a:r>
              <a:rPr lang="en-US" sz="1400" b="1" i="0" u="none" strike="noStrike" kern="1200" spc="0" baseline="0">
                <a:solidFill>
                  <a:sysClr val="windowText" lastClr="000000">
                    <a:lumMod val="65000"/>
                    <a:lumOff val="35000"/>
                  </a:sysClr>
                </a:solidFill>
              </a:rPr>
              <a:t> CONSUMPTION TREND AT MAZINGARA WARD FOR THE LAST 10 YEARS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Charcoal Consumption</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1"/>
            <c:trendlineLbl>
              <c:layout>
                <c:manualLayout>
                  <c:x val="-0.48202090512617524"/>
                  <c:y val="0.05222451141444665"/>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Sheet1!$A$2:$A$11</c:f>
              <c:numCache>
                <c:formatCode>General</c:formatCode>
                <c:ptCount val="10"/>
                <c:pt idx="0">
                  <c:v>2014.0</c:v>
                </c:pt>
                <c:pt idx="1">
                  <c:v>2015.0</c:v>
                </c:pt>
                <c:pt idx="2">
                  <c:v>2016.0</c:v>
                </c:pt>
                <c:pt idx="3">
                  <c:v>2017.0</c:v>
                </c:pt>
                <c:pt idx="4">
                  <c:v>2018.0</c:v>
                </c:pt>
                <c:pt idx="5">
                  <c:v>2019.0</c:v>
                </c:pt>
                <c:pt idx="6">
                  <c:v>2020.0</c:v>
                </c:pt>
                <c:pt idx="7">
                  <c:v>2021.0</c:v>
                </c:pt>
                <c:pt idx="8">
                  <c:v>2022.0</c:v>
                </c:pt>
                <c:pt idx="9">
                  <c:v>2023.0</c:v>
                </c:pt>
              </c:numCache>
            </c:numRef>
          </c:xVal>
          <c:yVal>
            <c:numRef>
              <c:f>Sheet1!$B$2:$B$11</c:f>
              <c:numCache>
                <c:formatCode>General</c:formatCode>
                <c:ptCount val="10"/>
                <c:pt idx="0">
                  <c:v>45.0</c:v>
                </c:pt>
                <c:pt idx="1">
                  <c:v>47.0</c:v>
                </c:pt>
                <c:pt idx="2">
                  <c:v>49.0</c:v>
                </c:pt>
                <c:pt idx="3">
                  <c:v>44.0</c:v>
                </c:pt>
                <c:pt idx="4">
                  <c:v>43.0</c:v>
                </c:pt>
                <c:pt idx="5">
                  <c:v>49.0</c:v>
                </c:pt>
                <c:pt idx="6">
                  <c:v>40.0</c:v>
                </c:pt>
                <c:pt idx="7">
                  <c:v>44.0</c:v>
                </c:pt>
                <c:pt idx="8">
                  <c:v>51.0</c:v>
                </c:pt>
                <c:pt idx="9">
                  <c:v>48.0</c:v>
                </c:pt>
              </c:numCache>
            </c:numRef>
          </c:yVal>
          <c:smooth val="0"/>
        </c:ser>
        <c:ser>
          <c:idx val="1"/>
          <c:order val="1"/>
          <c:tx>
            <c:strRef>
              <c:f>Sheet1!$C$1</c:f>
              <c:strCache>
                <c:ptCount val="1"/>
                <c:pt idx="0">
                  <c:v>Firewood Consumption</c:v>
                </c:pt>
              </c:strCache>
            </c:strRef>
          </c:tx>
          <c:spPr>
            <a:ln w="19050" cap="rnd">
              <a:noFill/>
              <a:round/>
            </a:ln>
            <a:effectLst/>
          </c:spPr>
          <c:marker>
            <c:symbol val="circle"/>
            <c:size val="5"/>
            <c:spPr>
              <a:solidFill>
                <a:schemeClr val="accent2"/>
              </a:solidFill>
              <a:ln w="9525">
                <a:solidFill>
                  <a:schemeClr val="accent2"/>
                </a:solidFill>
              </a:ln>
              <a:effectLst/>
            </c:spPr>
          </c:marker>
          <c:trendline>
            <c:spPr>
              <a:ln w="19050" cap="rnd">
                <a:solidFill>
                  <a:schemeClr val="accent2"/>
                </a:solidFill>
                <a:prstDash val="sysDot"/>
              </a:ln>
              <a:effectLst/>
            </c:spPr>
            <c:trendlineType val="linear"/>
            <c:dispRSqr val="0"/>
            <c:dispEq val="1"/>
            <c:trendlineLbl>
              <c:layout>
                <c:manualLayout>
                  <c:x val="-0.5369308876706074"/>
                  <c:y val="-0.0915071202781895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Sheet1!$A$2:$A$11</c:f>
              <c:numCache>
                <c:formatCode>General</c:formatCode>
                <c:ptCount val="10"/>
                <c:pt idx="0">
                  <c:v>2014.0</c:v>
                </c:pt>
                <c:pt idx="1">
                  <c:v>2015.0</c:v>
                </c:pt>
                <c:pt idx="2">
                  <c:v>2016.0</c:v>
                </c:pt>
                <c:pt idx="3">
                  <c:v>2017.0</c:v>
                </c:pt>
                <c:pt idx="4">
                  <c:v>2018.0</c:v>
                </c:pt>
                <c:pt idx="5">
                  <c:v>2019.0</c:v>
                </c:pt>
                <c:pt idx="6">
                  <c:v>2020.0</c:v>
                </c:pt>
                <c:pt idx="7">
                  <c:v>2021.0</c:v>
                </c:pt>
                <c:pt idx="8">
                  <c:v>2022.0</c:v>
                </c:pt>
                <c:pt idx="9">
                  <c:v>2023.0</c:v>
                </c:pt>
              </c:numCache>
            </c:numRef>
          </c:xVal>
          <c:yVal>
            <c:numRef>
              <c:f>Sheet1!$C$2:$C$11</c:f>
              <c:numCache>
                <c:formatCode>General</c:formatCode>
                <c:ptCount val="10"/>
                <c:pt idx="0">
                  <c:v>51.0</c:v>
                </c:pt>
                <c:pt idx="1">
                  <c:v>47.0</c:v>
                </c:pt>
                <c:pt idx="2">
                  <c:v>53.0</c:v>
                </c:pt>
                <c:pt idx="3">
                  <c:v>52.0</c:v>
                </c:pt>
                <c:pt idx="4">
                  <c:v>51.0</c:v>
                </c:pt>
                <c:pt idx="5">
                  <c:v>53.0</c:v>
                </c:pt>
                <c:pt idx="6">
                  <c:v>41.0</c:v>
                </c:pt>
                <c:pt idx="7">
                  <c:v>45.0</c:v>
                </c:pt>
                <c:pt idx="8">
                  <c:v>47.0</c:v>
                </c:pt>
                <c:pt idx="9">
                  <c:v>46.0</c:v>
                </c:pt>
              </c:numCache>
            </c:numRef>
          </c:yVal>
          <c:smooth val="0"/>
        </c:ser>
        <c:dLbls>
          <c:showLegendKey val="0"/>
          <c:showVal val="0"/>
          <c:showCatName val="0"/>
          <c:showSerName val="0"/>
          <c:showPercent val="0"/>
          <c:showBubbleSize val="0"/>
        </c:dLbls>
        <c:axId val="383427592"/>
        <c:axId val="383427200"/>
      </c:scatterChart>
      <c:valAx>
        <c:axId val="38342759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3427200"/>
        <c:crosses val="autoZero"/>
        <c:crossBetween val="midCat"/>
        <c:majorUnit val="1.0"/>
      </c:valAx>
      <c:valAx>
        <c:axId val="3834272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Consumption in tons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342759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861A92-45CA-4B18-8AD8-186F44768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Words>11202</Words>
  <Pages>77</Pages>
  <Characters>64815</Characters>
  <Application>WPS Office</Application>
  <DocSecurity>0</DocSecurity>
  <Paragraphs>1076</Paragraphs>
  <ScaleCrop>false</ScaleCrop>
  <LinksUpToDate>false</LinksUpToDate>
  <CharactersWithSpaces>75564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2024-09-24T10:04:00Z</dcterms:created>
  <dc:creator>User</dc:creator>
  <lastModifiedBy>SM-A165F</lastModifiedBy>
  <lastPrinted>2024-09-24T10:27:00Z</lastPrinted>
  <dcterms:modified xsi:type="dcterms:W3CDTF">2025-08-07T20:21:18Z</dcterms:modified>
  <revision>6</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505d634050e34e6ebfd7eb5461beba49</vt:lpwstr>
  </property>
  <property fmtid="{D5CDD505-2E9C-101B-9397-08002B2CF9AE}" pid="3" name="GrammarlyDocumentId">
    <vt:lpwstr>65e1eeb06591e2cb7ddaa140217feff357ec8ec0832dae6fab95d16b31631218</vt:lpwstr>
  </property>
</Properties>
</file>