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Calibri" w:hAnsi="Calibri" w:eastAsia="PingFang SC"/>
          <w:b/>
          <w:color w:val="2E74B5"/>
          <w:sz w:val="18"/>
        </w:rPr>
        <w:t>EVALCALL · MEITUAN AI HACKATHON 2026</w:t>
      </w:r>
    </w:p>
    <w:p>
      <w:pPr>
        <w:spacing w:before="0" w:after="160" w:line="240" w:lineRule="auto"/>
      </w:pPr>
      <w:r>
        <w:rPr>
          <w:rFonts w:ascii="Calibri" w:hAnsi="Calibri" w:eastAsia="PingFang SC"/>
          <w:b/>
          <w:color w:val="142039"/>
          <w:sz w:val="58"/>
        </w:rPr>
        <w:t>EvalCall 答辩材料包</w:t>
      </w:r>
    </w:p>
    <w:p>
      <w:pPr>
        <w:spacing w:before="0" w:after="360" w:line="288" w:lineRule="auto"/>
      </w:pPr>
      <w:r>
        <w:rPr>
          <w:rFonts w:ascii="Calibri" w:hAnsi="Calibri" w:eastAsia="PingFang SC"/>
          <w:b w:val="0"/>
          <w:color w:val="687386"/>
          <w:sz w:val="26"/>
        </w:rPr>
        <w:t>面向评委的统一说法：评模型是主线，SOP 诊断、裁判校准与根因归因是可信度保障。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FFF8D8"/>
            <w:tcBorders>
              <w:top w:val="single" w:sz="7" w:color="FFD100"/>
              <w:left w:val="single" w:sz="7" w:color="FFD100"/>
              <w:bottom w:val="single" w:sz="7" w:color="FFD100"/>
              <w:right w:val="single" w:sz="7" w:color="FFD100"/>
              <w:insideH w:val="single" w:sz="7" w:color="FFD100"/>
              <w:insideV w:val="single" w:sz="7" w:color="FFD100"/>
            </w:tcBorders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PingFang SC"/>
                <w:b/>
                <w:color w:val="142039"/>
                <w:sz w:val="26"/>
              </w:rPr>
              <w:t>TARGET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PingFang SC"/>
                <w:b w:val="0"/>
                <w:color w:val="687386"/>
                <w:sz w:val="16"/>
              </w:rPr>
              <w:t>外呼模型</w:t>
            </w:r>
          </w:p>
        </w:tc>
        <w:tc>
          <w:tcPr>
            <w:tcW w:type="dxa" w:w="2541"/>
            <w:shd w:fill="FFF8D8"/>
            <w:tcBorders>
              <w:top w:val="single" w:sz="7" w:color="FFD100"/>
              <w:left w:val="single" w:sz="7" w:color="FFD100"/>
              <w:bottom w:val="single" w:sz="7" w:color="FFD100"/>
              <w:right w:val="single" w:sz="7" w:color="FFD100"/>
              <w:insideH w:val="single" w:sz="7" w:color="FFD100"/>
              <w:insideV w:val="single" w:sz="7" w:color="FFD100"/>
            </w:tcBorders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PingFang SC"/>
                <w:b/>
                <w:color w:val="142039"/>
                <w:sz w:val="26"/>
              </w:rPr>
              <w:t>TOOL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PingFang SC"/>
                <w:b w:val="0"/>
                <w:color w:val="687386"/>
                <w:sz w:val="16"/>
              </w:rPr>
              <w:t>用户模拟器</w:t>
            </w:r>
          </w:p>
        </w:tc>
        <w:tc>
          <w:tcPr>
            <w:tcW w:type="dxa" w:w="2541"/>
            <w:shd w:fill="FFF8D8"/>
            <w:tcBorders>
              <w:top w:val="single" w:sz="7" w:color="FFD100"/>
              <w:left w:val="single" w:sz="7" w:color="FFD100"/>
              <w:bottom w:val="single" w:sz="7" w:color="FFD100"/>
              <w:right w:val="single" w:sz="7" w:color="FFD100"/>
              <w:insideH w:val="single" w:sz="7" w:color="FFD100"/>
              <w:insideV w:val="single" w:sz="7" w:color="FFD100"/>
            </w:tcBorders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PingFang SC"/>
                <w:b/>
                <w:color w:val="142039"/>
                <w:sz w:val="26"/>
              </w:rPr>
              <w:t>CORE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PingFang SC"/>
                <w:b w:val="0"/>
                <w:color w:val="687386"/>
                <w:sz w:val="16"/>
              </w:rPr>
              <w:t>第 4 步报告</w:t>
            </w:r>
          </w:p>
        </w:tc>
        <w:tc>
          <w:tcPr>
            <w:tcW w:type="dxa" w:w="2541"/>
            <w:shd w:fill="FFF8D8"/>
            <w:tcBorders>
              <w:top w:val="single" w:sz="7" w:color="FFD100"/>
              <w:left w:val="single" w:sz="7" w:color="FFD100"/>
              <w:bottom w:val="single" w:sz="7" w:color="FFD100"/>
              <w:right w:val="single" w:sz="7" w:color="FFD100"/>
              <w:insideH w:val="single" w:sz="7" w:color="FFD100"/>
              <w:insideV w:val="single" w:sz="7" w:color="FFD100"/>
            </w:tcBorders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PingFang SC"/>
                <w:b/>
                <w:color w:val="142039"/>
                <w:sz w:val="26"/>
              </w:rPr>
              <w:t>LOOP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PingFang SC"/>
                <w:b w:val="0"/>
                <w:color w:val="687386"/>
                <w:sz w:val="16"/>
              </w:rPr>
              <w:t>同尺回归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7848"/>
      </w:tblGrid>
      <w:tr>
        <w:tc>
          <w:tcPr>
            <w:tcW w:type="dxa" w:w="5083"/>
            <w:shd w:fill="FFF8D8"/>
            <w:tcBorders>
              <w:top w:val="single" w:sz="8" w:color="FFD100"/>
              <w:left w:val="single" w:sz="8" w:color="FFD100"/>
              <w:bottom w:val="single" w:sz="8" w:color="FFD100"/>
              <w:right w:val="single" w:sz="8" w:color="FFD100"/>
              <w:insideH w:val="single" w:sz="8" w:color="FFD100"/>
              <w:insideV w:val="single" w:sz="8" w:color="FFD100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/>
                <w:b/>
                <w:color w:val="142039"/>
                <w:sz w:val="19"/>
              </w:rPr>
              <w:t>定位</w:t>
            </w:r>
          </w:p>
        </w:tc>
        <w:tc>
          <w:tcPr>
            <w:tcW w:type="dxa" w:w="5083"/>
            <w:shd w:fill="FFF8D8"/>
            <w:tcBorders>
              <w:top w:val="single" w:sz="8" w:color="FFD100"/>
              <w:left w:val="single" w:sz="8" w:color="FFD100"/>
              <w:bottom w:val="single" w:sz="8" w:color="FFD100"/>
              <w:right w:val="single" w:sz="8" w:color="FFD100"/>
              <w:insideH w:val="single" w:sz="8" w:color="FFD100"/>
              <w:insideV w:val="single" w:sz="8" w:color="FFD100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PingFang SC"/>
                <w:b w:val="0"/>
                <w:color w:val="142039"/>
                <w:sz w:val="21"/>
              </w:rPr>
              <w:t>EvalCall 自动测试并评估外呼模型在特定任务指令下的指令遵循效果，输出可审计的模型评测报告。</w:t>
            </w:r>
          </w:p>
        </w:tc>
      </w:tr>
    </w:tbl>
    <w:p>
      <w:pPr>
        <w:keepNext/>
        <w:spacing w:before="360" w:after="200" w:line="269" w:lineRule="auto"/>
      </w:pPr>
      <w:r>
        <w:rPr>
          <w:rFonts w:ascii="Calibri" w:hAnsi="Calibri" w:eastAsia="PingFang SC"/>
          <w:b/>
          <w:color w:val="2E74B5"/>
          <w:sz w:val="32"/>
        </w:rPr>
        <w:t>一页纸</w:t>
      </w:r>
    </w:p>
    <w:p>
      <w:pPr>
        <w:keepNext/>
        <w:spacing w:before="280" w:after="140" w:line="269" w:lineRule="auto"/>
      </w:pPr>
      <w:r>
        <w:rPr>
          <w:rFonts w:ascii="Calibri" w:hAnsi="Calibri" w:eastAsia="PingFang SC"/>
          <w:b/>
          <w:color w:val="2E74B5"/>
          <w:sz w:val="26"/>
        </w:rPr>
        <w:t>四个角色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656"/>
            <w:shd w:fill="E8EEF5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角色</w:t>
            </w:r>
          </w:p>
        </w:tc>
        <w:tc>
          <w:tcPr>
            <w:tcW w:type="dxa" w:w="2376"/>
            <w:shd w:fill="E8EEF5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比赛叙事中的位置</w:t>
            </w:r>
          </w:p>
        </w:tc>
        <w:tc>
          <w:tcPr>
            <w:tcW w:type="dxa" w:w="5328"/>
            <w:shd w:fill="E8EEF5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EvalCall 产物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外呼模型</w:t>
            </w:r>
          </w:p>
        </w:tc>
        <w:tc>
          <w:tcPr>
            <w:tcW w:type="dxa" w:w="2376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被评对象</w:t>
            </w:r>
          </w:p>
        </w:tc>
        <w:tc>
          <w:tcPr>
            <w:tcW w:type="dxa" w:w="5328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模型版本、门禁、履约率、P0、关键失败、覆盖率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SOP</w:t>
            </w:r>
          </w:p>
        </w:tc>
        <w:tc>
          <w:tcPr>
            <w:tcW w:type="dxa" w:w="2376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评分依据</w:t>
            </w:r>
          </w:p>
        </w:tc>
        <w:tc>
          <w:tcPr>
            <w:tcW w:type="dxa" w:w="5328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版本/hash、L0/L1 Checklist、健康体检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用户模拟器</w:t>
            </w:r>
          </w:p>
        </w:tc>
        <w:tc>
          <w:tcPr>
            <w:tcW w:type="dxa" w:w="2376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官方测试工具</w:t>
            </w:r>
          </w:p>
        </w:tc>
        <w:tc>
          <w:tcPr>
            <w:tcW w:type="dxa" w:w="5328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persona、测试数量、覆盖率、未触达检查点、测试对话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对话日志</w:t>
            </w:r>
          </w:p>
        </w:tc>
        <w:tc>
          <w:tcPr>
            <w:tcW w:type="dxa" w:w="2376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测试过程数据</w:t>
            </w:r>
          </w:p>
        </w:tc>
        <w:tc>
          <w:tcPr>
            <w:tcW w:type="dxa" w:w="5328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逐轮证据、输入 hash、已有日志质检入口</w:t>
            </w:r>
          </w:p>
        </w:tc>
      </w:tr>
    </w:tbl>
    <w:p>
      <w:pPr>
        <w:spacing w:after="0"/>
      </w:pPr>
    </w:p>
    <w:p>
      <w:pPr>
        <w:keepNext/>
        <w:spacing w:before="280" w:after="140" w:line="269" w:lineRule="auto"/>
      </w:pPr>
      <w:r>
        <w:rPr>
          <w:rFonts w:ascii="Calibri" w:hAnsi="Calibri" w:eastAsia="PingFang SC"/>
          <w:b/>
          <w:color w:val="2E74B5"/>
          <w:sz w:val="26"/>
        </w:rPr>
        <w:t>六步产品链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E8EEF5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步骤</w:t>
            </w:r>
          </w:p>
        </w:tc>
        <w:tc>
          <w:tcPr>
            <w:tcW w:type="dxa" w:w="3312"/>
            <w:shd w:fill="E8EEF5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输入</w:t>
            </w:r>
          </w:p>
        </w:tc>
        <w:tc>
          <w:tcPr>
            <w:tcW w:type="dxa" w:w="4104"/>
            <w:shd w:fill="E8EEF5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输出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1 配置测试任务</w:t>
            </w:r>
          </w:p>
        </w:tc>
        <w:tc>
          <w:tcPr>
            <w:tcW w:type="dxa" w:w="3312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任务指令 + 被测模型 / 已有对话</w:t>
            </w:r>
          </w:p>
        </w:tc>
        <w:tc>
          <w:tcPr>
            <w:tcW w:type="dxa" w:w="4104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版本化测试任务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2 建立评分标准</w:t>
            </w:r>
          </w:p>
        </w:tc>
        <w:tc>
          <w:tcPr>
            <w:tcW w:type="dxa" w:w="3312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SOP + L0 通用安全规则</w:t>
            </w:r>
          </w:p>
        </w:tc>
        <w:tc>
          <w:tcPr>
            <w:tcW w:type="dxa" w:w="4104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L0 + L1 Checklist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3 测试外呼模型</w:t>
            </w:r>
          </w:p>
        </w:tc>
        <w:tc>
          <w:tcPr>
            <w:tcW w:type="dxa" w:w="3312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用户模拟器 / 已有日志 + Checklist</w:t>
            </w:r>
          </w:p>
        </w:tc>
        <w:tc>
          <w:tcPr>
            <w:tcW w:type="dxa" w:w="4104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测试对话 + 逐项判定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4 输出模型评测报告</w:t>
            </w:r>
          </w:p>
        </w:tc>
        <w:tc>
          <w:tcPr>
            <w:tcW w:type="dxa" w:w="3312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模型版本 + 全部判定</w:t>
            </w:r>
          </w:p>
        </w:tc>
        <w:tc>
          <w:tcPr>
            <w:tcW w:type="dxa" w:w="4104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门禁 + 履约 + P0 + 关键失败 + 覆盖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5 分析失败原因</w:t>
            </w:r>
          </w:p>
        </w:tc>
        <w:tc>
          <w:tcPr>
            <w:tcW w:type="dxa" w:w="3312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模型/SOP/裁判/测试数据信号</w:t>
            </w:r>
          </w:p>
        </w:tc>
        <w:tc>
          <w:tcPr>
            <w:tcW w:type="dxa" w:w="4104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首要根因 + 证据 + owner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6 优化与回归</w:t>
            </w:r>
          </w:p>
        </w:tc>
        <w:tc>
          <w:tcPr>
            <w:tcW w:type="dxa" w:w="3312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根因 + 固定版本/hash</w:t>
            </w:r>
          </w:p>
        </w:tc>
        <w:tc>
          <w:tcPr>
            <w:tcW w:type="dxa" w:w="4104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对应优化 + 第 2/3 步同尺回归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7848"/>
      </w:tblGrid>
      <w:tr>
        <w:tc>
          <w:tcPr>
            <w:tcW w:type="dxa" w:w="5083"/>
            <w:shd w:fill="E8F6F1"/>
            <w:tcBorders>
              <w:top w:val="single" w:sz="8" w:color="08755D"/>
              <w:left w:val="single" w:sz="8" w:color="08755D"/>
              <w:bottom w:val="single" w:sz="8" w:color="08755D"/>
              <w:right w:val="single" w:sz="8" w:color="08755D"/>
              <w:insideH w:val="single" w:sz="8" w:color="08755D"/>
              <w:insideV w:val="single" w:sz="8" w:color="08755D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/>
                <w:b/>
                <w:color w:val="142039"/>
                <w:sz w:val="19"/>
              </w:rPr>
              <w:t>核心交付</w:t>
            </w:r>
          </w:p>
        </w:tc>
        <w:tc>
          <w:tcPr>
            <w:tcW w:type="dxa" w:w="5083"/>
            <w:shd w:fill="E8F6F1"/>
            <w:tcBorders>
              <w:top w:val="single" w:sz="8" w:color="08755D"/>
              <w:left w:val="single" w:sz="8" w:color="08755D"/>
              <w:bottom w:val="single" w:sz="8" w:color="08755D"/>
              <w:right w:val="single" w:sz="8" w:color="08755D"/>
              <w:insideH w:val="single" w:sz="8" w:color="08755D"/>
              <w:insideV w:val="single" w:sz="8" w:color="08755D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PingFang SC"/>
                <w:b w:val="0"/>
                <w:color w:val="142039"/>
                <w:sz w:val="21"/>
              </w:rPr>
              <w:t>第 4 步是产品终点：外呼模型评测报告。第 5–6 步是失败后的可信解释与闭环，不把产品讲成 SOP 检查器。</w:t>
            </w:r>
          </w:p>
        </w:tc>
      </w:tr>
    </w:tbl>
    <w:p>
      <w:pPr>
        <w:keepNext/>
        <w:spacing w:before="360" w:after="200" w:line="269" w:lineRule="auto"/>
      </w:pPr>
      <w:r>
        <w:rPr>
          <w:rFonts w:ascii="Calibri" w:hAnsi="Calibri" w:eastAsia="PingFang SC"/>
          <w:b/>
          <w:color w:val="2E74B5"/>
          <w:sz w:val="32"/>
        </w:rPr>
        <w:t>主演示证据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shd w:fill="E8EEF5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指标</w:t>
            </w:r>
          </w:p>
        </w:tc>
        <w:tc>
          <w:tcPr>
            <w:tcW w:type="dxa" w:w="3096"/>
            <w:shd w:fill="E8EEF5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配送时间改约</w:t>
            </w:r>
          </w:p>
        </w:tc>
        <w:tc>
          <w:tcPr>
            <w:tcW w:type="dxa" w:w="4464"/>
            <w:shd w:fill="E8EEF5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解释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测试方式</w:t>
            </w:r>
          </w:p>
        </w:tc>
        <w:tc>
          <w:tcPr>
            <w:tcW w:type="dxa" w:w="3096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用户模拟器 · 10 通</w:t>
            </w:r>
          </w:p>
        </w:tc>
        <w:tc>
          <w:tcPr>
            <w:tcW w:type="dxa" w:w="4464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页面数字与正式报告一致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SOP/Checklist</w:t>
            </w:r>
          </w:p>
        </w:tc>
        <w:tc>
          <w:tcPr>
            <w:tcW w:type="dxa" w:w="3096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哈希固定 · 草稿体检不自动绑定</w:t>
            </w:r>
          </w:p>
        </w:tc>
        <w:tc>
          <w:tcPr>
            <w:tcW w:type="dxa" w:w="4464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防止中间体检痕迹污染正式归因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模型门禁</w:t>
            </w:r>
          </w:p>
        </w:tc>
        <w:tc>
          <w:tcPr>
            <w:tcW w:type="dxa" w:w="3096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打回 · 打回 10/10</w:t>
            </w:r>
          </w:p>
        </w:tc>
        <w:tc>
          <w:tcPr>
            <w:tcW w:type="dxa" w:w="4464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批次级失败直接进入归因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履约 / P0</w:t>
            </w:r>
          </w:p>
        </w:tc>
        <w:tc>
          <w:tcPr>
            <w:tcW w:type="dxa" w:w="3096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10.0% / 10 通</w:t>
            </w:r>
          </w:p>
        </w:tc>
        <w:tc>
          <w:tcPr>
            <w:tcW w:type="dxa" w:w="4464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不能只看全部 judgment 失败率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裁判健康</w:t>
            </w:r>
          </w:p>
        </w:tc>
        <w:tc>
          <w:tcPr>
            <w:tcW w:type="dxa" w:w="3096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NA 40.0% · 分歧 0.0%</w:t>
            </w:r>
          </w:p>
        </w:tc>
        <w:tc>
          <w:tcPr>
            <w:tcW w:type="dxa" w:w="4464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排除裁判失灵为首因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首要根因</w:t>
            </w:r>
          </w:p>
        </w:tc>
        <w:tc>
          <w:tcPr>
            <w:tcW w:type="dxa" w:w="3096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target_model · medium</w:t>
            </w:r>
          </w:p>
        </w:tc>
        <w:tc>
          <w:tcPr>
            <w:tcW w:type="dxa" w:w="4464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第 6 步只改模型/对话策略</w:t>
            </w:r>
          </w:p>
        </w:tc>
      </w:tr>
    </w:tbl>
    <w:p>
      <w:pPr>
        <w:spacing w:after="0"/>
      </w:pPr>
    </w:p>
    <w:p>
      <w:pPr>
        <w:keepNext/>
        <w:spacing w:before="280" w:after="140" w:line="269" w:lineRule="auto"/>
      </w:pPr>
      <w:r>
        <w:rPr>
          <w:rFonts w:ascii="Calibri" w:hAnsi="Calibri" w:eastAsia="PingFang SC"/>
          <w:b/>
          <w:color w:val="2E74B5"/>
          <w:sz w:val="26"/>
        </w:rPr>
        <w:t>SOP 问题对照</w:t>
      </w:r>
    </w:p>
    <w:p>
      <w:pPr>
        <w:spacing w:before="0" w:after="160" w:line="300" w:lineRule="auto"/>
      </w:pPr>
      <w:r>
        <w:rPr>
          <w:rFonts w:ascii="Calibri" w:hAnsi="Calibri" w:eastAsia="PingFang SC"/>
          <w:b w:val="0"/>
          <w:color w:val="142039"/>
          <w:sz w:val="22"/>
        </w:rPr>
        <w:t>低延迟直播升级：10 通正式评测，打回 9 通；SOP 可行性 0/100，4 项高严重度问题，首要根因为 instruction。动作是先修 SOP、重建 Checklist、回第 2 步。</w:t>
      </w:r>
    </w:p>
    <w:p>
      <w:pPr>
        <w:keepNext/>
        <w:spacing w:before="360" w:after="200" w:line="269" w:lineRule="auto"/>
      </w:pPr>
      <w:r>
        <w:rPr>
          <w:rFonts w:ascii="Calibri" w:hAnsi="Calibri" w:eastAsia="PingFang SC"/>
          <w:b/>
          <w:color w:val="2E74B5"/>
          <w:sz w:val="32"/>
        </w:rPr>
        <w:t>数字口径卡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224"/>
            <w:shd w:fill="E8EEF5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数字</w:t>
            </w:r>
          </w:p>
        </w:tc>
        <w:tc>
          <w:tcPr>
            <w:tcW w:type="dxa" w:w="3816"/>
            <w:shd w:fill="E8EEF5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准确说法</w:t>
            </w:r>
          </w:p>
        </w:tc>
        <w:tc>
          <w:tcPr>
            <w:tcW w:type="dxa" w:w="2088"/>
            <w:shd w:fill="E8EEF5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不能说</w:t>
            </w:r>
          </w:p>
        </w:tc>
        <w:tc>
          <w:tcPr>
            <w:tcW w:type="dxa" w:w="2952"/>
            <w:shd w:fill="E8EEF5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证据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10 通</w:t>
            </w:r>
          </w:p>
        </w:tc>
        <w:tc>
          <w:tcPr>
            <w:tcW w:type="dxa" w:w="3816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配送时间改约正式主演示批次的全部对话</w:t>
            </w:r>
          </w:p>
        </w:tc>
        <w:tc>
          <w:tcPr>
            <w:tcW w:type="dxa" w:w="2088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1 通结果代表 10 通</w:t>
            </w:r>
          </w:p>
        </w:tc>
        <w:tc>
          <w:tcPr>
            <w:tcW w:type="dxa" w:w="2952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runs/demo_main_t02_healthy_20260713/summary.json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履约 10.0%</w:t>
            </w:r>
          </w:p>
        </w:tc>
        <w:tc>
          <w:tcPr>
            <w:tcW w:type="dxa" w:w="3816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该批次 outcome 检查点的履约达成比例</w:t>
            </w:r>
          </w:p>
        </w:tc>
        <w:tc>
          <w:tcPr>
            <w:tcW w:type="dxa" w:w="2088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线上自然流量履约率</w:t>
            </w:r>
          </w:p>
        </w:tc>
        <w:tc>
          <w:tcPr>
            <w:tcW w:type="dxa" w:w="2952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同上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P0 10 通</w:t>
            </w:r>
          </w:p>
        </w:tc>
        <w:tc>
          <w:tcPr>
            <w:tcW w:type="dxa" w:w="3816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该批次触发 critical fail 的通话数</w:t>
            </w:r>
          </w:p>
        </w:tc>
        <w:tc>
          <w:tcPr>
            <w:tcW w:type="dxa" w:w="2088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线上 P0 率</w:t>
            </w:r>
          </w:p>
        </w:tc>
        <w:tc>
          <w:tcPr>
            <w:tcW w:type="dxa" w:w="2952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同上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92.73%</w:t>
            </w:r>
          </w:p>
        </w:tc>
        <w:tc>
          <w:tcPr>
            <w:tcW w:type="dxa" w:w="3816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GPT-5.6-sol/xhigh、32 case、165 注入真值、1 票的裁判准确率</w:t>
            </w:r>
          </w:p>
        </w:tc>
        <w:tc>
          <w:tcPr>
            <w:tcW w:type="dxa" w:w="2088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线上裁判准确率</w:t>
            </w:r>
          </w:p>
        </w:tc>
        <w:tc>
          <w:tcPr>
            <w:tcW w:type="dxa" w:w="2952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runs/calibration/calibration_32case_gpt56sol_xhigh_v1.json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P0 11/11</w:t>
            </w:r>
          </w:p>
        </w:tc>
        <w:tc>
          <w:tcPr>
            <w:tcW w:type="dxa" w:w="3816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该黄金集 critical fail 全检出</w:t>
            </w:r>
          </w:p>
        </w:tc>
        <w:tc>
          <w:tcPr>
            <w:tcW w:type="dxa" w:w="2088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线上零漏判</w:t>
            </w:r>
          </w:p>
        </w:tc>
        <w:tc>
          <w:tcPr>
            <w:tcW w:type="dxa" w:w="2952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同上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style 70%</w:t>
            </w:r>
          </w:p>
        </w:tc>
        <w:tc>
          <w:tcPr>
            <w:tcW w:type="dxa" w:w="3816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10 个 style 真值判对 7 个</w:t>
            </w:r>
          </w:p>
        </w:tc>
        <w:tc>
          <w:tcPr>
            <w:tcW w:type="dxa" w:w="2088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裁判可以完全替代人工</w:t>
            </w:r>
          </w:p>
        </w:tc>
        <w:tc>
          <w:tcPr>
            <w:tcW w:type="dxa" w:w="2952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同上</w:t>
            </w:r>
          </w:p>
        </w:tc>
      </w:tr>
    </w:tbl>
    <w:p>
      <w:pPr>
        <w:spacing w:after="0"/>
      </w:pPr>
    </w:p>
    <w:p>
      <w:pPr>
        <w:keepNext/>
        <w:spacing w:before="360" w:after="200" w:line="269" w:lineRule="auto"/>
      </w:pPr>
      <w:r>
        <w:rPr>
          <w:rFonts w:ascii="Calibri" w:hAnsi="Calibri" w:eastAsia="PingFang SC"/>
          <w:b/>
          <w:color w:val="2E74B5"/>
          <w:sz w:val="32"/>
        </w:rPr>
        <w:t>高频攻防卡</w:t>
      </w:r>
    </w:p>
    <w:p>
      <w:pPr>
        <w:keepNext/>
        <w:spacing w:before="200" w:after="100" w:line="269" w:lineRule="auto"/>
      </w:pPr>
      <w:r>
        <w:rPr>
          <w:rFonts w:ascii="Calibri" w:hAnsi="Calibri" w:eastAsia="PingFang SC"/>
          <w:b/>
          <w:color w:val="1F4D78"/>
          <w:sz w:val="24"/>
        </w:rPr>
        <w:t>Q1：这是不是 SOP 检查器？</w:t>
      </w:r>
    </w:p>
    <w:p>
      <w:pPr>
        <w:spacing w:before="0" w:after="100" w:line="293" w:lineRule="auto"/>
      </w:pPr>
      <w:r>
        <w:rPr>
          <w:rFonts w:ascii="Calibri" w:hAnsi="Calibri" w:eastAsia="PingFang SC"/>
          <w:b w:val="0"/>
          <w:color w:val="142039"/>
          <w:sz w:val="21"/>
        </w:rPr>
        <w:t>不是。外呼模型是被评对象，第 4 步模型评测报告是核心交付。SOP 体检只判断评分尺是否健康，避免把坏指令的问题归给模型。</w:t>
      </w:r>
    </w:p>
    <w:p>
      <w:pPr>
        <w:keepNext/>
        <w:spacing w:before="200" w:after="100" w:line="269" w:lineRule="auto"/>
      </w:pPr>
      <w:r>
        <w:rPr>
          <w:rFonts w:ascii="Calibri" w:hAnsi="Calibri" w:eastAsia="PingFang SC"/>
          <w:b/>
          <w:color w:val="1F4D78"/>
          <w:sz w:val="24"/>
        </w:rPr>
        <w:t>Q2：用户模拟器去哪了？</w:t>
      </w:r>
    </w:p>
    <w:p>
      <w:pPr>
        <w:spacing w:before="0" w:after="100" w:line="293" w:lineRule="auto"/>
      </w:pPr>
      <w:r>
        <w:rPr>
          <w:rFonts w:ascii="Calibri" w:hAnsi="Calibri" w:eastAsia="PingFang SC"/>
          <w:b w:val="0"/>
          <w:color w:val="142039"/>
          <w:sz w:val="21"/>
        </w:rPr>
        <w:t>它在第 3 步拥有正式入口：按 persona、数量和对抗目标生成测试对话，同时输出覆盖率与未触达检查点。已有日志质检是第二种入口，不替代用户模拟器。</w:t>
      </w:r>
    </w:p>
    <w:p>
      <w:pPr>
        <w:keepNext/>
        <w:spacing w:before="200" w:after="100" w:line="269" w:lineRule="auto"/>
      </w:pPr>
      <w:r>
        <w:rPr>
          <w:rFonts w:ascii="Calibri" w:hAnsi="Calibri" w:eastAsia="PingFang SC"/>
          <w:b/>
          <w:color w:val="1F4D78"/>
          <w:sz w:val="24"/>
        </w:rPr>
        <w:t>Q3：为什么配送时间改约要归因给模型？</w:t>
      </w:r>
    </w:p>
    <w:p>
      <w:pPr>
        <w:spacing w:before="0" w:after="100" w:line="293" w:lineRule="auto"/>
      </w:pPr>
      <w:r>
        <w:rPr>
          <w:rFonts w:ascii="Calibri" w:hAnsi="Calibri" w:eastAsia="PingFang SC"/>
          <w:b w:val="0"/>
          <w:color w:val="142039"/>
          <w:sz w:val="21"/>
        </w:rPr>
        <w:t>因为固定 SOP/Checklist 下，批次打回 10/10、履约 10.0%、P0 10 通，且归因模块不再自动吸入 scratch lint 文件。强模型失败信号不存在更强混杂。</w:t>
      </w:r>
    </w:p>
    <w:p>
      <w:pPr>
        <w:keepNext/>
        <w:spacing w:before="200" w:after="100" w:line="269" w:lineRule="auto"/>
      </w:pPr>
      <w:r>
        <w:rPr>
          <w:rFonts w:ascii="Calibri" w:hAnsi="Calibri" w:eastAsia="PingFang SC"/>
          <w:b/>
          <w:color w:val="1F4D78"/>
          <w:sz w:val="24"/>
        </w:rPr>
        <w:t>Q4：为什么以前会变成证据不足？</w:t>
      </w:r>
    </w:p>
    <w:p>
      <w:pPr>
        <w:spacing w:before="0" w:after="100" w:line="293" w:lineRule="auto"/>
      </w:pPr>
      <w:r>
        <w:rPr>
          <w:rFonts w:ascii="Calibri" w:hAnsi="Calibri" w:eastAsia="PingFang SC"/>
          <w:b w:val="0"/>
          <w:color w:val="142039"/>
          <w:sz w:val="21"/>
        </w:rPr>
        <w:t>旧算法过度依赖全部 judgment 失败率，忽略通话打回、履约、P0、关键流程和严重度。新算法把这些批次级指标与 SOP 健康、NA 和分歧共同计算，并为所有根因分支补了测试。</w:t>
      </w:r>
    </w:p>
    <w:p>
      <w:pPr>
        <w:keepNext/>
        <w:spacing w:before="200" w:after="100" w:line="269" w:lineRule="auto"/>
      </w:pPr>
      <w:r>
        <w:rPr>
          <w:rFonts w:ascii="Calibri" w:hAnsi="Calibri" w:eastAsia="PingFang SC"/>
          <w:b/>
          <w:color w:val="1F4D78"/>
          <w:sz w:val="24"/>
        </w:rPr>
        <w:t>Q5：你们会不会为了回归改评分尺？</w:t>
      </w:r>
    </w:p>
    <w:p>
      <w:pPr>
        <w:spacing w:before="0" w:after="100" w:line="293" w:lineRule="auto"/>
      </w:pPr>
      <w:r>
        <w:rPr>
          <w:rFonts w:ascii="Calibri" w:hAnsi="Calibri" w:eastAsia="PingFang SC"/>
          <w:b w:val="0"/>
          <w:color w:val="142039"/>
          <w:sz w:val="21"/>
        </w:rPr>
        <w:t>模型问题不会。第 6 步固定 SOP 与 Checklist hash，返回第 3 步，仅改变目标模型版本或对话策略；SOP 问题才回第 2 步重建评分尺。</w:t>
      </w:r>
    </w:p>
    <w:p>
      <w:pPr>
        <w:keepNext/>
        <w:spacing w:before="200" w:after="100" w:line="269" w:lineRule="auto"/>
      </w:pPr>
      <w:r>
        <w:rPr>
          <w:rFonts w:ascii="Calibri" w:hAnsi="Calibri" w:eastAsia="PingFang SC"/>
          <w:b/>
          <w:color w:val="1F4D78"/>
          <w:sz w:val="24"/>
        </w:rPr>
        <w:t>Q6：这不就是套 GPT 打分吗？</w:t>
      </w:r>
    </w:p>
    <w:p>
      <w:pPr>
        <w:spacing w:before="0" w:after="100" w:line="293" w:lineRule="auto"/>
      </w:pPr>
      <w:r>
        <w:rPr>
          <w:rFonts w:ascii="Calibri" w:hAnsi="Calibri" w:eastAsia="PingFang SC"/>
          <w:b w:val="0"/>
          <w:color w:val="142039"/>
          <w:sz w:val="21"/>
        </w:rPr>
        <w:t>不是。系统固定 Checklist、保留逐字证据、执行 P0 门禁、多票/规则冲突处理、裁判黄金集校准、版本 hash、人工复核和可比性门禁。模型后端可替换。</w:t>
      </w:r>
    </w:p>
    <w:p>
      <w:pPr>
        <w:keepNext/>
        <w:spacing w:before="200" w:after="100" w:line="269" w:lineRule="auto"/>
      </w:pPr>
      <w:r>
        <w:rPr>
          <w:rFonts w:ascii="Calibri" w:hAnsi="Calibri" w:eastAsia="PingFang SC"/>
          <w:b/>
          <w:color w:val="1F4D78"/>
          <w:sz w:val="24"/>
        </w:rPr>
        <w:t>Q7：健康检查为什么可信？</w:t>
      </w:r>
    </w:p>
    <w:p>
      <w:pPr>
        <w:spacing w:before="0" w:after="100" w:line="293" w:lineRule="auto"/>
      </w:pPr>
      <w:r>
        <w:rPr>
          <w:rFonts w:ascii="Calibri" w:hAnsi="Calibri" w:eastAsia="PingFang SC"/>
          <w:b w:val="0"/>
          <w:color w:val="142039"/>
          <w:sz w:val="21"/>
        </w:rPr>
        <w:t>服务启动和模型可用分开显示。工作台先连本地服务，再后台发送真实模型探针；只有拿到响应才显示“模型后端已验证”，超时会终止整个进程组并返回准确错误。</w:t>
      </w:r>
    </w:p>
    <w:p>
      <w:pPr>
        <w:keepNext/>
        <w:spacing w:before="200" w:after="100" w:line="269" w:lineRule="auto"/>
      </w:pPr>
      <w:r>
        <w:rPr>
          <w:rFonts w:ascii="Calibri" w:hAnsi="Calibri" w:eastAsia="PingFang SC"/>
          <w:b/>
          <w:color w:val="1F4D78"/>
          <w:sz w:val="24"/>
        </w:rPr>
        <w:t>Q8：缓存结果是不是现场伪造？</w:t>
      </w:r>
    </w:p>
    <w:p>
      <w:pPr>
        <w:spacing w:before="0" w:after="100" w:line="293" w:lineRule="auto"/>
      </w:pPr>
      <w:r>
        <w:rPr>
          <w:rFonts w:ascii="Calibri" w:hAnsi="Calibri" w:eastAsia="PingFang SC"/>
          <w:b w:val="0"/>
          <w:color w:val="142039"/>
          <w:sz w:val="21"/>
        </w:rPr>
        <w:t>不是。缓存明确标“已验证产物”，来自仓库正式 run；实时模式另有标签和真实健康检查。内置样例可精确 hash 命中复用，自定义材料必须调用可用后端。</w:t>
      </w:r>
    </w:p>
    <w:p>
      <w:pPr>
        <w:keepNext/>
        <w:spacing w:before="200" w:after="100" w:line="269" w:lineRule="auto"/>
      </w:pPr>
      <w:r>
        <w:rPr>
          <w:rFonts w:ascii="Calibri" w:hAnsi="Calibri" w:eastAsia="PingFang SC"/>
          <w:b/>
          <w:color w:val="1F4D78"/>
          <w:sz w:val="24"/>
        </w:rPr>
        <w:t>Q9：模型问题怎么修？</w:t>
      </w:r>
    </w:p>
    <w:p>
      <w:pPr>
        <w:spacing w:before="0" w:after="100" w:line="293" w:lineRule="auto"/>
      </w:pPr>
      <w:r>
        <w:rPr>
          <w:rFonts w:ascii="Calibri" w:hAnsi="Calibri" w:eastAsia="PingFang SC"/>
          <w:b w:val="0"/>
          <w:color w:val="142039"/>
          <w:sz w:val="21"/>
        </w:rPr>
        <w:t>从高频关键失败和 P0 证据生成模型/对话策略动作，保持 SOP/Checklist 不变，返回第 3 步用相同 persona、数量和评分尺重测。</w:t>
      </w:r>
    </w:p>
    <w:p>
      <w:pPr>
        <w:keepNext/>
        <w:spacing w:before="200" w:after="100" w:line="269" w:lineRule="auto"/>
      </w:pPr>
      <w:r>
        <w:rPr>
          <w:rFonts w:ascii="Calibri" w:hAnsi="Calibri" w:eastAsia="PingFang SC"/>
          <w:b/>
          <w:color w:val="1F4D78"/>
          <w:sz w:val="24"/>
        </w:rPr>
        <w:t>Q10：结果能外推线上吗？</w:t>
      </w:r>
    </w:p>
    <w:p>
      <w:pPr>
        <w:spacing w:before="0" w:after="100" w:line="293" w:lineRule="auto"/>
      </w:pPr>
      <w:r>
        <w:rPr>
          <w:rFonts w:ascii="Calibri" w:hAnsi="Calibri" w:eastAsia="PingFang SC"/>
          <w:b w:val="0"/>
          <w:color w:val="142039"/>
          <w:sz w:val="21"/>
        </w:rPr>
        <w:t>不能直接外推。报告只描述指定 SOP、模型版本、对话批次、Checklist、裁判和票数；真实上线仍需要代表性流量、独立 holdout 与人工复核。</w:t>
      </w:r>
    </w:p>
    <w:p>
      <w:pPr>
        <w:keepNext/>
        <w:spacing w:before="360" w:after="200" w:line="269" w:lineRule="auto"/>
      </w:pPr>
      <w:r>
        <w:rPr>
          <w:rFonts w:ascii="Calibri" w:hAnsi="Calibri" w:eastAsia="PingFang SC"/>
          <w:b/>
          <w:color w:val="2E74B5"/>
          <w:sz w:val="32"/>
        </w:rPr>
        <w:t>演示与故障切换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PingFang SC"/>
          <w:b w:val="0"/>
          <w:color w:val="142039"/>
          <w:sz w:val="22"/>
        </w:rPr>
        <w:t>缓存主演示：配送时间改约六步走完，第 4 步停留，下载报告。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PingFang SC"/>
          <w:b w:val="0"/>
          <w:color w:val="142039"/>
          <w:sz w:val="22"/>
        </w:rPr>
        <w:t>实时验收：切本地实时，确认后端真实健康；内置样例精确复用已验证产物，六步 API 和下载真实可用。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PingFang SC"/>
          <w:b w:val="0"/>
          <w:color w:val="142039"/>
          <w:sz w:val="22"/>
        </w:rPr>
        <w:t>自定义验收：模拟模式只上传 SOP；日志模式必须同时上传 SOP 与对话。错误必须准确显示。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PingFang SC"/>
          <w:b w:val="0"/>
          <w:color w:val="142039"/>
          <w:sz w:val="22"/>
        </w:rPr>
        <w:t>对照：低延迟直播升级首要根因 instruction；确认模型案例与 SOP 案例同时存在。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PingFang SC"/>
          <w:b w:val="0"/>
          <w:color w:val="142039"/>
          <w:sz w:val="22"/>
        </w:rPr>
        <w:t>断网/模型失败：切缓存并明确结果来源，不口头宣称实时调用成功。</w:t>
      </w:r>
    </w:p>
    <w:p>
      <w:pPr>
        <w:keepNext/>
        <w:spacing w:before="280" w:after="140" w:line="269" w:lineRule="auto"/>
      </w:pPr>
      <w:r>
        <w:rPr>
          <w:rFonts w:ascii="Calibri" w:hAnsi="Calibri" w:eastAsia="PingFang SC"/>
          <w:b/>
          <w:color w:val="2E74B5"/>
          <w:sz w:val="26"/>
        </w:rPr>
        <w:t>最终验收口径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b w:val="0"/>
          <w:color w:val="142039"/>
          <w:sz w:val="22"/>
        </w:rPr>
        <w:t>target_model 与 instruction 两种首要根因均有真实产物。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b w:val="0"/>
          <w:color w:val="142039"/>
          <w:sz w:val="22"/>
        </w:rPr>
        <w:t>模型问题第 6 步回第 3 步，SOP/Checklist 哈希不变。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b w:val="0"/>
          <w:color w:val="142039"/>
          <w:sz w:val="22"/>
        </w:rPr>
        <w:t>样例文件、正式 run、页面显示、报告数量一致。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b w:val="0"/>
          <w:color w:val="142039"/>
          <w:sz w:val="22"/>
        </w:rPr>
        <w:t>缓存与实时分标；接口、浏览器点击下载、自动化测试、PPT/DOCX 渲染全部留证。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PingFang SC"/>
        <w:color w:val="687386"/>
        <w:sz w:val="17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>
      <w:rPr>
        <w:rFonts w:ascii="Calibri" w:hAnsi="Calibri" w:eastAsia="PingFang SC"/>
        <w:b/>
        <w:color w:val="687386"/>
        <w:sz w:val="17"/>
      </w:rPr>
      <w:t>Competition Pack</w:t>
    </w:r>
    <w:r>
      <w:rPr>
        <w:rFonts w:ascii="Calibri" w:hAnsi="Calibri" w:eastAsia="PingFang SC"/>
        <w:b/>
        <w:color w:val="687386"/>
        <w:sz w:val="17"/>
      </w:rPr>
      <w:t xml:space="preserve">        一页纸 · 数字口径 · 攻防卡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color w:val="14203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