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 w:eastAsia="PingFang SC"/>
          <w:b/>
          <w:color w:val="2E74B5"/>
          <w:sz w:val="18"/>
        </w:rPr>
        <w:t>EVALCALL · MEITUAN AI HACKATHON 2026</w:t>
      </w:r>
    </w:p>
    <w:p>
      <w:pPr>
        <w:spacing w:before="0" w:after="160" w:line="240" w:lineRule="auto"/>
      </w:pPr>
      <w:r>
        <w:rPr>
          <w:rFonts w:ascii="Calibri" w:hAnsi="Calibri" w:eastAsia="PingFang SC"/>
          <w:b/>
          <w:color w:val="142039"/>
          <w:sz w:val="58"/>
        </w:rPr>
        <w:t>EvalCall 答辩演示脚本 · 3 分钟</w:t>
      </w:r>
    </w:p>
    <w:p>
      <w:pPr>
        <w:spacing w:before="0" w:after="360" w:line="288" w:lineRule="auto"/>
      </w:pPr>
      <w:r>
        <w:rPr>
          <w:rFonts w:ascii="Calibri" w:hAnsi="Calibri" w:eastAsia="PingFang SC"/>
          <w:b w:val="0"/>
          <w:color w:val="687386"/>
          <w:sz w:val="26"/>
        </w:rPr>
        <w:t>现场以工作台为主；PPT 负责建立角色关系、真实证据和归因可信度。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FFF8D8"/>
            <w:tcBorders>
              <w:top w:val="single" w:sz="7" w:color="FFD100"/>
              <w:left w:val="single" w:sz="7" w:color="FFD100"/>
              <w:bottom w:val="single" w:sz="7" w:color="FFD100"/>
              <w:right w:val="single" w:sz="7" w:color="FFD100"/>
              <w:insideH w:val="single" w:sz="7" w:color="FFD100"/>
              <w:insideV w:val="single" w:sz="7" w:color="FFD100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PingFang SC"/>
                <w:b/>
                <w:color w:val="142039"/>
                <w:sz w:val="26"/>
              </w:rPr>
              <w:t>0:00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PingFang SC"/>
                <w:b w:val="0"/>
                <w:color w:val="687386"/>
                <w:sz w:val="16"/>
              </w:rPr>
              <w:t>定位</w:t>
            </w:r>
          </w:p>
        </w:tc>
        <w:tc>
          <w:tcPr>
            <w:tcW w:type="dxa" w:w="2541"/>
            <w:shd w:fill="FFF8D8"/>
            <w:tcBorders>
              <w:top w:val="single" w:sz="7" w:color="FFD100"/>
              <w:left w:val="single" w:sz="7" w:color="FFD100"/>
              <w:bottom w:val="single" w:sz="7" w:color="FFD100"/>
              <w:right w:val="single" w:sz="7" w:color="FFD100"/>
              <w:insideH w:val="single" w:sz="7" w:color="FFD100"/>
              <w:insideV w:val="single" w:sz="7" w:color="FFD100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PingFang SC"/>
                <w:b/>
                <w:color w:val="142039"/>
                <w:sz w:val="26"/>
              </w:rPr>
              <w:t>0:32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PingFang SC"/>
                <w:b w:val="0"/>
                <w:color w:val="687386"/>
                <w:sz w:val="16"/>
              </w:rPr>
              <w:t>六步</w:t>
            </w:r>
          </w:p>
        </w:tc>
        <w:tc>
          <w:tcPr>
            <w:tcW w:type="dxa" w:w="2541"/>
            <w:shd w:fill="FFF8D8"/>
            <w:tcBorders>
              <w:top w:val="single" w:sz="7" w:color="FFD100"/>
              <w:left w:val="single" w:sz="7" w:color="FFD100"/>
              <w:bottom w:val="single" w:sz="7" w:color="FFD100"/>
              <w:right w:val="single" w:sz="7" w:color="FFD100"/>
              <w:insideH w:val="single" w:sz="7" w:color="FFD100"/>
              <w:insideV w:val="single" w:sz="7" w:color="FFD100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PingFang SC"/>
                <w:b/>
                <w:color w:val="142039"/>
                <w:sz w:val="26"/>
              </w:rPr>
              <w:t>1:18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PingFang SC"/>
                <w:b w:val="0"/>
                <w:color w:val="687386"/>
                <w:sz w:val="16"/>
              </w:rPr>
              <w:t>模型案例</w:t>
            </w:r>
          </w:p>
        </w:tc>
        <w:tc>
          <w:tcPr>
            <w:tcW w:type="dxa" w:w="2541"/>
            <w:shd w:fill="FFF8D8"/>
            <w:tcBorders>
              <w:top w:val="single" w:sz="7" w:color="FFD100"/>
              <w:left w:val="single" w:sz="7" w:color="FFD100"/>
              <w:bottom w:val="single" w:sz="7" w:color="FFD100"/>
              <w:right w:val="single" w:sz="7" w:color="FFD100"/>
              <w:insideH w:val="single" w:sz="7" w:color="FFD100"/>
              <w:insideV w:val="single" w:sz="7" w:color="FFD100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PingFang SC"/>
                <w:b/>
                <w:color w:val="142039"/>
                <w:sz w:val="26"/>
              </w:rPr>
              <w:t>2:42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PingFang SC"/>
                <w:b w:val="0"/>
                <w:color w:val="687386"/>
                <w:sz w:val="16"/>
              </w:rPr>
              <w:t>收口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7848"/>
      </w:tblGrid>
      <w:tr>
        <w:tc>
          <w:tcPr>
            <w:tcW w:type="dxa" w:w="5083"/>
            <w:shd w:fill="FFF8D8"/>
            <w:tcBorders>
              <w:top w:val="single" w:sz="8" w:color="FFD100"/>
              <w:left w:val="single" w:sz="8" w:color="FFD100"/>
              <w:bottom w:val="single" w:sz="8" w:color="FFD100"/>
              <w:right w:val="single" w:sz="8" w:color="FFD100"/>
              <w:insideH w:val="single" w:sz="8" w:color="FFD100"/>
              <w:insideV w:val="single" w:sz="8" w:color="FFD100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42039"/>
                <w:sz w:val="19"/>
              </w:rPr>
              <w:t>一句话</w:t>
            </w:r>
          </w:p>
        </w:tc>
        <w:tc>
          <w:tcPr>
            <w:tcW w:type="dxa" w:w="5083"/>
            <w:shd w:fill="FFF8D8"/>
            <w:tcBorders>
              <w:top w:val="single" w:sz="8" w:color="FFD100"/>
              <w:left w:val="single" w:sz="8" w:color="FFD100"/>
              <w:bottom w:val="single" w:sz="8" w:color="FFD100"/>
              <w:right w:val="single" w:sz="8" w:color="FFD100"/>
              <w:insideH w:val="single" w:sz="8" w:color="FFD100"/>
              <w:insideV w:val="single" w:sz="8" w:color="FFD100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PingFang SC"/>
                <w:b w:val="0"/>
                <w:color w:val="142039"/>
                <w:sz w:val="21"/>
              </w:rPr>
              <w:t>EvalCall 自动测试并评估外呼模型在特定任务指令下的指令遵循效果，输出可审计的模型评测报告。</w:t>
            </w:r>
          </w:p>
        </w:tc>
      </w:tr>
    </w:tbl>
    <w:p>
      <w:pPr>
        <w:keepNext/>
        <w:spacing w:before="360" w:after="200" w:line="269" w:lineRule="auto"/>
      </w:pPr>
      <w:r>
        <w:rPr>
          <w:rFonts w:ascii="Calibri" w:hAnsi="Calibri" w:eastAsia="PingFang SC"/>
          <w:b/>
          <w:color w:val="2E74B5"/>
          <w:sz w:val="32"/>
        </w:rPr>
        <w:t>逐秒讲稿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81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1440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目的</w:t>
            </w:r>
          </w:p>
        </w:tc>
        <w:tc>
          <w:tcPr>
            <w:tcW w:type="dxa" w:w="5832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口播</w:t>
            </w:r>
          </w:p>
        </w:tc>
        <w:tc>
          <w:tcPr>
            <w:tcW w:type="dxa" w:w="1224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屏幕</w:t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0:00–0:20</w:t>
            </w:r>
          </w:p>
        </w:tc>
        <w:tc>
          <w:tcPr>
            <w:tcW w:type="dxa" w:w="144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开场定位</w:t>
            </w:r>
          </w:p>
        </w:tc>
        <w:tc>
          <w:tcPr>
            <w:tcW w:type="dxa" w:w="583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大家好，我们做的是 EvalCall。被评对象是外呼模型；SOP 是评分依据；用户模拟器是官方要求的测试工具；对话日志是测试过程数据。我们交付的不是 SOP 检查结果，而是外呼模型的指令遵循评测报告。</w:t>
            </w:r>
          </w:p>
        </w:tc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PPT 1–2</w:t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0:20–0:42</w:t>
            </w:r>
          </w:p>
        </w:tc>
        <w:tc>
          <w:tcPr>
            <w:tcW w:type="dxa" w:w="144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为什么要保障</w:t>
            </w:r>
          </w:p>
        </w:tc>
        <w:tc>
          <w:tcPr>
            <w:tcW w:type="dxa" w:w="583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一个低分可能来自模型没守指令，也可能来自 SOP 自相矛盾、裁判失灵或测试没覆盖。诊断、校准和归因的作用，是防止把别人的问题错误归给模型。</w:t>
            </w:r>
          </w:p>
        </w:tc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PPT 2 / 4</w:t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0:42–1:18</w:t>
            </w:r>
          </w:p>
        </w:tc>
        <w:tc>
          <w:tcPr>
            <w:tcW w:type="dxa" w:w="144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六步工作台</w:t>
            </w:r>
          </w:p>
        </w:tc>
        <w:tc>
          <w:tcPr>
            <w:tcW w:type="dxa" w:w="583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第一步配置任务和被测模型；第二步把 SOP 建成 L0 通用安全与 L1 业务评分标准；第三步由用户模拟器生成多 persona 测试对话，或评估已有日志；第四步输出模型版本、门禁、履约率、P0、关键失败、覆盖率和未触达检查点。第四步是核心交付终点。第五、六步只在失败后定位模型、SOP、裁判或测试数据，并生成对应优化和同尺回归。</w:t>
            </w:r>
          </w:p>
        </w:tc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工作台 1–6</w:t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1:18–1:58</w:t>
            </w:r>
          </w:p>
        </w:tc>
        <w:tc>
          <w:tcPr>
            <w:tcW w:type="dxa" w:w="144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主演示：评模型</w:t>
            </w:r>
          </w:p>
        </w:tc>
        <w:tc>
          <w:tcPr>
            <w:tcW w:type="dxa" w:w="583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配送时间改约使用固定 SOP/Checklist；SOP 体检草稿保留验收痕迹但不自动绑定正式归因。我们对同一批 10 通固定测试对话真实评测，其中用户模拟器语料 6 通、显式标记的分支夹具 4 通；得到打回 10 通、履约率 10.0%、P0 触发 10 通、关键失败 225 项。系统因此把首要根因归给外呼模型，不再因为全部判定失败率看起来不高而说“证据不足”。</w:t>
            </w:r>
          </w:p>
        </w:tc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PPT 5 / 工作台 4–5</w:t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1:58–2:18</w:t>
            </w:r>
          </w:p>
        </w:tc>
        <w:tc>
          <w:tcPr>
            <w:tcW w:type="dxa" w:w="144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第 6 步闭环</w:t>
            </w:r>
          </w:p>
        </w:tc>
        <w:tc>
          <w:tcPr>
            <w:tcW w:type="dxa" w:w="583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因为根因是 target_model，第六步只生成模型和对话策略优化：保持 SOP 与 Checklist 哈希不变，返回第 3 步，用同一把尺重测。系统不会借改评分尺制造提升。</w:t>
            </w:r>
          </w:p>
        </w:tc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工作台 6</w:t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2:18–2:38</w:t>
            </w:r>
          </w:p>
        </w:tc>
        <w:tc>
          <w:tcPr>
            <w:tcW w:type="dxa" w:w="144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反例：不误伤模型</w:t>
            </w:r>
          </w:p>
        </w:tc>
        <w:tc>
          <w:tcPr>
            <w:tcW w:type="dxa" w:w="583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低延迟直播升级样例同样打回 9/10 通，但 SOP 可行性是 0/100，并有高严重度问题。因此首要根因是 instruction，动作是先修 SOP、回第 2 步。这证明我们既能评模型，也不会替坏指令背书。</w:t>
            </w:r>
          </w:p>
        </w:tc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PPT 7</w:t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2:38–2:52</w:t>
            </w:r>
          </w:p>
        </w:tc>
        <w:tc>
          <w:tcPr>
            <w:tcW w:type="dxa" w:w="144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裁判可信度</w:t>
            </w:r>
          </w:p>
        </w:tc>
        <w:tc>
          <w:tcPr>
            <w:tcW w:type="dxa" w:w="583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裁判也要考试：32 case、165 个已知真值，总体准确率 92.73%，P0 fail recall 11/11，但 style 只有 70%。所以校准是可信度保障，不是用一个模型替另一个模型拍脑袋。</w:t>
            </w:r>
          </w:p>
        </w:tc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PPT 6</w:t>
            </w:r>
          </w:p>
        </w:tc>
      </w:tr>
      <w:tr>
        <w:trPr>
          <w:cantSplit/>
        </w:trPr>
        <w:tc>
          <w:tcPr>
            <w:tcW w:type="dxa" w:w="1181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2:52–3:00</w:t>
            </w:r>
          </w:p>
        </w:tc>
        <w:tc>
          <w:tcPr>
            <w:tcW w:type="dxa" w:w="1440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收口</w:t>
            </w:r>
          </w:p>
        </w:tc>
        <w:tc>
          <w:tcPr>
            <w:tcW w:type="dxa" w:w="583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EvalCall 把 SOP、模型、用户模拟器、对话、Checklist 和结果全部版本化。请记住：它自动测试外呼模型，第四步交付模型报告；失败后再按根因同尺回归。</w:t>
            </w:r>
          </w:p>
        </w:tc>
        <w:tc>
          <w:tcPr>
            <w:tcW w:type="dxa" w:w="1224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PPT 8</w:t>
            </w:r>
          </w:p>
        </w:tc>
      </w:tr>
    </w:tbl>
    <w:p>
      <w:pPr>
        <w:spacing w:after="0"/>
      </w:pPr>
    </w:p>
    <w:p>
      <w:pPr>
        <w:keepNext/>
        <w:spacing w:before="280" w:after="140" w:line="269" w:lineRule="auto"/>
      </w:pPr>
      <w:r>
        <w:rPr>
          <w:rFonts w:ascii="Calibri" w:hAnsi="Calibri" w:eastAsia="PingFang SC"/>
          <w:b/>
          <w:color w:val="2E74B5"/>
          <w:sz w:val="26"/>
        </w:rPr>
        <w:t>现场操作顺序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选择“配送时间改约”，确认顶部为“模拟测试模式”。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按六步依次执行；第 3 步点出 persona、测试数量、覆盖率和未触达检查点。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在第 4 步停留最久，讲清模型版本、门禁、履约、P0、关键失败和报告下载。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第 5 步说明 target_model 归因证据；第 6 步核对 SOP/Checklist 哈希不变并返回第 3 步。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再切“低延迟直播升级”，展示 instruction 对照；最后切换实时/缓存标签说明结果来源。</w:t>
      </w:r>
    </w:p>
    <w:p>
      <w:pPr>
        <w:keepNext/>
        <w:spacing w:before="280" w:after="140" w:line="269" w:lineRule="auto"/>
      </w:pPr>
      <w:r>
        <w:rPr>
          <w:rFonts w:ascii="Calibri" w:hAnsi="Calibri" w:eastAsia="PingFang SC"/>
          <w:b/>
          <w:color w:val="2E74B5"/>
          <w:sz w:val="26"/>
        </w:rPr>
        <w:t>故障切换口径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模型后端正在验证：工作台已连接，等待后台真实探测完成；不要说“后端可用”直到健康检查通过。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后端不可用：切“缓存结果 · 已验证产物”，明确这是仓库内已验证运行，不是现场新调用。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自定义材料失败：直接读准确错误；不把编译失败、全 NA 或超时包装成可上线。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68738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PingFang SC"/>
        <w:b/>
        <w:color w:val="687386"/>
        <w:sz w:val="17"/>
      </w:rPr>
      <w:t>Run of Show</w:t>
    </w:r>
    <w:r>
      <w:rPr>
        <w:rFonts w:ascii="Calibri" w:hAnsi="Calibri" w:eastAsia="PingFang SC"/>
        <w:b/>
        <w:color w:val="687386"/>
        <w:sz w:val="17"/>
      </w:rPr>
      <w:t xml:space="preserve">        外呼模型指令遵循评测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color w:val="1420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