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 w:eastAsia="PingFang SC"/>
          <w:b/>
          <w:color w:val="2E74B5"/>
          <w:sz w:val="18"/>
        </w:rPr>
        <w:t>EVALCALL · MEITUAN AI HACKATHON 2026</w:t>
      </w:r>
    </w:p>
    <w:p>
      <w:pPr>
        <w:spacing w:before="0" w:after="160" w:line="240" w:lineRule="auto"/>
      </w:pPr>
      <w:r>
        <w:rPr>
          <w:rFonts w:ascii="Calibri" w:hAnsi="Calibri" w:eastAsia="PingFang SC"/>
          <w:b/>
          <w:color w:val="142039"/>
          <w:sz w:val="58"/>
        </w:rPr>
        <w:t>EvalCall 答辩演示脚本 · 90 秒</w:t>
      </w:r>
    </w:p>
    <w:p>
      <w:pPr>
        <w:spacing w:before="0" w:after="360" w:line="288" w:lineRule="auto"/>
      </w:pPr>
      <w:r>
        <w:rPr>
          <w:rFonts w:ascii="Calibri" w:hAnsi="Calibri" w:eastAsia="PingFang SC"/>
          <w:b w:val="0"/>
          <w:color w:val="687386"/>
          <w:sz w:val="26"/>
        </w:rPr>
        <w:t>只讲主线：用户模拟器测试模型 → 第 4 步报告 → 根因驱动同尺回归。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0:00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定位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0:18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六步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0:45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证据</w:t>
            </w:r>
          </w:p>
        </w:tc>
        <w:tc>
          <w:tcPr>
            <w:tcW w:type="dxa" w:w="2541"/>
            <w:shd w:fill="FFF8D8"/>
            <w:tcBorders>
              <w:top w:val="single" w:sz="7" w:color="FFD100"/>
              <w:left w:val="single" w:sz="7" w:color="FFD100"/>
              <w:bottom w:val="single" w:sz="7" w:color="FFD100"/>
              <w:right w:val="single" w:sz="7" w:color="FFD100"/>
              <w:insideH w:val="single" w:sz="7" w:color="FFD100"/>
              <w:insideV w:val="single" w:sz="7" w:color="FFD100"/>
            </w:tcBorders>
            <w:tcMar>
              <w:top w:w="110" w:type="dxa"/>
              <w:start w:w="90" w:type="dxa"/>
              <w:bottom w:w="110" w:type="dxa"/>
              <w:end w:w="9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Calibri" w:hAnsi="Calibri" w:eastAsia="PingFang SC"/>
                <w:b/>
                <w:color w:val="142039"/>
                <w:sz w:val="26"/>
              </w:rPr>
              <w:t>1:18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 w:eastAsia="PingFang SC"/>
                <w:b w:val="0"/>
                <w:color w:val="687386"/>
                <w:sz w:val="16"/>
              </w:rPr>
              <w:t>收口</w:t>
            </w:r>
          </w:p>
        </w:tc>
      </w:tr>
    </w:tbl>
    <w:p>
      <w:pPr>
        <w:spacing w:after="0"/>
      </w:pPr>
    </w:p>
    <w:p>
      <w:pPr>
        <w:keepNext/>
        <w:spacing w:before="360" w:after="200" w:line="269" w:lineRule="auto"/>
      </w:pPr>
      <w:r>
        <w:rPr>
          <w:rFonts w:ascii="Calibri" w:hAnsi="Calibri" w:eastAsia="PingFang SC"/>
          <w:b/>
          <w:color w:val="2E74B5"/>
          <w:sz w:val="32"/>
        </w:rPr>
        <w:t>口播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1368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时间</w:t>
            </w:r>
          </w:p>
        </w:tc>
        <w:tc>
          <w:tcPr>
            <w:tcW w:type="dxa" w:w="7992"/>
            <w:shd w:fill="E8EEF5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Calibri" w:hAnsi="Calibri" w:eastAsia="PingFang SC"/>
                <w:b/>
                <w:color w:val="1F4D78"/>
                <w:sz w:val="19"/>
              </w:rPr>
              <w:t>台词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0:00–0:18</w:t>
            </w:r>
          </w:p>
        </w:tc>
        <w:tc>
          <w:tcPr>
            <w:tcW w:type="dxa" w:w="799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大家好，我们做的是 EvalCall：自动测试并评估外呼模型在特定任务指令下的指令遵循效果。被评对象是模型，SOP 是评分尺，用户模拟器负责生成测试对话。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0:18–0:45</w:t>
            </w:r>
          </w:p>
        </w:tc>
        <w:tc>
          <w:tcPr>
            <w:tcW w:type="dxa" w:w="799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工作台有两种入口：模拟测试和已有日志质检。六步里，第 1 步配置任务，第 2 步建立 L0/L1 标准，第 3 步用用户模拟器测试模型，第 4 步交付模型版本、门禁、履约、P0、关键失败和覆盖率。第 5、6 步只负责解释失败并同尺回归。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0:45–1:08</w:t>
            </w:r>
          </w:p>
        </w:tc>
        <w:tc>
          <w:tcPr>
            <w:tcW w:type="dxa" w:w="799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主演示是配送时间改约：固定 SOP/Checklist 下真实评测 10 通，打回 10 通，履约 10.0%，P0 10 通。系统把首要根因归为外呼模型，并返回第 3 步同尺回归。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1:08–1:18</w:t>
            </w:r>
          </w:p>
        </w:tc>
        <w:tc>
          <w:tcPr>
            <w:tcW w:type="dxa" w:w="799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第 6 步只改模型和对话策略，SOP 与 Checklist 哈希不变，返回第 3 步重测。</w:t>
            </w:r>
          </w:p>
        </w:tc>
      </w:tr>
      <w:tr>
        <w:trPr>
          <w:cantSplit/>
        </w:trPr>
        <w:tc>
          <w:tcPr>
            <w:tcW w:type="dxa" w:w="1368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1:18–1:30</w:t>
            </w:r>
          </w:p>
        </w:tc>
        <w:tc>
          <w:tcPr>
            <w:tcW w:type="dxa" w:w="7992"/>
            <w:tcBorders>
              <w:top w:val="single" w:sz="6" w:color="D9E0E9"/>
              <w:left w:val="single" w:sz="6" w:color="D9E0E9"/>
              <w:bottom w:val="single" w:sz="6" w:color="D9E0E9"/>
              <w:right w:val="single" w:sz="6" w:color="D9E0E9"/>
              <w:insideH w:val="single" w:sz="6" w:color="D9E0E9"/>
              <w:insideV w:val="single" w:sz="6" w:color="D9E0E9"/>
            </w:tcBorders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before="0" w:after="0" w:line="283" w:lineRule="auto"/>
            </w:pPr>
            <w:r>
              <w:rPr>
                <w:rFonts w:ascii="Calibri" w:hAnsi="Calibri" w:eastAsia="PingFang SC"/>
                <w:b w:val="0"/>
                <w:color w:val="142039"/>
                <w:sz w:val="19"/>
              </w:rPr>
              <w:t>低延迟直播升级则被正确归因给 SOP。EvalCall 的价值是：评模型，同时避免把 SOP、裁判或测试数据的问题错算在模型头上。</w:t>
            </w:r>
          </w:p>
        </w:tc>
      </w:tr>
    </w:tbl>
    <w:p>
      <w:pPr>
        <w:spacing w:after="0"/>
      </w:pPr>
    </w:p>
    <w:p>
      <w:pPr>
        <w:keepNext/>
        <w:spacing w:before="280" w:after="140" w:line="269" w:lineRule="auto"/>
      </w:pPr>
      <w:r>
        <w:rPr>
          <w:rFonts w:ascii="Calibri" w:hAnsi="Calibri" w:eastAsia="PingFang SC"/>
          <w:b/>
          <w:color w:val="2E74B5"/>
          <w:sz w:val="26"/>
        </w:rPr>
        <w:t>操作锚点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第 3 步指 persona；第 4 步停留最长；第 6 步指向“返回第 3 步”和两个不变哈希。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PingFang SC"/>
          <w:b w:val="0"/>
          <w:color w:val="142039"/>
          <w:sz w:val="22"/>
        </w:rPr>
        <w:t>断网或后端失败时只切缓存，并明确缓存与实时结果分标。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PingFang SC"/>
        <w:color w:val="687386"/>
        <w:sz w:val="17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>
      <w:rPr>
        <w:rFonts w:ascii="Calibri" w:hAnsi="Calibri" w:eastAsia="PingFang SC"/>
        <w:b/>
        <w:color w:val="687386"/>
        <w:sz w:val="17"/>
      </w:rPr>
      <w:t>Rapid Demo</w:t>
    </w:r>
    <w:r>
      <w:rPr>
        <w:rFonts w:ascii="Calibri" w:hAnsi="Calibri" w:eastAsia="PingFang SC"/>
        <w:b/>
        <w:color w:val="687386"/>
        <w:sz w:val="17"/>
      </w:rPr>
      <w:t xml:space="preserve">        外呼模型指令遵循评测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color w:val="14203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