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60"/>
      </w:pPr>
      <w:r>
        <w:rPr>
          <w:rFonts w:ascii="PingFang SC" w:hAnsi="PingFang SC" w:eastAsia="PingFang SC"/>
          <w:b/>
          <w:color w:val="2E74B5"/>
          <w:sz w:val="18"/>
        </w:rPr>
        <w:t>EVALCALL · 评委问答</w:t>
      </w:r>
    </w:p>
    <w:p>
      <w:pPr>
        <w:spacing w:after="160"/>
      </w:pPr>
      <w:r>
        <w:rPr>
          <w:rFonts w:ascii="PingFang SC" w:hAnsi="PingFang SC" w:eastAsia="PingFang SC"/>
          <w:b/>
          <w:color w:val="142039"/>
          <w:sz w:val="50"/>
        </w:rPr>
        <w:t>EvalCall 决赛答辩问答预案（10 分钟）</w:t>
      </w:r>
    </w:p>
    <w:p>
      <w:pPr>
        <w:spacing w:after="360"/>
      </w:pPr>
      <w:r>
        <w:rPr>
          <w:rFonts w:ascii="PingFang SC" w:hAnsi="PingFang SC" w:eastAsia="PingFang SC"/>
          <w:color w:val="687386"/>
          <w:sz w:val="24"/>
        </w:rPr>
        <w:t>先结论 · 再证据 · 最后边界 · 单题 30–60 秒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c>
          <w:tcPr>
            <w:tcW w:type="dxa" w:w="1500"/>
            <w:shd w:fill="FFF8D8"/>
            <w:tcBorders>
              <w:top w:val="single" w:sz="8" w:color="D9A900"/>
              <w:left w:val="single" w:sz="8" w:color="D9A900"/>
              <w:bottom w:val="single" w:sz="8" w:color="D9A900"/>
              <w:right w:val="single" w:sz="8" w:color="D9A900"/>
              <w:insideH w:val="single" w:sz="8" w:color="D9A900"/>
              <w:insideV w:val="single" w:sz="8" w:color="D9A900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142039"/>
                <w:sz w:val="19"/>
              </w:rPr>
              <w:t>FINAL</w:t>
            </w:r>
          </w:p>
        </w:tc>
        <w:tc>
          <w:tcPr>
            <w:tcW w:type="dxa" w:w="7860"/>
            <w:shd w:fill="FFF8D8"/>
            <w:tcBorders>
              <w:top w:val="single" w:sz="8" w:color="D9A900"/>
              <w:left w:val="single" w:sz="8" w:color="D9A900"/>
              <w:bottom w:val="single" w:sz="8" w:color="D9A900"/>
              <w:right w:val="single" w:sz="8" w:color="D9A900"/>
              <w:insideH w:val="single" w:sz="8" w:color="D9A900"/>
              <w:insideV w:val="single" w:sz="8" w:color="D9A900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142039"/>
                <w:sz w:val="21"/>
              </w:rPr>
              <w:t>决赛提交版 · 2026-07-14 · 所有数字以仓库正式运行产物为准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8D8"/>
            <w:tcBorders>
              <w:top w:val="single" w:sz="8" w:color="D9A900"/>
              <w:left w:val="single" w:sz="8" w:color="D9A900"/>
              <w:bottom w:val="single" w:sz="8" w:color="D9A900"/>
              <w:right w:val="single" w:sz="8" w:color="D9A900"/>
              <w:insideH w:val="single" w:sz="8" w:color="D9A900"/>
              <w:insideV w:val="single" w:sz="8" w:color="D9A900"/>
            </w:tcBorders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color w:val="142039"/>
                <w:sz w:val="21"/>
              </w:rPr>
              <w:t>回答结构：先用一句话给结论，再给可核验事实，最后说明适用边界。单题控制在 30–60 秒。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一、产品定位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Q1：你们和普通的大模型打分器有什么区别？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普通打分器通常直接让模型给一个整体印象分；EvalCall 先把任务指令编译为可追溯 Checklist，再由用户模拟器或已有日志产生测试数据，逐检查点给出证据化判断，最终输出门禁、履约、P0、覆盖率和失败归因。每个运行还保存 SOP、Checklist、对话和模型版本哈希，因此结论可以复跑和审计。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Q2：这是不是一个 SOP 检查器？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不是。被评对象只有外呼模型，第四步模型评测报告是核心交付。SOP 诊断只在解释低分时检查“尺子本身是否有问题”，避免把不可能执行的指令错误归责给模型。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Q3：为什么要做失败归因？发现模型失败还不够吗？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不够。同一个低分可能来自模型、SOP、裁判或测试数据。如果根因判断错，团队会修改错误的对象，甚至出现“换了评分尺以后证明模型变好”的循环论证。EvalCall 根据根因把回归导向第二步或第三步，并要求同尺对比。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二、用户模拟器与数据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Q4：用户模拟器真的能代表真实用户吗？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模拟器不声称完全复刻真实话务分布，它的价值是系统性覆盖 Persona、拒绝、忙碌、隐私顾虑和异常分支。平台同时支持导入已有日志质检；模拟测试用于补覆盖，真实日志用于贴近生产分布，两者互补。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Q5：你们的演示数据是真实生产数据吗？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数据来源会逐条标记。官方、脱敏、用户模拟器生成和合成分支夹具不会混写。配送改约的 10 通包含模拟器数据和显式标记的分支夹具，不能描述为 10 通真实生产录音；真实招聘案例只说明“真实生产 SOP”，也不外推为完整线上话务分布。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Q6：如何衡量测试是否充分？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系统统计已触达检查点、未触达检查点、Persona 分布和关键流程覆盖，不把“跑了很多通”直接等同于充分。覆盖率用于发现测试盲区，不单独作为模型上线依据。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三、裁判可信度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Q7：用大模型评大模型，怎么保证裁判没有胡判？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我们采用证据引用、规则线索与 LLM 语义复核、NA、分歧和人工复核队列，并用已知真值黄金集测试裁判。在当前 32 case、165 真值上整体准确率为 92.73%，P0 fail recall 为 11/11；但 style 只有 70%，所以我们不会宣称裁判可以完全替代人工。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Q8：92.73% 可以直接理解为线上准确率吗？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不可以。它只适用于指定模型、提示词、票数和这套黄金集。线上仍需持续抽检、漂移监控和独立 holdout；演示中必须同时披露类型短板。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Q9：模型自己给的 confidence 有用吗？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只能用于复核排序，不能证明正确。当前黄金集上 12 个错判的平均自报置信度仍为 96.25%，所以可靠性必须来自真值校准、混淆矩阵、P0 recall 和人工裁决。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Q10：规则匹配会不会关键词误杀？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规则轨只提供高置信线索，不独立定罪。最终需要结合说话人、上下文和 LLM 语义复核；规则与 LLM 冲突会显式记录并进入人工复核。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四、归因与主演示结果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Q11：为什么配送改约案例归因给外呼模型？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同一批固定输入下，10 通中 3 通打回、履约率 40%、P0 触发率 30%、关键流程失败率 25.4%，模型失败信号明确；SOP 没有高严重度问题，裁判分歧率为 0%，因此首要根因是外呼模型、中置信。归因仍是确定性信号归纳，不宣称严格因果证明。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Q12：为什么低延迟直播案例归因给 SOP？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该 SOP 的可行性体检为 0/100，并有 4 项高严重度问题，包括字数约束与参考话术冲突、明确拒绝后缺少退出分支。更强的指令故障会使模型归因降级，所以先修 SOP，再重建 Checklist。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Q13：根因算法是不是人工写规则硬凑出来的？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归因是确定性信号归纳，不包装成因果证明。输入包括打回率、履约率、P0、关键流程失败、严重度、SOP 体检、NA、裁判分歧和 Persona 集中度；每个分支都有自动化测试。低、中置信仍需人工确认。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Q14：你们真的改了模型并同尺复测了吗？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 xml:space="preserve">做了。v1 与 v2 使用同一批 10 通用户输入，并锁定相同的 </w:t>
      </w:r>
      <w:r>
        <w:rPr>
          <w:rFonts w:ascii="Menlo" w:hAnsi="Menlo" w:eastAsia="PingFang SC"/>
          <w:color w:val="1F4D78"/>
          <w:sz w:val="21"/>
        </w:rPr>
        <w:t>instruction_hash</w:t>
      </w:r>
      <w:r>
        <w:rPr>
          <w:rFonts w:ascii="PingFang SC" w:hAnsi="PingFang SC" w:eastAsia="PingFang SC"/>
          <w:color w:val="142039"/>
          <w:sz w:val="22"/>
        </w:rPr>
        <w:t>、</w:t>
      </w:r>
      <w:r>
        <w:rPr>
          <w:rFonts w:ascii="Menlo" w:hAnsi="Menlo" w:eastAsia="PingFang SC"/>
          <w:color w:val="1F4D78"/>
          <w:sz w:val="21"/>
        </w:rPr>
        <w:t>checklist_hash</w:t>
      </w:r>
      <w:r>
        <w:rPr>
          <w:rFonts w:ascii="PingFang SC" w:hAnsi="PingFang SC" w:eastAsia="PingFang SC"/>
          <w:color w:val="142039"/>
          <w:sz w:val="22"/>
        </w:rPr>
        <w:t xml:space="preserve"> 和 </w:t>
      </w:r>
      <w:r>
        <w:rPr>
          <w:rFonts w:ascii="Menlo" w:hAnsi="Menlo" w:eastAsia="PingFang SC"/>
          <w:color w:val="1F4D78"/>
          <w:sz w:val="21"/>
        </w:rPr>
        <w:t>judge_policy_hash</w:t>
      </w:r>
      <w:r>
        <w:rPr>
          <w:rFonts w:ascii="PingFang SC" w:hAnsi="PingFang SC" w:eastAsia="PingFang SC"/>
          <w:color w:val="142039"/>
          <w:sz w:val="22"/>
        </w:rPr>
        <w:t>；只替换被测策略输出，再由正常 Judge 重评，</w:t>
      </w:r>
      <w:r>
        <w:rPr>
          <w:rFonts w:ascii="Menlo" w:hAnsi="Menlo" w:eastAsia="PingFang SC"/>
          <w:color w:val="1F4D78"/>
          <w:sz w:val="21"/>
        </w:rPr>
        <w:t>judgments_modified=false</w:t>
      </w:r>
      <w:r>
        <w:rPr>
          <w:rFonts w:ascii="PingFang SC" w:hAnsi="PingFang SC" w:eastAsia="PingFang SC"/>
          <w:color w:val="142039"/>
          <w:sz w:val="22"/>
        </w:rPr>
        <w:t>。结果从“打回”变为“可上线”，P0 3→0，履约率维持 40%，平均分 62.5→91.4。原生 diff 同时披露 6 项改善和 1 项 style 退化待复测。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五、工程、部署和商业价值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Q15：现场展示的是缓存，算不算真正的 Demo？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它是可操作产品，不是视频。缓存模式复用同一套真实接口产生并保留在仓库中的已验证产物，页面明确标注；本地实时模式会调用后端处理自定义材料。现场使用已验证产物是为了避免长时间模型推理，但不会把缓存冒充刚刚运行的结果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Q16：如果模型后端不可用怎么办？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健康检查会验证真实后端能力，而不只检查服务进程。内置样例可以复用已验证产物；自定义材料后端不可用时会给出准确错误，不返回虚假的健康分或空报告。公网静态页、正式报告 HTML 和 PPT 是分级备份。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Q17：如何接入企业现有系统？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已有日志可以通过 JSONL、JSON、CSV、TXT 或 Markdown 进入适配层；被测模型和裁判后端独立配置。输出包括 HTML 报告、JSON 汇总、逐项 judgments、manifest、telemetry 和人工复核队列，可接入发布门禁或质量平台。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Q18：数据安全如何保证？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系统默认对手机号、身份证、邮箱、银行卡、订单号和地址进行结构化遮罩，遥测不保存 prompt 原文。是否允许真实数据发送到第三方模型仍由数据 owner 决定，生产部署可以选择内网模型后端。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Q19：能节省多少成本？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当前没有可靠的人工抽检成本和真实生产量基线，因此不宣称具体节省金额。可以确认的是：Checklist 编译、批量逐项判定、证据聚合、复核队列和版本回归已经自动化；正式 ROI 需要结合企业的单通抽检时长、抽检比例和调用成本测算。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Q20：你们的创新点是什么？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第一，把自然语言任务指令编译成可追溯的机器评分尺；第二，用覆盖驱动的用户模拟器主动触发失败分支；第三，不只给分，还给上线门禁和四类根因；第四，用版本哈希和同尺回归避免循环论证；第五，对裁判本身建立黄金集校准和人工复核。</w:t>
      </w:r>
    </w:p>
    <w:p>
      <w:pPr>
        <w:pStyle w:val="Heading3"/>
      </w:pPr>
      <w:r>
        <w:rPr>
          <w:rFonts w:ascii="PingFang SC" w:hAnsi="PingFang SC" w:eastAsia="PingFang SC"/>
          <w:color w:val="1F4D78"/>
          <w:sz w:val="24"/>
        </w:rPr>
        <w:t>Q21：如果继续做，下一步是什么？</w:t>
      </w:r>
    </w:p>
    <w:p>
      <w:pPr>
        <w:spacing w:after="120" w:line="300" w:lineRule="auto"/>
      </w:pPr>
      <w:r>
        <w:rPr>
          <w:rFonts w:ascii="PingFang SC" w:hAnsi="PingFang SC" w:eastAsia="PingFang SC"/>
          <w:color w:val="142039"/>
          <w:sz w:val="22"/>
        </w:rPr>
        <w:t>第一，用更多真实脱敏日志扩展任务分布；第二，由独立质检人员维护 sealed holdout；第三，接入真实目标模型 API 做同一 SOP 下多版本对比；第四，把评测门禁接入模型发布流水线；第五，针对高 NA 和 style 短板持续校准裁判。</w:t>
      </w:r>
    </w:p>
    <w:p>
      <w:pPr>
        <w:pStyle w:val="Heading2"/>
      </w:pPr>
      <w:r>
        <w:rPr>
          <w:rFonts w:ascii="PingFang SC" w:hAnsi="PingFang SC" w:eastAsia="PingFang SC"/>
          <w:color w:val="2E74B5"/>
          <w:sz w:val="26"/>
        </w:rPr>
        <w:t>六、不要说错的数字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00"/>
        <w:gridCol w:w="3960"/>
      </w:tblGrid>
      <w:tr>
        <w:trPr>
          <w:cantSplit/>
          <w:tblHeader w:val="true"/>
        </w:trPr>
        <w:tc>
          <w:tcPr>
            <w:tcW w:type="dxa" w:w="1900"/>
            <w:shd w:fill="E8EEF5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数字</w:t>
            </w:r>
          </w:p>
        </w:tc>
        <w:tc>
          <w:tcPr>
            <w:tcW w:type="dxa" w:w="3500"/>
            <w:shd w:fill="E8EEF5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正确口径</w:t>
            </w:r>
          </w:p>
        </w:tc>
        <w:tc>
          <w:tcPr>
            <w:tcW w:type="dxa" w:w="3960"/>
            <w:shd w:fill="E8EEF5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F4D78"/>
              </w:rPr>
            </w:r>
            <w:r>
              <w:rPr>
                <w:rFonts w:ascii="PingFang SC" w:hAnsi="PingFang SC" w:eastAsia="PingFang SC"/>
                <w:b/>
                <w:color w:val="1F4D78"/>
                <w:sz w:val="18"/>
              </w:rPr>
              <w:t>禁止表述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10 通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配送改约主演示的正式评测批次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10 通真实生产录音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21 项 / 210 条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21 个冻结检查点 × 10 通逐项判断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210 通电话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履约 40%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v1 固定演示批次的任务履约率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线上模型整体履约率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P0 3/10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v1 固定批次中 3 通触发 P0 门禁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线上所有 P0 均能发现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92.73%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指定黄金集、模型和提示词下的裁判准确率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线上裁判准确率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P0 11/11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黄金集中的 11 个 critical fail 全部检出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生产零漏判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首要根因 target_model</w:t>
            </w:r>
          </w:p>
        </w:tc>
        <w:tc>
          <w:tcPr>
            <w:tcW w:type="dxa" w:w="350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确定性信号归纳，中置信，需人工复核</w:t>
            </w:r>
          </w:p>
        </w:tc>
        <w:tc>
          <w:tcPr>
            <w:tcW w:type="dxa" w:w="3960"/>
            <w:vAlign w:val="center"/>
            <w:tcBorders>
              <w:top w:val="single" w:sz="6" w:color="D9E0E9"/>
              <w:left w:val="single" w:sz="6" w:color="D9E0E9"/>
              <w:bottom w:val="single" w:sz="6" w:color="D9E0E9"/>
              <w:right w:val="single" w:sz="6" w:color="D9E0E9"/>
              <w:insideH w:val="single" w:sz="6" w:color="D9E0E9"/>
              <w:insideV w:val="single" w:sz="6" w:color="D9E0E9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/>
            <w:r>
              <w:rPr>
                <w:rFonts w:ascii="PingFang SC" w:hAnsi="PingFang SC" w:eastAsia="PingFang SC"/>
                <w:color w:val="142039"/>
                <w:sz w:val="18"/>
              </w:rPr>
              <w:t>已完成严格因果证明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ingFang SC" w:hAnsi="PingFang SC" w:eastAsia="PingFang SC"/>
        <w:color w:val="687386"/>
        <w:sz w:val="17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PingFang SC" w:hAnsi="PingFang SC" w:eastAsia="PingFang SC"/>
        <w:b/>
        <w:color w:val="687386"/>
        <w:sz w:val="17"/>
      </w:rPr>
      <w:t>EvalCall 决赛答辩问答预案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PingFang SC" w:hAnsi="PingFang SC" w:eastAsia="PingFang SC"/>
      <w:color w:val="14203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PingFang SC" w:hAnsi="PingFang SC" w:eastAsia="PingFang SC"/>
      <w:color w:val="142039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PingFang SC" w:hAnsi="PingFang SC" w:eastAsia="PingFang SC"/>
      <w:color w:val="142039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EvalCall 决赛答辩问答预案（10 分钟）</dc:title>
  <dc:subject>EvalCall 美团黑客松决赛提交物料</dc:subject>
  <dc:creator>EvalCall Team</dc:creator>
  <cp:keywords>EvalCall, 外呼模型, 指令遵循, 美团黑客松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