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rPr>
          <w:rFonts w:ascii="PingFang SC" w:hAnsi="PingFang SC" w:eastAsia="PingFang SC"/>
          <w:b/>
          <w:color w:val="2E74B5"/>
          <w:sz w:val="18"/>
        </w:rPr>
        <w:t>EVALCALL · SOLUTION DESIGN</w:t>
      </w:r>
    </w:p>
    <w:p>
      <w:pPr>
        <w:spacing w:after="160"/>
      </w:pPr>
      <w:r>
        <w:rPr>
          <w:rFonts w:ascii="PingFang SC" w:hAnsi="PingFang SC" w:eastAsia="PingFang SC"/>
          <w:b/>
          <w:color w:val="142039"/>
          <w:sz w:val="50"/>
        </w:rPr>
        <w:t>EvalCall 方案设计文档（决赛最终版）</w:t>
      </w:r>
    </w:p>
    <w:p>
      <w:pPr>
        <w:spacing w:after="360"/>
      </w:pPr>
      <w:r>
        <w:rPr>
          <w:rFonts w:ascii="PingFang SC" w:hAnsi="PingFang SC" w:eastAsia="PingFang SC"/>
          <w:color w:val="687386"/>
          <w:sz w:val="24"/>
        </w:rPr>
        <w:t>自动测试并评估外呼模型在特定任务指令下的指令遵循效果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42039"/>
                <w:sz w:val="19"/>
              </w:rPr>
              <w:t>FINAL</w:t>
            </w:r>
          </w:p>
        </w:tc>
        <w:tc>
          <w:tcPr>
            <w:tcW w:type="dxa" w:w="786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142039"/>
                <w:sz w:val="21"/>
              </w:rPr>
              <w:t>决赛提交版 · 2026-07-14 · 所有数字以仓库正式运行产物为准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版本：2026-07-14 赛题：复杂任务指令下的外呼对话模型评测 项目定位：自动测试并评估外呼模型在特定任务指令下的指令遵循效果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1. 执行摘要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EvalCall 面向履约通知、配送改约、骑手招聘、营销外呼和客服回访等任务型外呼场景。系统接收任务指令（SOP）和被测模型或已有对话，通过用户模拟器生成测试对话或直接评估历史日志，将自然语言 SOP 编译为可追溯的 L0/L1 Checklist，逐项评判模型是否遵循任务指令，最终输出模型上线门禁、履约率、P0、关键失败、覆盖率和证据化报告。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外呼模型是唯一被评对象。SOP 是评分依据；用户模拟器是官方要求的测试工具；对话日志是测试过程数据；SOP 诊断、裁判校准、根因归因和人工复核用于保证结论可信，避免把模型、任务指令、裁判或测试数据的问题混为一谈。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2. 问题与设计目标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2.1 业务问题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传统外呼质检依赖人工抽听，成本随话务规模线性增长，反馈慢且标准不统一。普通 LLM 打分又存在四类混杂：模型没有守指令、SOP 自相矛盾、裁判误判、测试数据未覆盖关键分支。只输出总分无法支撑上线决策，也无法指导正确团队修复。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2.2 设计目标</w:t>
      </w:r>
    </w:p>
    <w:p>
      <w:pPr>
        <w:numPr>
          <w:ilvl w:val="0"/>
          <w:numId w:val="10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自动测试外呼模型在特定任务指令下的指令遵循效果。</w:t>
      </w:r>
    </w:p>
    <w:p>
      <w:pPr>
        <w:numPr>
          <w:ilvl w:val="0"/>
          <w:numId w:val="10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明确交付“可上线 / 打回 / 无法判定”以及履约、P0、关键失败与覆盖率。</w:t>
      </w:r>
    </w:p>
    <w:p>
      <w:pPr>
        <w:numPr>
          <w:ilvl w:val="0"/>
          <w:numId w:val="10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通过用户模拟器系统性覆盖 Persona、拒绝、忙碌、隐私和异常分支。</w:t>
      </w:r>
    </w:p>
    <w:p>
      <w:pPr>
        <w:numPr>
          <w:ilvl w:val="0"/>
          <w:numId w:val="10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每条判断引用对话证据，并保留 SOP、Checklist、对话、模型和代码版本。</w:t>
      </w:r>
    </w:p>
    <w:p>
      <w:pPr>
        <w:numPr>
          <w:ilvl w:val="0"/>
          <w:numId w:val="10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失败后区分外呼模型、SOP/任务指令、裁判链路和测试数据四类根因。</w:t>
      </w:r>
    </w:p>
    <w:p>
      <w:pPr>
        <w:numPr>
          <w:ilvl w:val="0"/>
          <w:numId w:val="10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根据根因返回正确步骤，并在同一评分尺下回归。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2.3 非目标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不自动修改并发布正式生产 SOP。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不把归因结果包装为严格因果证明。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不用合成分支冒充真实生产录音或线上全量分布。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不以黄金集准确率替代生产持续抽检和人工复核。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3. 产品主流程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3.1 六步语义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00"/>
        <w:gridCol w:w="2300"/>
        <w:gridCol w:w="3160"/>
      </w:tblGrid>
      <w:tr>
        <w:trPr>
          <w:cantSplit/>
          <w:tblHeader w:val="true"/>
        </w:trPr>
        <w:tc>
          <w:tcPr>
            <w:tcW w:type="dxa" w:w="120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步骤</w:t>
            </w:r>
          </w:p>
        </w:tc>
        <w:tc>
          <w:tcPr>
            <w:tcW w:type="dxa" w:w="270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230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处理</w:t>
            </w:r>
          </w:p>
        </w:tc>
        <w:tc>
          <w:tcPr>
            <w:tcW w:type="dxa" w:w="316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1. 配置测试任务</w:t>
            </w:r>
          </w:p>
        </w:tc>
        <w:tc>
          <w:tcPr>
            <w:tcW w:type="dxa" w:w="27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SOP、目标模型或已有对话、测试模式</w:t>
            </w:r>
          </w:p>
        </w:tc>
        <w:tc>
          <w:tcPr>
            <w:tcW w:type="dxa" w:w="23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标准化任务包、脱敏、版本化</w:t>
            </w:r>
          </w:p>
        </w:tc>
        <w:tc>
          <w:tcPr>
            <w:tcW w:type="dxa" w:w="31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任务包、输入摘要、各输入 hash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2. 建立评分标准</w:t>
            </w:r>
          </w:p>
        </w:tc>
        <w:tc>
          <w:tcPr>
            <w:tcW w:type="dxa" w:w="27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任务包、L0 安全策略</w:t>
            </w:r>
          </w:p>
        </w:tc>
        <w:tc>
          <w:tcPr>
            <w:tcW w:type="dxa" w:w="23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指令编译、来源校验、严重度分级</w:t>
            </w:r>
          </w:p>
        </w:tc>
        <w:tc>
          <w:tcPr>
            <w:tcW w:type="dxa" w:w="31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L0 通用安全 + L1 业务 Checklist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3. 测试外呼模型</w:t>
            </w:r>
          </w:p>
        </w:tc>
        <w:tc>
          <w:tcPr>
            <w:tcW w:type="dxa" w:w="27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Checklist、目标模型、Persona 或已有日志</w:t>
            </w:r>
          </w:p>
        </w:tc>
        <w:tc>
          <w:tcPr>
            <w:tcW w:type="dxa" w:w="23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模拟对话或日志评估、逐项判定</w:t>
            </w:r>
          </w:p>
        </w:tc>
        <w:tc>
          <w:tcPr>
            <w:tcW w:type="dxa" w:w="31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transcripts、judgments、覆盖与复核信号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4. 输出模型评测报告</w:t>
            </w:r>
          </w:p>
        </w:tc>
        <w:tc>
          <w:tcPr>
            <w:tcW w:type="dxa" w:w="27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全部判定和运行元数据</w:t>
            </w:r>
          </w:p>
        </w:tc>
        <w:tc>
          <w:tcPr>
            <w:tcW w:type="dxa" w:w="23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聚合门禁、履约、P0、覆盖、关键失败</w:t>
            </w:r>
          </w:p>
        </w:tc>
        <w:tc>
          <w:tcPr>
            <w:tcW w:type="dxa" w:w="31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HTML 报告、JSON 汇总、是否上线结论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5. 分析失败原因</w:t>
            </w:r>
          </w:p>
        </w:tc>
        <w:tc>
          <w:tcPr>
            <w:tcW w:type="dxa" w:w="27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模型表现、SOP 体检、裁判与数据质量信号</w:t>
            </w:r>
          </w:p>
        </w:tc>
        <w:tc>
          <w:tcPr>
            <w:tcW w:type="dxa" w:w="23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多指标确定性归纳</w:t>
            </w:r>
          </w:p>
        </w:tc>
        <w:tc>
          <w:tcPr>
            <w:tcW w:type="dxa" w:w="31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target_model / instruction / judge / test_data 根因候选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6. 生成优化与回归计划</w:t>
            </w:r>
          </w:p>
        </w:tc>
        <w:tc>
          <w:tcPr>
            <w:tcW w:type="dxa" w:w="27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根因、证据、版本 hash</w:t>
            </w:r>
          </w:p>
        </w:tc>
        <w:tc>
          <w:tcPr>
            <w:tcW w:type="dxa" w:w="23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按 owner 生成动作与验收条件</w:t>
            </w:r>
          </w:p>
        </w:tc>
        <w:tc>
          <w:tcPr>
            <w:tcW w:type="dxa" w:w="31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模型同尺回归或 SOP 修复后重建评分尺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第四步是产品核心交付终点；第五、六步只在失败后解释并闭环。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3.2 双测试入口</w:t>
      </w:r>
    </w:p>
    <w:p>
      <w:pPr>
        <w:spacing w:after="120" w:line="264" w:lineRule="auto"/>
      </w:pPr>
      <w:r>
        <w:rPr>
          <w:rFonts w:ascii="PingFang SC" w:hAnsi="PingFang SC" w:eastAsia="PingFang SC"/>
          <w:b/>
          <w:color w:val="142039"/>
          <w:sz w:val="22"/>
        </w:rPr>
        <w:t>模拟测试模式</w:t>
      </w:r>
      <w:r>
        <w:rPr>
          <w:rFonts w:ascii="PingFang SC" w:hAnsi="PingFang SC" w:eastAsia="PingFang SC"/>
          <w:color w:val="142039"/>
          <w:sz w:val="22"/>
        </w:rPr>
        <w:t>：用户模拟器根据 Persona、攻击目标和未覆盖检查点，与被测外呼模型自动生成多轮对话。适合模型上线前系统性补齐边界场景。</w:t>
      </w:r>
    </w:p>
    <w:p>
      <w:pPr>
        <w:spacing w:after="120" w:line="264" w:lineRule="auto"/>
      </w:pPr>
      <w:r>
        <w:rPr>
          <w:rFonts w:ascii="PingFang SC" w:hAnsi="PingFang SC" w:eastAsia="PingFang SC"/>
          <w:b/>
          <w:color w:val="142039"/>
          <w:sz w:val="22"/>
        </w:rPr>
        <w:t>已有日志质检模式</w:t>
      </w:r>
      <w:r>
        <w:rPr>
          <w:rFonts w:ascii="PingFang SC" w:hAnsi="PingFang SC" w:eastAsia="PingFang SC"/>
          <w:color w:val="142039"/>
          <w:sz w:val="22"/>
        </w:rPr>
        <w:t>：导入 JSONL、JSON、CSV、TXT 或 Markdown 对话，标准化后直接评估。适合历史回溯、生产抽检和第三方模型日志接入。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两种入口共享同一 Checklist、Judge、Report 和 Attribution 链路。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4. 系统架构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142039"/>
                <w:sz w:val="17"/>
              </w:rPr>
              <w:t>任务指令 / SOP ──&gt; 指令编译器 ──&gt; L0 + L1 Checklist ───────────────┐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│                                            │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├──&gt; SOP 体检（可信度保障）                   │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│                                            ▼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>被测模型 API ───────────┼──&gt; 对话竞技场 &lt;── 用户模拟器 / Persona ─&gt; transcripts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>已有对话日志 ──&gt; 标准化 / PII 遮罩 ──────────────────────────────────┘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                                             │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                                             ▼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                                规则线索 + LLM Judge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                                             │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                 judgments / NA / 分歧 / 规则冲突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                                              │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┌─────────────────────────────────────────────┴─────────┐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         ▼                                                       ▼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        模型评测报告                                            根因归因与回归计划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 xml:space="preserve">      门禁 / 履约 / P0 / 覆盖 / 证据                         模型 / SOP / 裁判 / 测试数据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4.1 核心模块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cantSplit/>
          <w:tblHeader w:val="true"/>
        </w:trPr>
        <w:tc>
          <w:tcPr>
            <w:tcW w:type="dxa" w:w="190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50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主要文件</w:t>
            </w:r>
          </w:p>
        </w:tc>
        <w:tc>
          <w:tcPr>
            <w:tcW w:type="dxa" w:w="396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指令编译器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evalcall/compiler.py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将 SOP 编译为 flow、constraint、forbidden、style、outcome、authenticity 检查点，并保留 source_quote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用户模拟器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evalcall/simulator.py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多 Persona、多策略、覆盖驱动和对抗目标生成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对话竞技场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evalcall/arena.py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编排目标模型与模拟器多轮对话，输出统一 transcript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双轨 Judge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evalcall/judge.py</w:t>
            </w:r>
            <w:r>
              <w:rPr>
                <w:rFonts w:ascii="PingFang SC" w:hAnsi="PingFang SC" w:eastAsia="PingFang SC"/>
                <w:color w:val="142039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</w:rPr>
              <w:t>evalcall/rules.py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规则轨提供线索，LLM 轨结合语境逐项判定 pass/fail/NA 并引用证据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安全门禁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evalcall/safety.py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L0 安全与合规红线，P0 一票否决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报告与决策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evalcall/report.py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聚合门禁、履约、P0、关键失败、覆盖率和复核队列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SOP 体检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evalcall/lint.py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检测冲突、不可行、歧义和缺失分支；后端失败时 fail-closed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根因归因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evalcall/attribution.py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综合模型、指令、裁判、数据多类信号，输出根因候选、置信度、owner 和动作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现场服务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enlo" w:hAnsi="Menlo" w:eastAsia="PingFang SC"/>
                <w:color w:val="1F4D78"/>
                <w:sz w:val="17"/>
              </w:rPr>
              <w:t>evalcall/demo_server.py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PingFang SC" w:hAnsi="PingFang SC" w:eastAsia="PingFang SC"/>
                <w:color w:val="142039"/>
                <w:sz w:val="18"/>
              </w:rPr>
              <w:t>六步会话 API、健康检查、样例复用、上传和运行产物管理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5. Checklist 与评判设计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5.1 检查点结构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每个检查点至少包含：</w:t>
      </w:r>
      <w:r>
        <w:rPr>
          <w:rFonts w:ascii="Menlo" w:hAnsi="Menlo" w:eastAsia="PingFang SC"/>
          <w:color w:val="1F4D78"/>
          <w:sz w:val="21"/>
        </w:rPr>
        <w:t>id</w:t>
      </w:r>
      <w:r>
        <w:rPr>
          <w:rFonts w:ascii="PingFang SC" w:hAnsi="PingFang SC" w:eastAsia="PingFang SC"/>
          <w:color w:val="142039"/>
          <w:sz w:val="22"/>
        </w:rPr>
        <w:t>、</w:t>
      </w:r>
      <w:r>
        <w:rPr>
          <w:rFonts w:ascii="Menlo" w:hAnsi="Menlo" w:eastAsia="PingFang SC"/>
          <w:color w:val="1F4D78"/>
          <w:sz w:val="21"/>
        </w:rPr>
        <w:t>type</w:t>
      </w:r>
      <w:r>
        <w:rPr>
          <w:rFonts w:ascii="PingFang SC" w:hAnsi="PingFang SC" w:eastAsia="PingFang SC"/>
          <w:color w:val="142039"/>
          <w:sz w:val="22"/>
        </w:rPr>
        <w:t>、</w:t>
      </w:r>
      <w:r>
        <w:rPr>
          <w:rFonts w:ascii="Menlo" w:hAnsi="Menlo" w:eastAsia="PingFang SC"/>
          <w:color w:val="1F4D78"/>
          <w:sz w:val="21"/>
        </w:rPr>
        <w:t>text</w:t>
      </w:r>
      <w:r>
        <w:rPr>
          <w:rFonts w:ascii="PingFang SC" w:hAnsi="PingFang SC" w:eastAsia="PingFang SC"/>
          <w:color w:val="142039"/>
          <w:sz w:val="22"/>
        </w:rPr>
        <w:t>、</w:t>
      </w:r>
      <w:r>
        <w:rPr>
          <w:rFonts w:ascii="Menlo" w:hAnsi="Menlo" w:eastAsia="PingFang SC"/>
          <w:color w:val="1F4D78"/>
          <w:sz w:val="21"/>
        </w:rPr>
        <w:t>source_quote</w:t>
      </w:r>
      <w:r>
        <w:rPr>
          <w:rFonts w:ascii="PingFang SC" w:hAnsi="PingFang SC" w:eastAsia="PingFang SC"/>
          <w:color w:val="142039"/>
          <w:sz w:val="22"/>
        </w:rPr>
        <w:t>、</w:t>
      </w:r>
      <w:r>
        <w:rPr>
          <w:rFonts w:ascii="Menlo" w:hAnsi="Menlo" w:eastAsia="PingFang SC"/>
          <w:color w:val="1F4D78"/>
          <w:sz w:val="21"/>
        </w:rPr>
        <w:t>severity</w:t>
      </w:r>
      <w:r>
        <w:rPr>
          <w:rFonts w:ascii="PingFang SC" w:hAnsi="PingFang SC" w:eastAsia="PingFang SC"/>
          <w:color w:val="142039"/>
          <w:sz w:val="22"/>
        </w:rPr>
        <w:t>、</w:t>
      </w:r>
      <w:r>
        <w:rPr>
          <w:rFonts w:ascii="Menlo" w:hAnsi="Menlo" w:eastAsia="PingFang SC"/>
          <w:color w:val="1F4D78"/>
          <w:sz w:val="21"/>
        </w:rPr>
        <w:t>safety</w:t>
      </w:r>
      <w:r>
        <w:rPr>
          <w:rFonts w:ascii="PingFang SC" w:hAnsi="PingFang SC" w:eastAsia="PingFang SC"/>
          <w:color w:val="142039"/>
          <w:sz w:val="22"/>
        </w:rPr>
        <w:t xml:space="preserve"> 和策略来源。严重度映射为 P0/P1/P2；其中 P0 失败直接触发整通打回，但报告仍保留其他维度信息。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5.2 规则轨与 LLM 轨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规则轨用于禁语、敏感信息、必要信息等可确定检测，只提供线索，不因关键词命中直接定罪。LLM Judge 结合说话人、上下文和 source_quote 判定 pass/fail/NA，失败必须引用对话证据。规则与 LLM 冲突、NA、高风险或分裂票进入人工复核队列。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5.3 门禁与履约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门禁：任一 P0 fail 则该通打回；批次报告同时展示打回通数和原因。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履约：由 outcome 检查点判断任务是否实际完成，不被语言流畅度替代。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覆盖：统计已触达与未触达检查点，用于发现测试盲区，不单独决定上线。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6. 根因归因算法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归因不能只看全部 judgment 的失败率。当前算法纳入：</w:t>
      </w:r>
    </w:p>
    <w:p>
      <w:pPr>
        <w:numPr>
          <w:ilvl w:val="0"/>
          <w:numId w:val="11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通话打回率。</w:t>
      </w:r>
    </w:p>
    <w:p>
      <w:pPr>
        <w:numPr>
          <w:ilvl w:val="0"/>
          <w:numId w:val="11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履约率。</w:t>
      </w:r>
    </w:p>
    <w:p>
      <w:pPr>
        <w:numPr>
          <w:ilvl w:val="0"/>
          <w:numId w:val="11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P0 触发率。</w:t>
      </w:r>
    </w:p>
    <w:p>
      <w:pPr>
        <w:numPr>
          <w:ilvl w:val="0"/>
          <w:numId w:val="11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关键流程失败率。</w:t>
      </w:r>
    </w:p>
    <w:p>
      <w:pPr>
        <w:numPr>
          <w:ilvl w:val="0"/>
          <w:numId w:val="11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critical / major 严重度加权失败率。</w:t>
      </w:r>
    </w:p>
    <w:p>
      <w:pPr>
        <w:numPr>
          <w:ilvl w:val="0"/>
          <w:numId w:val="11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SOP 可行性分和高严重度体检问题。</w:t>
      </w:r>
    </w:p>
    <w:p>
      <w:pPr>
        <w:numPr>
          <w:ilvl w:val="0"/>
          <w:numId w:val="11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NA 率、裁判分歧率、规则冲突和复核率。</w:t>
      </w:r>
    </w:p>
    <w:p>
      <w:pPr>
        <w:numPr>
          <w:ilvl w:val="0"/>
          <w:numId w:val="11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Persona 失败集中度与测试覆盖信号。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当正式输入没有更强的高严重度 SOP 故障证据，而批次出现高打回、低履约或明确 P0 时，系统将外呼模型作为首要根因。若 SOP 存在强冲突或不可行条件，模型归因降级，先由业务 owner 修复任务指令。Scratch lint 迭代不会自动绑定到正式运行，防止探索性草稿污染归因。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归因结果包含置信度和免责声明；低、中置信结论必须人工复核后再修改生产配置。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7. 版本、可审计性与同尺回归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每次正式运行记录：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SOP、对话、Checklist、安全策略、黄金集和模型版本 hash。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代码 commit、裁判模型、被测模型、票数、时间、token 和计价状态。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标准化输入、逐项 judgments、summary、manifest、telemetry、review queue 和 HTML 报告。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模型问题回归保持 SOP 和 Checklist hash 不变，返回第三步复测。SOP 修改后必须重新编译 Checklist，并明确说明新旧评分尺不同，不能直接把分数差解释为模型能力提升。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8. 运行模式与故障策略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8.1 已验证产物模式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内置样例在 SOP、完整对话和 Checklist hash 匹配时复用仓库内已验证批次，确保现场演示稳定。页面明确标注“缓存结果·已验证产物”，不会冒充刚刚现场计算。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8.2 本地实时模式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自定义材料通过本地服务调用可用后端。健康检查验证模型后端真实可用性，而不只检查服务进程。后端不可用、超时或输出非法时 fail-closed，返回准确错误，不生成虚假的 100 分健康报告。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8.3 隐私与安全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接入层默认对手机号、身份证、邮箱、银行卡、订单号和地址进行结构化遮罩；遥测不存 prompt 原文。生产环境是否允许数据发送第三方模型由数据 owner 决定，可切换到内网兼容后端。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9. 决赛演示证据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9.1 主演示：配送时间改约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正式批次：10 通。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Checklist：21 项（L0 通用安全 5 项，L1 业务规则 16 项）。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逐项判断：210 条。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打回：3/10。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平均分：62.5。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履约率：40.0%。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P0：3/10。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关键流程失败率：25.4%。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首要根因：</w:t>
      </w:r>
      <w:r>
        <w:rPr>
          <w:rFonts w:ascii="Menlo" w:hAnsi="Menlo" w:eastAsia="PingFang SC"/>
          <w:color w:val="1F4D78"/>
          <w:sz w:val="21"/>
        </w:rPr>
        <w:t>target_model</w:t>
      </w:r>
      <w:r>
        <w:rPr>
          <w:rFonts w:ascii="PingFang SC" w:hAnsi="PingFang SC" w:eastAsia="PingFang SC"/>
          <w:color w:val="142039"/>
          <w:sz w:val="22"/>
        </w:rPr>
        <w:t>，中置信；模型分 48。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限制：NA 9.0%，裁判分歧 0%；归因仍是确定性信号归纳，不是因果证明。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回归：只改模型/对话策略，返回第三步；SOP、Checklist 与 10 通用户输入 hash 不变，正常 Judge 重评且不修改 judgments。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实际 v2：门禁“可上线”，P0 0/10，履约率 40.0%（不退化），平均分 91.4；原生 diff 为 6 项改善、1 项 style 退化待复测。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可比性：</w:t>
      </w:r>
      <w:r>
        <w:rPr>
          <w:rFonts w:ascii="Menlo" w:hAnsi="Menlo" w:eastAsia="PingFang SC"/>
          <w:color w:val="1F4D78"/>
          <w:sz w:val="21"/>
        </w:rPr>
        <w:t>instruction_hash</w:t>
      </w:r>
      <w:r>
        <w:rPr>
          <w:rFonts w:ascii="PingFang SC" w:hAnsi="PingFang SC" w:eastAsia="PingFang SC"/>
          <w:color w:val="142039"/>
          <w:sz w:val="22"/>
        </w:rPr>
        <w:t>、</w:t>
      </w:r>
      <w:r>
        <w:rPr>
          <w:rFonts w:ascii="Menlo" w:hAnsi="Menlo" w:eastAsia="PingFang SC"/>
          <w:color w:val="1F4D78"/>
          <w:sz w:val="21"/>
        </w:rPr>
        <w:t>checklist_hash</w:t>
      </w:r>
      <w:r>
        <w:rPr>
          <w:rFonts w:ascii="PingFang SC" w:hAnsi="PingFang SC" w:eastAsia="PingFang SC"/>
          <w:color w:val="142039"/>
          <w:sz w:val="22"/>
        </w:rPr>
        <w:t>、</w:t>
      </w:r>
      <w:r>
        <w:rPr>
          <w:rFonts w:ascii="Menlo" w:hAnsi="Menlo" w:eastAsia="PingFang SC"/>
          <w:color w:val="1F4D78"/>
          <w:sz w:val="21"/>
        </w:rPr>
        <w:t>judge_policy_hash</w:t>
      </w:r>
      <w:r>
        <w:rPr>
          <w:rFonts w:ascii="PingFang SC" w:hAnsi="PingFang SC" w:eastAsia="PingFang SC"/>
          <w:color w:val="142039"/>
          <w:sz w:val="22"/>
        </w:rPr>
        <w:t xml:space="preserve"> 与用户输入 hash 均一致。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9.2 对照案例：低延迟直播升级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正式批次：10 通，9 通打回，履约率 10.0%。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SOP 可行性：0/100，4 项高严重度问题。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首要根因：</w:t>
      </w:r>
      <w:r>
        <w:rPr>
          <w:rFonts w:ascii="Menlo" w:hAnsi="Menlo" w:eastAsia="PingFang SC"/>
          <w:color w:val="1F4D78"/>
          <w:sz w:val="21"/>
        </w:rPr>
        <w:t>instruction</w:t>
      </w:r>
      <w:r>
        <w:rPr>
          <w:rFonts w:ascii="PingFang SC" w:hAnsi="PingFang SC" w:eastAsia="PingFang SC"/>
          <w:color w:val="142039"/>
          <w:sz w:val="22"/>
        </w:rPr>
        <w:t>，高置信。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动作：先修 SOP，回到第二步重新编译 Checklist；新旧尺不直接比较模型能力。</w:t>
      </w:r>
    </w:p>
    <w:p>
      <w:pPr>
        <w:pStyle w:val="Heading3"/>
      </w:pPr>
      <w:r>
        <w:rPr>
          <w:rFonts w:ascii="PingFang SC" w:hAnsi="PingFang SC" w:eastAsia="PingFang SC"/>
          <w:color w:val="1F4D78"/>
          <w:sz w:val="24"/>
        </w:rPr>
        <w:t>9.3 裁判校准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32 case，165 个已知真值。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整体准确率：92.73%（153/165）。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P0 fail recall：11/11。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style 类型准确率：70%。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12 个错判的平均自报置信度：96.25%。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上述数字只适用于指定模型、提示词、票数和黄金集，不外推为线上准确率或零漏判承诺。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10. 测试与验收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项目包含编译、判定、报告、归因、失败分支、后端 fail-closed、Demo API 和六步工作台自动化测试。最终验收必须同时满足：</w:t>
      </w:r>
    </w:p>
    <w:p>
      <w:pPr>
        <w:numPr>
          <w:ilvl w:val="0"/>
          <w:numId w:val="12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 xml:space="preserve">至少一套样例首要根因为 </w:t>
      </w:r>
      <w:r>
        <w:rPr>
          <w:rFonts w:ascii="Menlo" w:hAnsi="Menlo" w:eastAsia="PingFang SC"/>
          <w:color w:val="1F4D78"/>
          <w:sz w:val="21"/>
        </w:rPr>
        <w:t>target_model</w:t>
      </w:r>
      <w:r>
        <w:rPr>
          <w:rFonts w:ascii="PingFang SC" w:hAnsi="PingFang SC" w:eastAsia="PingFang SC"/>
          <w:color w:val="142039"/>
          <w:sz w:val="22"/>
        </w:rPr>
        <w:t>。</w:t>
      </w:r>
    </w:p>
    <w:p>
      <w:pPr>
        <w:numPr>
          <w:ilvl w:val="0"/>
          <w:numId w:val="12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 xml:space="preserve">至少一套样例首要根因为 </w:t>
      </w:r>
      <w:r>
        <w:rPr>
          <w:rFonts w:ascii="Menlo" w:hAnsi="Menlo" w:eastAsia="PingFang SC"/>
          <w:color w:val="1F4D78"/>
          <w:sz w:val="21"/>
        </w:rPr>
        <w:t>instruction</w:t>
      </w:r>
      <w:r>
        <w:rPr>
          <w:rFonts w:ascii="PingFang SC" w:hAnsi="PingFang SC" w:eastAsia="PingFang SC"/>
          <w:color w:val="142039"/>
          <w:sz w:val="22"/>
        </w:rPr>
        <w:t>。</w:t>
      </w:r>
    </w:p>
    <w:p>
      <w:pPr>
        <w:numPr>
          <w:ilvl w:val="0"/>
          <w:numId w:val="12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模型问题案例第六步返回第三步，SOP 与 Checklist hash 不变。</w:t>
      </w:r>
    </w:p>
    <w:p>
      <w:pPr>
        <w:numPr>
          <w:ilvl w:val="0"/>
          <w:numId w:val="12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用户模拟器、Persona、数量、覆盖和未触达检查点在工作台可见。</w:t>
      </w:r>
    </w:p>
    <w:p>
      <w:pPr>
        <w:numPr>
          <w:ilvl w:val="0"/>
          <w:numId w:val="12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缓存结果与实时结果分标。</w:t>
      </w:r>
    </w:p>
    <w:p>
      <w:pPr>
        <w:numPr>
          <w:ilvl w:val="0"/>
          <w:numId w:val="12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样例输入数、正式报告数和页面数字一致。</w:t>
      </w:r>
    </w:p>
    <w:p>
      <w:pPr>
        <w:numPr>
          <w:ilvl w:val="0"/>
          <w:numId w:val="12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自动化测试、接口测试、浏览器测试和材料渲染检查通过。</w:t>
      </w:r>
    </w:p>
    <w:p>
      <w:pPr>
        <w:numPr>
          <w:ilvl w:val="0"/>
          <w:numId w:val="12"/>
        </w:numPr>
        <w:spacing w:after="160" w:line="264" w:lineRule="auto"/>
        <w:ind w:left="720" w:hanging="360"/>
      </w:pPr>
      <w:r>
        <w:rPr>
          <w:rFonts w:ascii="PingFang SC" w:hAnsi="PingFang SC" w:eastAsia="PingFang SC"/>
          <w:color w:val="142039"/>
          <w:sz w:val="22"/>
        </w:rPr>
        <w:t>验收账本和证据索引可追溯到具体产物。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11. 部署与快速开始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本地现场演示：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enlo" w:hAnsi="Menlo" w:eastAsia="PingFang SC"/>
                <w:color w:val="142039"/>
                <w:sz w:val="17"/>
              </w:rPr>
              <w:t>EVALCALL_BACKEND=codex-cli \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>EVALCALL_MODEL=gpt-5.6-sol \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>EVALCALL_REASONING_EFFORT=xhigh \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>EVALCALL_CODEX_TIMEOUT=600 \</w:t>
              <w:br/>
            </w:r>
            <w:r>
              <w:rPr>
                <w:rFonts w:ascii="Menlo" w:hAnsi="Menlo" w:eastAsia="PingFang SC"/>
                <w:color w:val="142039"/>
                <w:sz w:val="17"/>
              </w:rPr>
              <w:t>python3 -m evalcall demo --host 127.0.0.1 --port 8765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 xml:space="preserve">浏览器打开 </w:t>
      </w:r>
      <w:r>
        <w:rPr>
          <w:rFonts w:ascii="Menlo" w:hAnsi="Menlo" w:eastAsia="PingFang SC"/>
          <w:color w:val="1F4D78"/>
          <w:sz w:val="21"/>
        </w:rPr>
        <w:t>http://127.0.0.1:8765/app.html</w:t>
      </w:r>
      <w:r>
        <w:rPr>
          <w:rFonts w:ascii="PingFang SC" w:hAnsi="PingFang SC" w:eastAsia="PingFang SC"/>
          <w:color w:val="142039"/>
          <w:sz w:val="22"/>
        </w:rPr>
        <w:t>。公网备用入口为：</w:t>
      </w:r>
    </w:p>
    <w:p>
      <w:pPr>
        <w:spacing w:after="120" w:line="264" w:lineRule="auto"/>
      </w:pPr>
      <w:r>
        <w:rPr>
          <w:rFonts w:ascii="Menlo" w:hAnsi="Menlo" w:eastAsia="PingFang SC"/>
          <w:color w:val="1F4D78"/>
          <w:sz w:val="21"/>
        </w:rPr>
        <w:t>https://kaijie0074-art.github.io/evalcall/app.html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代码仓库：</w:t>
      </w:r>
    </w:p>
    <w:p>
      <w:pPr>
        <w:spacing w:after="120" w:line="264" w:lineRule="auto"/>
      </w:pPr>
      <w:r>
        <w:rPr>
          <w:rFonts w:ascii="Menlo" w:hAnsi="Menlo" w:eastAsia="PingFang SC"/>
          <w:color w:val="1F4D78"/>
          <w:sz w:val="21"/>
        </w:rPr>
        <w:t>https://github.com/kaijie0074-art/evalcall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12. 当前边界与后续路线</w:t>
      </w:r>
    </w:p>
    <w:p>
      <w:pPr>
        <w:spacing w:after="120" w:line="264" w:lineRule="auto"/>
      </w:pPr>
      <w:r>
        <w:rPr>
          <w:rFonts w:ascii="PingFang SC" w:hAnsi="PingFang SC" w:eastAsia="PingFang SC"/>
          <w:color w:val="142039"/>
          <w:sz w:val="22"/>
        </w:rPr>
        <w:t>当前样例规模用于验证方法与产品闭环，不能代表全部线上话务分布。下一阶段将扩展真实脱敏日志、由独立质检维护 sealed holdout、接入真实目标模型 API 进行同一 SOP 下多版本对比，并将门禁接入模型发布流水线。对于高 NA、style 短板和数据分布漂移，持续保留人工复核与再校准机制。</w:t>
      </w:r>
    </w:p>
    <w:p>
      <w:pPr>
        <w:pStyle w:val="Heading2"/>
      </w:pPr>
      <w:r>
        <w:rPr>
          <w:rFonts w:ascii="PingFang SC" w:hAnsi="PingFang SC" w:eastAsia="PingFang SC"/>
          <w:color w:val="2E74B5"/>
          <w:sz w:val="26"/>
        </w:rPr>
        <w:t>13. 最终交付物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可现场操作的六步工作台与公网备用版本。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GitHub 完整代码、README、当前方案规格和自动化测试。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四套独立命名样例及正式运行产物。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模型评测报告、根因归因、优化和同尺回归计划。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决赛 PPT、10 分钟主讲稿、10 分钟问答预案、一页纸和攻防卡。</w:t>
      </w:r>
    </w:p>
    <w:p>
      <w:pPr>
        <w:pStyle w:val="ListBullet"/>
        <w:spacing w:after="80" w:line="264" w:lineRule="auto"/>
      </w:pPr>
      <w:r>
        <w:rPr>
          <w:rFonts w:ascii="PingFang SC" w:hAnsi="PingFang SC" w:eastAsia="PingFang SC"/>
          <w:color w:val="142039"/>
          <w:sz w:val="22"/>
        </w:rPr>
        <w:t>全过程验收账本与证据索引。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68738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PingFang SC" w:hAnsi="PingFang SC" w:eastAsia="PingFang SC"/>
        <w:b/>
        <w:color w:val="687386"/>
        <w:sz w:val="17"/>
      </w:rPr>
      <w:t>EvalCall 方案设计文档 · 决赛最终版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/>
      <w:color w:val="1420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64" w:lineRule="auto"/>
      <w:ind w:left="720" w:hanging="360"/>
      <w:contextualSpacing/>
    </w:pPr>
    <w:rPr>
      <w:rFonts w:ascii="PingFang SC" w:hAnsi="PingFang SC" w:eastAsia="PingFang SC"/>
      <w:color w:val="142039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64" w:lineRule="auto"/>
      <w:ind w:left="720" w:hanging="360"/>
      <w:contextualSpacing/>
    </w:pPr>
    <w:rPr>
      <w:rFonts w:ascii="PingFang SC" w:hAnsi="PingFang SC" w:eastAsia="PingFang SC"/>
      <w:color w:val="142039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EvalCall 方案设计文档（决赛最终版）</dc:title>
  <dc:subject>EvalCall 美团黑客松决赛提交物料</dc:subject>
  <dc:creator>EvalCall Team</dc:creator>
  <cp:keywords>EvalCall, 外呼模型, 指令遵循, 美团黑客松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