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67A" w:rsidRDefault="0005747E">
      <w:pPr>
        <w:spacing w:line="420" w:lineRule="exact"/>
        <w:rPr>
          <w:rFonts w:ascii="宋体" w:hAnsi="宋体"/>
          <w:sz w:val="24"/>
        </w:rPr>
      </w:pPr>
      <w:r>
        <w:rPr>
          <w:rFonts w:ascii="宋体" w:hAnsi="宋体" w:hint="eastAsia"/>
          <w:sz w:val="24"/>
        </w:rPr>
        <w:t>【文件编号】HZ-XZ-WF-08</w:t>
      </w:r>
    </w:p>
    <w:p w:rsidR="007C567A" w:rsidRDefault="0005747E">
      <w:pPr>
        <w:spacing w:line="420" w:lineRule="exact"/>
        <w:rPr>
          <w:rFonts w:ascii="宋体" w:hAnsi="宋体"/>
          <w:sz w:val="24"/>
        </w:rPr>
      </w:pPr>
      <w:r>
        <w:rPr>
          <w:rFonts w:ascii="宋体" w:hAnsi="宋体" w:hint="eastAsia"/>
          <w:sz w:val="24"/>
        </w:rPr>
        <w:t>【文件名称】</w:t>
      </w:r>
      <w:r>
        <w:rPr>
          <w:rFonts w:ascii="宋体" w:hAnsi="宋体" w:hint="eastAsia"/>
          <w:kern w:val="0"/>
          <w:sz w:val="24"/>
        </w:rPr>
        <w:t>杭州海事局</w:t>
      </w:r>
      <w:r>
        <w:rPr>
          <w:rFonts w:ascii="宋体" w:hAnsi="宋体" w:hint="eastAsia"/>
          <w:sz w:val="24"/>
        </w:rPr>
        <w:t>海洋、海岸工程环境评价工作管理须知</w:t>
      </w:r>
    </w:p>
    <w:p w:rsidR="007C567A" w:rsidRDefault="0005747E">
      <w:pPr>
        <w:spacing w:line="420" w:lineRule="exact"/>
        <w:rPr>
          <w:rFonts w:ascii="宋体" w:hAnsi="宋体"/>
          <w:sz w:val="24"/>
        </w:rPr>
      </w:pPr>
      <w:r>
        <w:rPr>
          <w:rFonts w:ascii="宋体" w:hAnsi="宋体" w:hint="eastAsia"/>
          <w:sz w:val="24"/>
        </w:rPr>
        <w:t>【版 本 号】</w:t>
      </w:r>
      <w:r w:rsidR="00C3480D">
        <w:rPr>
          <w:rFonts w:ascii="宋体" w:hAnsi="宋体" w:hint="eastAsia"/>
          <w:sz w:val="24"/>
        </w:rPr>
        <w:t>1.1</w:t>
      </w:r>
    </w:p>
    <w:p w:rsidR="007C567A" w:rsidRDefault="0005747E">
      <w:pPr>
        <w:spacing w:line="420" w:lineRule="exact"/>
        <w:rPr>
          <w:rFonts w:ascii="宋体" w:hAnsi="宋体"/>
          <w:sz w:val="24"/>
        </w:rPr>
      </w:pPr>
      <w:r>
        <w:rPr>
          <w:rFonts w:ascii="宋体" w:hAnsi="宋体" w:hint="eastAsia"/>
          <w:sz w:val="24"/>
        </w:rPr>
        <w:t>【编写部门】船舶监督处</w:t>
      </w:r>
    </w:p>
    <w:p w:rsidR="007C567A" w:rsidRDefault="0005747E">
      <w:pPr>
        <w:spacing w:line="420" w:lineRule="exact"/>
      </w:pPr>
      <w:r>
        <w:rPr>
          <w:rFonts w:ascii="宋体" w:hAnsi="宋体" w:hint="eastAsia"/>
          <w:sz w:val="24"/>
        </w:rPr>
        <w:t>【生效日期】201</w:t>
      </w:r>
      <w:r w:rsidR="00F5392A">
        <w:rPr>
          <w:rFonts w:ascii="宋体" w:hAnsi="宋体" w:hint="eastAsia"/>
          <w:sz w:val="24"/>
        </w:rPr>
        <w:t>9</w:t>
      </w:r>
      <w:r>
        <w:rPr>
          <w:rFonts w:ascii="宋体" w:hAnsi="宋体" w:hint="eastAsia"/>
          <w:sz w:val="24"/>
        </w:rPr>
        <w:t>年</w:t>
      </w:r>
      <w:r w:rsidR="00F5392A">
        <w:rPr>
          <w:rFonts w:ascii="宋体" w:hAnsi="宋体" w:hint="eastAsia"/>
          <w:sz w:val="24"/>
        </w:rPr>
        <w:t>1</w:t>
      </w:r>
      <w:r>
        <w:rPr>
          <w:rFonts w:ascii="宋体" w:hAnsi="宋体" w:hint="eastAsia"/>
          <w:sz w:val="24"/>
        </w:rPr>
        <w:t>月</w:t>
      </w:r>
      <w:bookmarkStart w:id="0" w:name="_GoBack"/>
      <w:bookmarkEnd w:id="0"/>
      <w:r w:rsidR="00F5392A">
        <w:rPr>
          <w:rFonts w:ascii="宋体" w:hAnsi="宋体" w:hint="eastAsia"/>
          <w:sz w:val="24"/>
        </w:rPr>
        <w:t>14</w:t>
      </w:r>
      <w:r>
        <w:rPr>
          <w:rFonts w:ascii="宋体" w:hAnsi="宋体" w:hint="eastAsia"/>
          <w:sz w:val="24"/>
        </w:rPr>
        <w:t>日</w:t>
      </w:r>
    </w:p>
    <w:p w:rsidR="007C567A" w:rsidRDefault="0005747E">
      <w:pPr>
        <w:jc w:val="center"/>
        <w:rPr>
          <w:b/>
          <w:sz w:val="36"/>
          <w:szCs w:val="36"/>
        </w:rPr>
      </w:pPr>
      <w:r>
        <w:rPr>
          <w:rFonts w:hint="eastAsia"/>
          <w:b/>
          <w:sz w:val="36"/>
          <w:szCs w:val="36"/>
        </w:rPr>
        <w:t>文件修改记录</w:t>
      </w:r>
    </w:p>
    <w:tbl>
      <w:tblPr>
        <w:tblpPr w:leftFromText="180" w:rightFromText="180" w:vertAnchor="text" w:horzAnchor="margin" w:tblpXSpec="center" w:tblpY="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0"/>
        <w:gridCol w:w="2131"/>
        <w:gridCol w:w="2130"/>
        <w:gridCol w:w="2131"/>
      </w:tblGrid>
      <w:tr w:rsidR="00C3480D" w:rsidTr="007E2E9C">
        <w:tc>
          <w:tcPr>
            <w:tcW w:w="2130" w:type="dxa"/>
          </w:tcPr>
          <w:p w:rsidR="00C3480D" w:rsidRDefault="00C3480D" w:rsidP="007E2E9C">
            <w:r>
              <w:rPr>
                <w:rFonts w:hint="eastAsia"/>
              </w:rPr>
              <w:t>文件编号：</w:t>
            </w:r>
          </w:p>
          <w:p w:rsidR="00C3480D" w:rsidRDefault="00C3480D" w:rsidP="007E2E9C">
            <w:r>
              <w:rPr>
                <w:rFonts w:ascii="宋体" w:hAnsi="宋体" w:hint="eastAsia"/>
                <w:sz w:val="24"/>
              </w:rPr>
              <w:t>HZ-XZ-WF-08</w:t>
            </w:r>
          </w:p>
        </w:tc>
        <w:tc>
          <w:tcPr>
            <w:tcW w:w="4261" w:type="dxa"/>
            <w:gridSpan w:val="2"/>
          </w:tcPr>
          <w:p w:rsidR="00C3480D" w:rsidRDefault="00C3480D" w:rsidP="007E2E9C">
            <w:r>
              <w:rPr>
                <w:rFonts w:hint="eastAsia"/>
              </w:rPr>
              <w:t>文件名称：</w:t>
            </w:r>
          </w:p>
          <w:p w:rsidR="00C3480D" w:rsidRDefault="00C3480D" w:rsidP="007E2E9C">
            <w:r>
              <w:rPr>
                <w:rFonts w:ascii="宋体" w:hAnsi="宋体" w:hint="eastAsia"/>
                <w:kern w:val="0"/>
                <w:sz w:val="24"/>
              </w:rPr>
              <w:t>杭州海事局</w:t>
            </w:r>
            <w:r>
              <w:rPr>
                <w:rFonts w:ascii="宋体" w:hAnsi="宋体" w:hint="eastAsia"/>
                <w:sz w:val="24"/>
              </w:rPr>
              <w:t>海洋、海岸工程环境评价工作管理须知</w:t>
            </w:r>
          </w:p>
        </w:tc>
        <w:tc>
          <w:tcPr>
            <w:tcW w:w="2131" w:type="dxa"/>
          </w:tcPr>
          <w:p w:rsidR="00C3480D" w:rsidRDefault="00C3480D" w:rsidP="007E2E9C">
            <w:r>
              <w:rPr>
                <w:rFonts w:hint="eastAsia"/>
              </w:rPr>
              <w:t>文件版本号：</w:t>
            </w:r>
          </w:p>
          <w:p w:rsidR="00C3480D" w:rsidRDefault="00C3480D" w:rsidP="007E2E9C">
            <w:r>
              <w:rPr>
                <w:rFonts w:hint="eastAsia"/>
              </w:rPr>
              <w:t>1.1</w:t>
            </w:r>
          </w:p>
        </w:tc>
      </w:tr>
      <w:tr w:rsidR="00C3480D" w:rsidTr="007E2E9C">
        <w:trPr>
          <w:trHeight w:val="495"/>
        </w:trPr>
        <w:tc>
          <w:tcPr>
            <w:tcW w:w="8522" w:type="dxa"/>
            <w:gridSpan w:val="4"/>
            <w:vAlign w:val="center"/>
          </w:tcPr>
          <w:p w:rsidR="00C3480D" w:rsidRDefault="00C3480D" w:rsidP="007E2E9C">
            <w:pPr>
              <w:jc w:val="center"/>
            </w:pPr>
            <w:r>
              <w:rPr>
                <w:rFonts w:hint="eastAsia"/>
              </w:rPr>
              <w:t>修改情况</w:t>
            </w:r>
          </w:p>
        </w:tc>
      </w:tr>
      <w:tr w:rsidR="00C3480D" w:rsidTr="007E2E9C">
        <w:trPr>
          <w:trHeight w:val="559"/>
        </w:trPr>
        <w:tc>
          <w:tcPr>
            <w:tcW w:w="4261" w:type="dxa"/>
            <w:gridSpan w:val="2"/>
            <w:vAlign w:val="center"/>
          </w:tcPr>
          <w:p w:rsidR="00C3480D" w:rsidRDefault="00C3480D" w:rsidP="007E2E9C">
            <w:pPr>
              <w:jc w:val="center"/>
            </w:pPr>
            <w:r>
              <w:rPr>
                <w:rFonts w:hint="eastAsia"/>
              </w:rPr>
              <w:t>修改</w:t>
            </w:r>
            <w:proofErr w:type="gramStart"/>
            <w:r>
              <w:rPr>
                <w:rFonts w:hint="eastAsia"/>
              </w:rPr>
              <w:t>前内容</w:t>
            </w:r>
            <w:proofErr w:type="gramEnd"/>
          </w:p>
        </w:tc>
        <w:tc>
          <w:tcPr>
            <w:tcW w:w="4261" w:type="dxa"/>
            <w:gridSpan w:val="2"/>
            <w:vAlign w:val="center"/>
          </w:tcPr>
          <w:p w:rsidR="00C3480D" w:rsidRDefault="00C3480D" w:rsidP="007E2E9C">
            <w:pPr>
              <w:jc w:val="center"/>
            </w:pPr>
            <w:r>
              <w:rPr>
                <w:rFonts w:hint="eastAsia"/>
              </w:rPr>
              <w:t>修改</w:t>
            </w:r>
            <w:proofErr w:type="gramStart"/>
            <w:r>
              <w:rPr>
                <w:rFonts w:hint="eastAsia"/>
              </w:rPr>
              <w:t>后内容</w:t>
            </w:r>
            <w:proofErr w:type="gramEnd"/>
          </w:p>
        </w:tc>
      </w:tr>
      <w:tr w:rsidR="00C3480D" w:rsidTr="007E2E9C">
        <w:trPr>
          <w:trHeight w:val="1134"/>
        </w:trPr>
        <w:tc>
          <w:tcPr>
            <w:tcW w:w="4261" w:type="dxa"/>
            <w:gridSpan w:val="2"/>
            <w:vAlign w:val="center"/>
          </w:tcPr>
          <w:p w:rsidR="00C3480D" w:rsidRDefault="00C3480D" w:rsidP="007E2E9C">
            <w:pPr>
              <w:jc w:val="center"/>
            </w:pPr>
          </w:p>
        </w:tc>
        <w:tc>
          <w:tcPr>
            <w:tcW w:w="4261" w:type="dxa"/>
            <w:gridSpan w:val="2"/>
            <w:vAlign w:val="center"/>
          </w:tcPr>
          <w:p w:rsidR="00C3480D" w:rsidRDefault="00C3480D" w:rsidP="007E2E9C">
            <w:pPr>
              <w:jc w:val="center"/>
            </w:pPr>
            <w:r>
              <w:rPr>
                <w:rFonts w:hint="eastAsia"/>
              </w:rPr>
              <w:t>删除记录中所附表格</w:t>
            </w:r>
          </w:p>
        </w:tc>
      </w:tr>
      <w:tr w:rsidR="00C3480D" w:rsidTr="007E2E9C">
        <w:trPr>
          <w:trHeight w:val="1134"/>
        </w:trPr>
        <w:tc>
          <w:tcPr>
            <w:tcW w:w="4261" w:type="dxa"/>
            <w:gridSpan w:val="2"/>
            <w:vAlign w:val="center"/>
          </w:tcPr>
          <w:p w:rsidR="00C3480D" w:rsidRDefault="00C3480D" w:rsidP="007E2E9C">
            <w:pPr>
              <w:jc w:val="center"/>
            </w:pPr>
          </w:p>
        </w:tc>
        <w:tc>
          <w:tcPr>
            <w:tcW w:w="4261" w:type="dxa"/>
            <w:gridSpan w:val="2"/>
            <w:vAlign w:val="center"/>
          </w:tcPr>
          <w:p w:rsidR="00C3480D" w:rsidRDefault="00C3480D" w:rsidP="007E2E9C">
            <w:pPr>
              <w:jc w:val="center"/>
            </w:pPr>
          </w:p>
        </w:tc>
      </w:tr>
      <w:tr w:rsidR="00C3480D" w:rsidTr="007E2E9C">
        <w:trPr>
          <w:trHeight w:val="1134"/>
        </w:trPr>
        <w:tc>
          <w:tcPr>
            <w:tcW w:w="4261" w:type="dxa"/>
            <w:gridSpan w:val="2"/>
            <w:vAlign w:val="center"/>
          </w:tcPr>
          <w:p w:rsidR="00C3480D" w:rsidRDefault="00C3480D" w:rsidP="007E2E9C">
            <w:pPr>
              <w:jc w:val="center"/>
            </w:pPr>
          </w:p>
        </w:tc>
        <w:tc>
          <w:tcPr>
            <w:tcW w:w="4261" w:type="dxa"/>
            <w:gridSpan w:val="2"/>
            <w:vAlign w:val="center"/>
          </w:tcPr>
          <w:p w:rsidR="00C3480D" w:rsidRDefault="00C3480D" w:rsidP="007E2E9C">
            <w:pPr>
              <w:jc w:val="center"/>
            </w:pPr>
          </w:p>
        </w:tc>
      </w:tr>
      <w:tr w:rsidR="00C3480D" w:rsidTr="007E2E9C">
        <w:trPr>
          <w:trHeight w:val="1134"/>
        </w:trPr>
        <w:tc>
          <w:tcPr>
            <w:tcW w:w="4261" w:type="dxa"/>
            <w:gridSpan w:val="2"/>
            <w:vAlign w:val="center"/>
          </w:tcPr>
          <w:p w:rsidR="00C3480D" w:rsidRDefault="00C3480D" w:rsidP="007E2E9C">
            <w:pPr>
              <w:jc w:val="center"/>
            </w:pPr>
          </w:p>
        </w:tc>
        <w:tc>
          <w:tcPr>
            <w:tcW w:w="4261" w:type="dxa"/>
            <w:gridSpan w:val="2"/>
            <w:vAlign w:val="center"/>
          </w:tcPr>
          <w:p w:rsidR="00C3480D" w:rsidRDefault="00C3480D" w:rsidP="007E2E9C">
            <w:pPr>
              <w:jc w:val="center"/>
            </w:pPr>
          </w:p>
        </w:tc>
      </w:tr>
      <w:tr w:rsidR="00C3480D" w:rsidTr="007E2E9C">
        <w:trPr>
          <w:trHeight w:val="851"/>
        </w:trPr>
        <w:tc>
          <w:tcPr>
            <w:tcW w:w="8522" w:type="dxa"/>
            <w:gridSpan w:val="4"/>
          </w:tcPr>
          <w:p w:rsidR="00C3480D" w:rsidRDefault="00C3480D" w:rsidP="007E2E9C">
            <w:r>
              <w:rPr>
                <w:rFonts w:hint="eastAsia"/>
              </w:rPr>
              <w:t>备注：</w:t>
            </w:r>
          </w:p>
        </w:tc>
      </w:tr>
    </w:tbl>
    <w:p w:rsidR="007C567A" w:rsidRDefault="007C567A">
      <w:pPr>
        <w:rPr>
          <w:b/>
          <w:sz w:val="36"/>
          <w:szCs w:val="36"/>
        </w:rPr>
      </w:pPr>
    </w:p>
    <w:p w:rsidR="007C567A" w:rsidRDefault="007C567A">
      <w:pPr>
        <w:spacing w:line="420" w:lineRule="exact"/>
      </w:pPr>
    </w:p>
    <w:p w:rsidR="007C567A" w:rsidRDefault="007C567A">
      <w:pPr>
        <w:spacing w:line="420" w:lineRule="exact"/>
      </w:pPr>
    </w:p>
    <w:p w:rsidR="007C567A" w:rsidRDefault="0005747E">
      <w:pPr>
        <w:spacing w:line="420" w:lineRule="exact"/>
      </w:pPr>
      <w:r>
        <w:rPr>
          <w:rFonts w:ascii="黑体" w:eastAsia="黑体" w:hint="eastAsia"/>
          <w:sz w:val="24"/>
        </w:rPr>
        <w:t>1目的</w:t>
      </w:r>
    </w:p>
    <w:p w:rsidR="007C567A" w:rsidRDefault="0005747E">
      <w:pPr>
        <w:spacing w:line="420" w:lineRule="exact"/>
        <w:ind w:firstLineChars="200" w:firstLine="480"/>
        <w:rPr>
          <w:rFonts w:ascii="宋体" w:hAnsi="宋体"/>
          <w:sz w:val="24"/>
        </w:rPr>
      </w:pPr>
      <w:r>
        <w:rPr>
          <w:rFonts w:ascii="宋体" w:hAnsi="宋体" w:cs="宋体" w:hint="eastAsia"/>
          <w:sz w:val="24"/>
        </w:rPr>
        <w:t>本须知旨在明确杭州海事局参与</w:t>
      </w:r>
      <w:r>
        <w:rPr>
          <w:rFonts w:ascii="宋体" w:hAnsi="宋体" w:hint="eastAsia"/>
          <w:sz w:val="24"/>
        </w:rPr>
        <w:t>海洋、海岸工程、拆船厂建设项目的环境影响评价</w:t>
      </w:r>
      <w:r>
        <w:rPr>
          <w:rFonts w:ascii="宋体" w:hAnsi="宋体" w:cs="宋体" w:hint="eastAsia"/>
          <w:sz w:val="24"/>
        </w:rPr>
        <w:t>工作的相关要求，规范</w:t>
      </w:r>
      <w:r>
        <w:rPr>
          <w:rFonts w:ascii="宋体" w:hAnsi="宋体" w:hint="eastAsia"/>
          <w:sz w:val="24"/>
        </w:rPr>
        <w:t>海洋、海岸工程、拆船厂建设项目的环境影响评价工作。</w:t>
      </w:r>
    </w:p>
    <w:p w:rsidR="007C567A" w:rsidRDefault="0005747E">
      <w:pPr>
        <w:spacing w:line="420" w:lineRule="exact"/>
      </w:pPr>
      <w:r>
        <w:rPr>
          <w:rFonts w:ascii="黑体" w:eastAsia="黑体" w:hint="eastAsia"/>
          <w:sz w:val="24"/>
        </w:rPr>
        <w:t>2适用范围</w:t>
      </w:r>
    </w:p>
    <w:p w:rsidR="007C567A" w:rsidRDefault="0005747E">
      <w:pPr>
        <w:pStyle w:val="20"/>
        <w:spacing w:line="420" w:lineRule="exact"/>
        <w:ind w:firstLine="480"/>
        <w:rPr>
          <w:rFonts w:ascii="宋体" w:hAnsi="宋体"/>
          <w:sz w:val="24"/>
        </w:rPr>
      </w:pPr>
      <w:r>
        <w:rPr>
          <w:rFonts w:ascii="宋体" w:hAnsi="宋体" w:hint="eastAsia"/>
          <w:sz w:val="24"/>
        </w:rPr>
        <w:lastRenderedPageBreak/>
        <w:t>本程序适用于</w:t>
      </w:r>
      <w:r>
        <w:rPr>
          <w:rFonts w:ascii="宋体" w:hAnsi="宋体" w:cs="宋体" w:hint="eastAsia"/>
          <w:sz w:val="24"/>
        </w:rPr>
        <w:t>杭州海事局</w:t>
      </w:r>
      <w:r>
        <w:rPr>
          <w:rFonts w:ascii="宋体" w:hAnsi="宋体" w:hint="eastAsia"/>
          <w:sz w:val="24"/>
        </w:rPr>
        <w:t>辖区内的海洋、海岸工程、拆船厂建设项目的环境影响评价</w:t>
      </w:r>
      <w:r>
        <w:rPr>
          <w:rFonts w:ascii="宋体" w:hAnsi="宋体" w:cs="宋体" w:hint="eastAsia"/>
          <w:sz w:val="24"/>
        </w:rPr>
        <w:t>工作。</w:t>
      </w:r>
    </w:p>
    <w:p w:rsidR="007C567A" w:rsidRDefault="0005747E">
      <w:pPr>
        <w:spacing w:line="420" w:lineRule="exact"/>
        <w:rPr>
          <w:rFonts w:ascii="黑体" w:eastAsia="黑体"/>
          <w:sz w:val="24"/>
        </w:rPr>
      </w:pPr>
      <w:r>
        <w:rPr>
          <w:rFonts w:ascii="黑体" w:eastAsia="黑体" w:hint="eastAsia"/>
          <w:sz w:val="24"/>
        </w:rPr>
        <w:t>3职责</w:t>
      </w:r>
    </w:p>
    <w:p w:rsidR="007C567A" w:rsidRDefault="0005747E">
      <w:pPr>
        <w:pStyle w:val="2"/>
        <w:keepNext w:val="0"/>
        <w:keepLines w:val="0"/>
        <w:widowControl w:val="0"/>
        <w:numPr>
          <w:ilvl w:val="0"/>
          <w:numId w:val="0"/>
        </w:numPr>
        <w:tabs>
          <w:tab w:val="left" w:pos="567"/>
        </w:tabs>
        <w:spacing w:line="420" w:lineRule="exact"/>
        <w:rPr>
          <w:rFonts w:ascii="宋体" w:eastAsia="宋体" w:hAnsi="宋体"/>
          <w:b w:val="0"/>
          <w:bCs w:val="0"/>
          <w:kern w:val="2"/>
          <w:sz w:val="24"/>
          <w:szCs w:val="24"/>
        </w:rPr>
      </w:pPr>
      <w:r>
        <w:rPr>
          <w:rFonts w:ascii="宋体" w:eastAsia="宋体" w:hAnsi="宋体" w:hint="eastAsia"/>
          <w:b w:val="0"/>
          <w:bCs w:val="0"/>
          <w:kern w:val="2"/>
          <w:sz w:val="24"/>
          <w:szCs w:val="24"/>
        </w:rPr>
        <w:t xml:space="preserve">    杭州海事局负责参加地（市）相关部门组织的海洋、海岸工程、拆船厂的环境评价工作以及浙江海事局授权参加的环境影响评价工作。</w:t>
      </w:r>
    </w:p>
    <w:p w:rsidR="007C567A" w:rsidRDefault="0005747E">
      <w:pPr>
        <w:spacing w:line="420" w:lineRule="exact"/>
        <w:rPr>
          <w:rFonts w:ascii="黑体" w:eastAsia="黑体"/>
          <w:sz w:val="24"/>
        </w:rPr>
      </w:pPr>
      <w:r>
        <w:rPr>
          <w:rFonts w:ascii="黑体" w:eastAsia="黑体" w:hint="eastAsia"/>
          <w:sz w:val="24"/>
        </w:rPr>
        <w:t>4 工作流程</w:t>
      </w:r>
    </w:p>
    <w:p w:rsidR="007C567A" w:rsidRDefault="0005747E">
      <w:pPr>
        <w:pStyle w:val="1"/>
        <w:keepNext w:val="0"/>
        <w:keepLines w:val="0"/>
        <w:widowControl w:val="0"/>
        <w:spacing w:line="420" w:lineRule="exact"/>
        <w:rPr>
          <w:rFonts w:ascii="宋体" w:eastAsia="宋体" w:hAnsi="宋体"/>
          <w:b w:val="0"/>
          <w:kern w:val="0"/>
          <w:sz w:val="24"/>
          <w:szCs w:val="24"/>
        </w:rPr>
      </w:pPr>
      <w:r>
        <w:rPr>
          <w:rFonts w:ascii="宋体" w:eastAsia="宋体" w:hAnsi="宋体" w:hint="eastAsia"/>
          <w:b w:val="0"/>
          <w:kern w:val="0"/>
          <w:sz w:val="24"/>
          <w:szCs w:val="24"/>
        </w:rPr>
        <w:t>4.1杭州海事局职能部门接到相关项目的环境评价通知后，应及时按照《环境影响评价意见表》格式征求船舶监督处、指挥中心意见，并做好参评前的准备工作。</w:t>
      </w:r>
    </w:p>
    <w:p w:rsidR="007C567A" w:rsidRDefault="0005747E">
      <w:pPr>
        <w:pStyle w:val="1"/>
        <w:keepNext w:val="0"/>
        <w:keepLines w:val="0"/>
        <w:widowControl w:val="0"/>
        <w:spacing w:line="420" w:lineRule="exact"/>
        <w:rPr>
          <w:rFonts w:ascii="宋体" w:eastAsia="宋体" w:hAnsi="宋体"/>
          <w:b w:val="0"/>
          <w:kern w:val="0"/>
          <w:sz w:val="24"/>
          <w:szCs w:val="24"/>
        </w:rPr>
      </w:pPr>
      <w:r>
        <w:rPr>
          <w:rFonts w:ascii="宋体" w:eastAsia="宋体" w:hAnsi="宋体" w:hint="eastAsia"/>
          <w:b w:val="0"/>
          <w:kern w:val="0"/>
          <w:sz w:val="24"/>
          <w:szCs w:val="24"/>
        </w:rPr>
        <w:t>4.2参加环境评价专家咨询会或评审会，审阅环境风险评价报告后，根据法律法规要求，结合报告内容提出有关工程施工作业、通航环境评估、溢油风险及扩散预测、施工期运营期船舶污染物接收处置和船舶污染应急处置等要求。</w:t>
      </w:r>
    </w:p>
    <w:p w:rsidR="007C567A" w:rsidRDefault="0005747E">
      <w:pPr>
        <w:pStyle w:val="1"/>
        <w:keepNext w:val="0"/>
        <w:keepLines w:val="0"/>
        <w:widowControl w:val="0"/>
        <w:spacing w:line="420" w:lineRule="exact"/>
        <w:rPr>
          <w:rFonts w:ascii="宋体" w:eastAsia="宋体" w:hAnsi="宋体"/>
          <w:b w:val="0"/>
          <w:kern w:val="0"/>
          <w:sz w:val="24"/>
          <w:szCs w:val="24"/>
        </w:rPr>
      </w:pPr>
      <w:r>
        <w:rPr>
          <w:rFonts w:ascii="宋体" w:eastAsia="宋体" w:hAnsi="宋体" w:hint="eastAsia"/>
          <w:b w:val="0"/>
          <w:kern w:val="0"/>
          <w:sz w:val="24"/>
          <w:szCs w:val="24"/>
        </w:rPr>
        <w:t>4.3评审结束后，应及时在《环境影响评价意见表》中填写评审情况。</w:t>
      </w:r>
    </w:p>
    <w:p w:rsidR="007C567A" w:rsidRDefault="0005747E">
      <w:pPr>
        <w:pStyle w:val="1"/>
        <w:keepNext w:val="0"/>
        <w:keepLines w:val="0"/>
        <w:widowControl w:val="0"/>
        <w:spacing w:line="420" w:lineRule="exact"/>
        <w:rPr>
          <w:rFonts w:ascii="宋体" w:eastAsia="宋体" w:hAnsi="宋体"/>
          <w:b w:val="0"/>
          <w:kern w:val="0"/>
          <w:sz w:val="24"/>
          <w:szCs w:val="24"/>
        </w:rPr>
      </w:pPr>
      <w:r>
        <w:rPr>
          <w:rFonts w:ascii="宋体" w:eastAsia="宋体" w:hAnsi="宋体" w:hint="eastAsia"/>
          <w:b w:val="0"/>
          <w:kern w:val="0"/>
          <w:sz w:val="24"/>
          <w:szCs w:val="24"/>
        </w:rPr>
        <w:t>4</w:t>
      </w:r>
      <w:r>
        <w:rPr>
          <w:rFonts w:ascii="宋体" w:eastAsia="宋体" w:hAnsi="宋体"/>
          <w:b w:val="0"/>
          <w:kern w:val="0"/>
          <w:sz w:val="24"/>
          <w:szCs w:val="24"/>
        </w:rPr>
        <w:t>.</w:t>
      </w:r>
      <w:r>
        <w:rPr>
          <w:rFonts w:ascii="宋体" w:eastAsia="宋体" w:hAnsi="宋体" w:hint="eastAsia"/>
          <w:b w:val="0"/>
          <w:kern w:val="0"/>
          <w:sz w:val="24"/>
          <w:szCs w:val="24"/>
        </w:rPr>
        <w:t>4参评单位应及时将《环境影响报告书》、评审报告、《环境影响评价意见表》等资料归档保存，并做好与港口、码头、装卸站以及从事船舶修造、打捞、拆解等作业活动单位的船舶污染防治能力建设工作的有效衔接。</w:t>
      </w:r>
    </w:p>
    <w:p w:rsidR="007C567A" w:rsidRDefault="0005747E">
      <w:pPr>
        <w:pStyle w:val="1"/>
        <w:keepNext w:val="0"/>
        <w:keepLines w:val="0"/>
        <w:widowControl w:val="0"/>
        <w:spacing w:line="420" w:lineRule="exact"/>
        <w:rPr>
          <w:rFonts w:ascii="宋体" w:eastAsia="宋体" w:hAnsi="宋体"/>
          <w:b w:val="0"/>
          <w:kern w:val="0"/>
          <w:sz w:val="24"/>
          <w:szCs w:val="24"/>
        </w:rPr>
      </w:pPr>
      <w:r>
        <w:rPr>
          <w:rFonts w:ascii="宋体" w:eastAsia="宋体" w:hAnsi="宋体" w:hint="eastAsia"/>
          <w:b w:val="0"/>
          <w:kern w:val="0"/>
          <w:sz w:val="24"/>
          <w:szCs w:val="24"/>
        </w:rPr>
        <w:t>4.5受浙江海事局授权参会的应于会后3天内将《环境影响评价意见表》复印件提交浙江海事局备案保存。</w:t>
      </w:r>
    </w:p>
    <w:p w:rsidR="007C567A" w:rsidRDefault="0005747E">
      <w:pPr>
        <w:pStyle w:val="1"/>
        <w:keepNext w:val="0"/>
        <w:keepLines w:val="0"/>
        <w:widowControl w:val="0"/>
        <w:spacing w:line="420" w:lineRule="exact"/>
        <w:rPr>
          <w:rFonts w:ascii="宋体" w:eastAsia="宋体" w:hAnsi="宋体"/>
          <w:b w:val="0"/>
          <w:color w:val="FF0000"/>
          <w:kern w:val="0"/>
          <w:sz w:val="24"/>
          <w:szCs w:val="24"/>
        </w:rPr>
      </w:pPr>
      <w:r>
        <w:rPr>
          <w:rFonts w:ascii="宋体" w:eastAsia="宋体" w:hAnsi="宋体" w:hint="eastAsia"/>
          <w:b w:val="0"/>
          <w:kern w:val="0"/>
          <w:sz w:val="24"/>
          <w:szCs w:val="24"/>
        </w:rPr>
        <w:t>4.6杭州海事局职能部门参加所负责的环境影响评价工作后应及时将相关情况向浙江海事局职能部门汇报。</w:t>
      </w:r>
    </w:p>
    <w:p w:rsidR="007C567A" w:rsidRDefault="0005747E">
      <w:pPr>
        <w:spacing w:line="420" w:lineRule="exact"/>
        <w:rPr>
          <w:rFonts w:ascii="黑体" w:eastAsia="黑体"/>
          <w:sz w:val="24"/>
        </w:rPr>
      </w:pPr>
      <w:r>
        <w:rPr>
          <w:rFonts w:ascii="黑体" w:eastAsia="黑体" w:hint="eastAsia"/>
          <w:sz w:val="24"/>
        </w:rPr>
        <w:t>5记录</w:t>
      </w:r>
    </w:p>
    <w:p w:rsidR="007C567A" w:rsidRDefault="0005747E">
      <w:pPr>
        <w:pStyle w:val="1"/>
        <w:keepNext w:val="0"/>
        <w:keepLines w:val="0"/>
        <w:widowControl w:val="0"/>
        <w:spacing w:line="420" w:lineRule="exact"/>
        <w:ind w:firstLineChars="200" w:firstLine="480"/>
        <w:rPr>
          <w:rFonts w:ascii="宋体" w:eastAsia="宋体" w:hAnsi="宋体"/>
          <w:b w:val="0"/>
          <w:kern w:val="0"/>
          <w:sz w:val="24"/>
          <w:szCs w:val="24"/>
        </w:rPr>
      </w:pPr>
      <w:r>
        <w:rPr>
          <w:rFonts w:ascii="宋体" w:eastAsia="宋体" w:hAnsi="宋体" w:hint="eastAsia"/>
          <w:b w:val="0"/>
          <w:kern w:val="0"/>
          <w:sz w:val="24"/>
          <w:szCs w:val="24"/>
        </w:rPr>
        <w:t>《环境影响报告意见表》</w:t>
      </w:r>
    </w:p>
    <w:p w:rsidR="007C567A" w:rsidRDefault="0005747E">
      <w:pPr>
        <w:spacing w:line="420" w:lineRule="exact"/>
      </w:pPr>
      <w:r>
        <w:rPr>
          <w:rFonts w:ascii="黑体" w:eastAsia="黑体" w:hint="eastAsia"/>
          <w:sz w:val="24"/>
        </w:rPr>
        <w:t>6支持性文件</w:t>
      </w:r>
    </w:p>
    <w:p w:rsidR="007C567A" w:rsidRDefault="0005747E">
      <w:pPr>
        <w:pStyle w:val="1"/>
        <w:keepNext w:val="0"/>
        <w:keepLines w:val="0"/>
        <w:widowControl w:val="0"/>
        <w:spacing w:line="420" w:lineRule="exact"/>
        <w:rPr>
          <w:rFonts w:ascii="宋体" w:eastAsia="宋体" w:hAnsi="宋体"/>
          <w:b w:val="0"/>
          <w:sz w:val="24"/>
          <w:szCs w:val="24"/>
        </w:rPr>
      </w:pPr>
      <w:r>
        <w:rPr>
          <w:rFonts w:ascii="宋体" w:eastAsia="宋体" w:hAnsi="宋体" w:hint="eastAsia"/>
          <w:b w:val="0"/>
          <w:sz w:val="24"/>
          <w:szCs w:val="24"/>
        </w:rPr>
        <w:t>6.1《中华人民共和国海洋环境保护法》</w:t>
      </w:r>
    </w:p>
    <w:p w:rsidR="007C567A" w:rsidRDefault="0005747E">
      <w:pPr>
        <w:pStyle w:val="1"/>
        <w:keepNext w:val="0"/>
        <w:keepLines w:val="0"/>
        <w:widowControl w:val="0"/>
        <w:spacing w:line="420" w:lineRule="exact"/>
        <w:rPr>
          <w:rFonts w:ascii="宋体" w:eastAsia="宋体" w:hAnsi="宋体"/>
          <w:b w:val="0"/>
          <w:sz w:val="24"/>
          <w:szCs w:val="24"/>
        </w:rPr>
      </w:pPr>
      <w:r>
        <w:rPr>
          <w:rFonts w:ascii="宋体" w:eastAsia="宋体" w:hAnsi="宋体" w:hint="eastAsia"/>
          <w:b w:val="0"/>
          <w:sz w:val="24"/>
          <w:szCs w:val="24"/>
        </w:rPr>
        <w:t>6.2</w:t>
      </w:r>
      <w:r>
        <w:rPr>
          <w:rFonts w:ascii="宋体" w:eastAsia="宋体" w:hAnsi="宋体"/>
          <w:b w:val="0"/>
          <w:sz w:val="24"/>
          <w:szCs w:val="24"/>
        </w:rPr>
        <w:t>《</w:t>
      </w:r>
      <w:r>
        <w:rPr>
          <w:rFonts w:ascii="宋体" w:eastAsia="宋体" w:hAnsi="宋体" w:hint="eastAsia"/>
          <w:b w:val="0"/>
          <w:sz w:val="24"/>
          <w:szCs w:val="24"/>
        </w:rPr>
        <w:t>防治船舶污染海洋环境管理条例</w:t>
      </w:r>
      <w:r>
        <w:rPr>
          <w:rFonts w:ascii="宋体" w:eastAsia="宋体" w:hAnsi="宋体"/>
          <w:b w:val="0"/>
          <w:sz w:val="24"/>
          <w:szCs w:val="24"/>
        </w:rPr>
        <w:t>》</w:t>
      </w:r>
    </w:p>
    <w:p w:rsidR="007C567A" w:rsidRDefault="0005747E">
      <w:pPr>
        <w:pStyle w:val="1"/>
        <w:keepNext w:val="0"/>
        <w:keepLines w:val="0"/>
        <w:widowControl w:val="0"/>
        <w:spacing w:line="420" w:lineRule="exact"/>
        <w:rPr>
          <w:rFonts w:ascii="宋体" w:eastAsia="宋体" w:hAnsi="宋体"/>
          <w:b w:val="0"/>
          <w:sz w:val="24"/>
          <w:szCs w:val="24"/>
        </w:rPr>
      </w:pPr>
      <w:r>
        <w:rPr>
          <w:rFonts w:ascii="宋体" w:eastAsia="宋体" w:hAnsi="宋体" w:hint="eastAsia"/>
          <w:b w:val="0"/>
          <w:sz w:val="24"/>
          <w:szCs w:val="24"/>
        </w:rPr>
        <w:t>6.3《中华人民共和国船舶及其有关作业活动污染海洋环境防治管理规定》</w:t>
      </w:r>
    </w:p>
    <w:p w:rsidR="007C567A" w:rsidRDefault="0005747E">
      <w:pPr>
        <w:pStyle w:val="1"/>
        <w:keepNext w:val="0"/>
        <w:keepLines w:val="0"/>
        <w:widowControl w:val="0"/>
        <w:spacing w:line="420" w:lineRule="exact"/>
        <w:rPr>
          <w:rFonts w:ascii="宋体" w:eastAsia="宋体" w:hAnsi="宋体"/>
          <w:b w:val="0"/>
          <w:sz w:val="24"/>
          <w:szCs w:val="24"/>
        </w:rPr>
      </w:pPr>
      <w:r>
        <w:rPr>
          <w:rFonts w:ascii="宋体" w:eastAsia="宋体" w:hAnsi="宋体" w:hint="eastAsia"/>
          <w:b w:val="0"/>
          <w:sz w:val="24"/>
          <w:szCs w:val="24"/>
        </w:rPr>
        <w:t>6.4</w:t>
      </w:r>
      <w:r>
        <w:rPr>
          <w:rFonts w:ascii="宋体" w:eastAsia="宋体" w:hAnsi="宋体"/>
          <w:b w:val="0"/>
          <w:sz w:val="24"/>
          <w:szCs w:val="24"/>
        </w:rPr>
        <w:t>《中华人民共和国水污染防治法》</w:t>
      </w:r>
    </w:p>
    <w:p w:rsidR="007C567A" w:rsidRDefault="0005747E">
      <w:pPr>
        <w:pStyle w:val="1"/>
        <w:keepNext w:val="0"/>
        <w:keepLines w:val="0"/>
        <w:widowControl w:val="0"/>
        <w:spacing w:line="420" w:lineRule="exact"/>
        <w:rPr>
          <w:rFonts w:ascii="宋体" w:eastAsia="宋体" w:hAnsi="宋体"/>
          <w:b w:val="0"/>
          <w:sz w:val="24"/>
          <w:szCs w:val="24"/>
        </w:rPr>
      </w:pPr>
      <w:r>
        <w:rPr>
          <w:rFonts w:ascii="宋体" w:eastAsia="宋体" w:hAnsi="宋体" w:hint="eastAsia"/>
          <w:b w:val="0"/>
          <w:sz w:val="24"/>
          <w:szCs w:val="24"/>
        </w:rPr>
        <w:t>6.5《中华人民共和国环境影响评价法》</w:t>
      </w:r>
    </w:p>
    <w:p w:rsidR="007C567A" w:rsidRDefault="0005747E">
      <w:pPr>
        <w:pStyle w:val="1"/>
        <w:keepNext w:val="0"/>
        <w:keepLines w:val="0"/>
        <w:widowControl w:val="0"/>
        <w:spacing w:line="420" w:lineRule="exact"/>
        <w:rPr>
          <w:rFonts w:ascii="宋体" w:eastAsia="宋体" w:hAnsi="宋体"/>
          <w:b w:val="0"/>
          <w:sz w:val="24"/>
          <w:szCs w:val="24"/>
        </w:rPr>
      </w:pPr>
      <w:r>
        <w:rPr>
          <w:rFonts w:ascii="宋体" w:eastAsia="宋体" w:hAnsi="宋体" w:hint="eastAsia"/>
          <w:b w:val="0"/>
          <w:sz w:val="24"/>
          <w:szCs w:val="24"/>
        </w:rPr>
        <w:t>6.6《防治海洋工程建设项目污染损害海洋环境管理条例》</w:t>
      </w:r>
    </w:p>
    <w:p w:rsidR="007C567A" w:rsidRDefault="0005747E">
      <w:pPr>
        <w:pStyle w:val="1"/>
        <w:keepNext w:val="0"/>
        <w:keepLines w:val="0"/>
        <w:widowControl w:val="0"/>
        <w:spacing w:line="420" w:lineRule="exact"/>
        <w:rPr>
          <w:rFonts w:ascii="宋体" w:eastAsia="宋体" w:hAnsi="宋体"/>
          <w:b w:val="0"/>
          <w:sz w:val="24"/>
          <w:szCs w:val="24"/>
        </w:rPr>
      </w:pPr>
      <w:r>
        <w:rPr>
          <w:rFonts w:ascii="宋体" w:eastAsia="宋体" w:hAnsi="宋体" w:hint="eastAsia"/>
          <w:b w:val="0"/>
          <w:sz w:val="24"/>
          <w:szCs w:val="24"/>
        </w:rPr>
        <w:t>6.7《中华人民共和国防治海岸工程建设项目污染损害海洋环境管理条例》</w:t>
      </w:r>
    </w:p>
    <w:p w:rsidR="007C567A" w:rsidRDefault="007C567A">
      <w:pPr>
        <w:pStyle w:val="2"/>
        <w:keepNext w:val="0"/>
        <w:keepLines w:val="0"/>
        <w:widowControl w:val="0"/>
        <w:numPr>
          <w:ilvl w:val="0"/>
          <w:numId w:val="0"/>
        </w:numPr>
        <w:tabs>
          <w:tab w:val="left" w:pos="567"/>
        </w:tabs>
        <w:spacing w:line="420" w:lineRule="exact"/>
        <w:ind w:left="566" w:hangingChars="236" w:hanging="566"/>
        <w:rPr>
          <w:rFonts w:ascii="宋体" w:eastAsia="宋体" w:hAnsi="宋体"/>
          <w:b w:val="0"/>
          <w:sz w:val="24"/>
          <w:szCs w:val="24"/>
          <w:u w:val="single"/>
        </w:rPr>
      </w:pPr>
    </w:p>
    <w:p w:rsidR="007C567A" w:rsidRDefault="007C567A">
      <w:pPr>
        <w:widowControl/>
        <w:jc w:val="left"/>
        <w:rPr>
          <w:rFonts w:ascii="宋体" w:hAnsi="宋体"/>
          <w:sz w:val="24"/>
        </w:rPr>
      </w:pPr>
    </w:p>
    <w:p w:rsidR="002B70C1" w:rsidRDefault="002B70C1">
      <w:pPr>
        <w:widowControl/>
        <w:jc w:val="left"/>
        <w:rPr>
          <w:rFonts w:ascii="宋体" w:hAnsi="宋体"/>
          <w:sz w:val="24"/>
        </w:rPr>
      </w:pPr>
    </w:p>
    <w:p w:rsidR="002B70C1" w:rsidRDefault="002B70C1">
      <w:pPr>
        <w:widowControl/>
        <w:jc w:val="left"/>
        <w:rPr>
          <w:rFonts w:ascii="宋体" w:hAnsi="宋体"/>
          <w:sz w:val="24"/>
        </w:rPr>
      </w:pPr>
    </w:p>
    <w:p w:rsidR="002B70C1" w:rsidRDefault="002B70C1">
      <w:pPr>
        <w:widowControl/>
        <w:jc w:val="left"/>
        <w:rPr>
          <w:rFonts w:ascii="宋体" w:hAnsi="宋体"/>
          <w:sz w:val="24"/>
        </w:rPr>
      </w:pPr>
    </w:p>
    <w:p w:rsidR="002B70C1" w:rsidRDefault="002B70C1">
      <w:pPr>
        <w:widowControl/>
        <w:jc w:val="left"/>
        <w:rPr>
          <w:rFonts w:ascii="宋体" w:hAnsi="宋体"/>
          <w:sz w:val="24"/>
        </w:rPr>
      </w:pPr>
    </w:p>
    <w:p w:rsidR="002B70C1" w:rsidRDefault="002B70C1">
      <w:pPr>
        <w:widowControl/>
        <w:jc w:val="left"/>
        <w:rPr>
          <w:rFonts w:ascii="宋体" w:hAnsi="宋体"/>
          <w:sz w:val="24"/>
        </w:rPr>
      </w:pPr>
    </w:p>
    <w:p w:rsidR="007C567A" w:rsidRDefault="00C3480D">
      <w:pPr>
        <w:widowControl/>
        <w:jc w:val="left"/>
        <w:rPr>
          <w:rFonts w:ascii="宋体" w:hAnsi="宋体"/>
          <w:sz w:val="24"/>
        </w:rPr>
      </w:pPr>
      <w:r>
        <w:rPr>
          <w:rFonts w:ascii="宋体" w:hAnsi="宋体" w:hint="eastAsia"/>
          <w:noProof/>
          <w:sz w:val="24"/>
        </w:rPr>
        <w:drawing>
          <wp:anchor distT="0" distB="0" distL="114300" distR="114300" simplePos="0" relativeHeight="251658240" behindDoc="0" locked="0" layoutInCell="1" allowOverlap="1">
            <wp:simplePos x="0" y="0"/>
            <wp:positionH relativeFrom="column">
              <wp:posOffset>1276350</wp:posOffset>
            </wp:positionH>
            <wp:positionV relativeFrom="paragraph">
              <wp:posOffset>87630</wp:posOffset>
            </wp:positionV>
            <wp:extent cx="1943100" cy="5848350"/>
            <wp:effectExtent l="19050" t="0" r="0" b="0"/>
            <wp:wrapNone/>
            <wp:docPr id="4" name="图片 3" descr="C:\Users\zy\Deskto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Desktop\1.bmp"/>
                    <pic:cNvPicPr>
                      <a:picLocks noChangeAspect="1" noChangeArrowheads="1"/>
                    </pic:cNvPicPr>
                  </pic:nvPicPr>
                  <pic:blipFill>
                    <a:blip r:embed="rId8" cstate="print"/>
                    <a:srcRect/>
                    <a:stretch>
                      <a:fillRect/>
                    </a:stretch>
                  </pic:blipFill>
                  <pic:spPr bwMode="auto">
                    <a:xfrm>
                      <a:off x="0" y="0"/>
                      <a:ext cx="1943100" cy="5848350"/>
                    </a:xfrm>
                    <a:prstGeom prst="rect">
                      <a:avLst/>
                    </a:prstGeom>
                    <a:noFill/>
                    <a:ln w="9525">
                      <a:noFill/>
                      <a:miter lim="800000"/>
                      <a:headEnd/>
                      <a:tailEnd/>
                    </a:ln>
                  </pic:spPr>
                </pic:pic>
              </a:graphicData>
            </a:graphic>
          </wp:anchor>
        </w:drawing>
      </w:r>
      <w:r w:rsidR="002B70C1">
        <w:rPr>
          <w:rFonts w:ascii="宋体" w:hAnsi="宋体" w:hint="eastAsia"/>
          <w:sz w:val="24"/>
        </w:rPr>
        <w:t>7.流程图</w:t>
      </w:r>
    </w:p>
    <w:p w:rsidR="002B70C1" w:rsidRDefault="002B70C1">
      <w:pPr>
        <w:widowControl/>
        <w:jc w:val="left"/>
        <w:rPr>
          <w:rFonts w:ascii="宋体" w:hAnsi="宋体"/>
          <w:sz w:val="24"/>
        </w:rPr>
      </w:pPr>
    </w:p>
    <w:p w:rsidR="002B70C1" w:rsidRDefault="002B70C1">
      <w:pPr>
        <w:widowControl/>
        <w:jc w:val="left"/>
        <w:rPr>
          <w:rFonts w:ascii="宋体" w:hAnsi="宋体"/>
          <w:sz w:val="24"/>
        </w:rPr>
      </w:pPr>
    </w:p>
    <w:p w:rsidR="002B70C1" w:rsidRDefault="002B70C1">
      <w:pPr>
        <w:widowControl/>
        <w:jc w:val="left"/>
        <w:rPr>
          <w:rFonts w:ascii="宋体" w:hAnsi="宋体"/>
          <w:sz w:val="24"/>
        </w:rPr>
      </w:pPr>
    </w:p>
    <w:p w:rsidR="002B70C1" w:rsidRDefault="002B70C1">
      <w:pPr>
        <w:widowControl/>
        <w:jc w:val="left"/>
        <w:rPr>
          <w:rFonts w:ascii="宋体" w:hAnsi="宋体"/>
          <w:sz w:val="24"/>
        </w:rPr>
      </w:pPr>
    </w:p>
    <w:p w:rsidR="002B70C1" w:rsidRDefault="002B70C1" w:rsidP="002B70C1">
      <w:pPr>
        <w:widowControl/>
        <w:jc w:val="center"/>
        <w:rPr>
          <w:rFonts w:ascii="宋体" w:hAnsi="宋体"/>
          <w:sz w:val="24"/>
        </w:rPr>
      </w:pPr>
    </w:p>
    <w:p w:rsidR="002B70C1" w:rsidRDefault="002B70C1">
      <w:pPr>
        <w:widowControl/>
        <w:jc w:val="left"/>
        <w:rPr>
          <w:rFonts w:ascii="宋体" w:hAnsi="宋体"/>
          <w:sz w:val="24"/>
        </w:rPr>
      </w:pPr>
    </w:p>
    <w:p w:rsidR="002B70C1" w:rsidRDefault="002B70C1">
      <w:pPr>
        <w:widowControl/>
        <w:jc w:val="left"/>
        <w:rPr>
          <w:rFonts w:ascii="宋体" w:hAnsi="宋体"/>
          <w:sz w:val="24"/>
        </w:rPr>
      </w:pPr>
    </w:p>
    <w:p w:rsidR="002B70C1" w:rsidRDefault="002B70C1">
      <w:pPr>
        <w:widowControl/>
        <w:jc w:val="left"/>
        <w:rPr>
          <w:rFonts w:ascii="宋体" w:hAnsi="宋体"/>
          <w:sz w:val="24"/>
        </w:rPr>
      </w:pPr>
    </w:p>
    <w:p w:rsidR="002B70C1" w:rsidRDefault="002B70C1">
      <w:pPr>
        <w:widowControl/>
        <w:jc w:val="left"/>
        <w:rPr>
          <w:rFonts w:ascii="宋体" w:hAnsi="宋体"/>
          <w:sz w:val="24"/>
        </w:rPr>
      </w:pPr>
    </w:p>
    <w:p w:rsidR="002B70C1" w:rsidRDefault="002B70C1">
      <w:pPr>
        <w:widowControl/>
        <w:jc w:val="left"/>
        <w:rPr>
          <w:rFonts w:ascii="宋体" w:hAnsi="宋体"/>
          <w:sz w:val="24"/>
        </w:rPr>
      </w:pPr>
    </w:p>
    <w:p w:rsidR="002B70C1" w:rsidRDefault="002B70C1">
      <w:pPr>
        <w:widowControl/>
        <w:jc w:val="left"/>
        <w:rPr>
          <w:rFonts w:ascii="宋体" w:hAnsi="宋体"/>
          <w:sz w:val="24"/>
        </w:rPr>
      </w:pPr>
    </w:p>
    <w:p w:rsidR="002B70C1" w:rsidRDefault="002B70C1">
      <w:pPr>
        <w:widowControl/>
        <w:jc w:val="left"/>
        <w:rPr>
          <w:rFonts w:ascii="宋体" w:hAnsi="宋体"/>
          <w:sz w:val="24"/>
        </w:rPr>
      </w:pPr>
    </w:p>
    <w:p w:rsidR="002B70C1" w:rsidRDefault="002B70C1">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C3480D" w:rsidRDefault="00C3480D">
      <w:pPr>
        <w:widowControl/>
        <w:jc w:val="left"/>
        <w:rPr>
          <w:rFonts w:ascii="宋体" w:hAnsi="宋体"/>
          <w:sz w:val="24"/>
        </w:rPr>
      </w:pPr>
    </w:p>
    <w:p w:rsidR="002B70C1" w:rsidRPr="00F35C64" w:rsidRDefault="002B70C1" w:rsidP="002B70C1">
      <w:pPr>
        <w:widowControl/>
        <w:jc w:val="center"/>
        <w:rPr>
          <w:rFonts w:ascii="宋体" w:hAnsi="宋体"/>
          <w:b/>
          <w:bCs/>
          <w:kern w:val="0"/>
          <w:sz w:val="24"/>
        </w:rPr>
      </w:pPr>
    </w:p>
    <w:sectPr w:rsidR="002B70C1" w:rsidRPr="00F35C64" w:rsidSect="007C567A">
      <w:headerReference w:type="even" r:id="rId9"/>
      <w:headerReference w:type="default" r:id="rId10"/>
      <w:head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251F" w:rsidRDefault="00FF251F" w:rsidP="007C567A">
      <w:r>
        <w:separator/>
      </w:r>
    </w:p>
  </w:endnote>
  <w:endnote w:type="continuationSeparator" w:id="0">
    <w:p w:rsidR="00FF251F" w:rsidRDefault="00FF251F" w:rsidP="007C56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251F" w:rsidRDefault="00FF251F" w:rsidP="007C567A">
      <w:r>
        <w:separator/>
      </w:r>
    </w:p>
  </w:footnote>
  <w:footnote w:type="continuationSeparator" w:id="0">
    <w:p w:rsidR="00FF251F" w:rsidRDefault="00FF251F" w:rsidP="007C56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67A" w:rsidRDefault="007C567A">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67A" w:rsidRDefault="007C567A">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67A" w:rsidRDefault="007C567A">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decimal"/>
      <w:lvlText w:val="%1."/>
      <w:lvlJc w:val="left"/>
      <w:pPr>
        <w:tabs>
          <w:tab w:val="left" w:pos="425"/>
        </w:tabs>
        <w:ind w:left="425" w:hanging="425"/>
      </w:pPr>
      <w:rPr>
        <w:rFonts w:hint="eastAsia"/>
      </w:rPr>
    </w:lvl>
    <w:lvl w:ilvl="1">
      <w:start w:val="1"/>
      <w:numFmt w:val="decimal"/>
      <w:pStyle w:val="2"/>
      <w:lvlText w:val="%1.%2"/>
      <w:lvlJc w:val="left"/>
      <w:pPr>
        <w:tabs>
          <w:tab w:val="left" w:pos="851"/>
        </w:tabs>
        <w:ind w:left="851" w:hanging="567"/>
      </w:pPr>
      <w:rPr>
        <w:rFonts w:hint="eastAsia"/>
      </w:rPr>
    </w:lvl>
    <w:lvl w:ilvl="2">
      <w:start w:val="1"/>
      <w:numFmt w:val="decimal"/>
      <w:lvlText w:val="%1.%2.%3"/>
      <w:lvlJc w:val="left"/>
      <w:pPr>
        <w:tabs>
          <w:tab w:val="left" w:pos="2356"/>
        </w:tabs>
        <w:ind w:left="1985" w:hanging="709"/>
      </w:pPr>
      <w:rPr>
        <w:rFonts w:hint="eastAsia"/>
      </w:rPr>
    </w:lvl>
    <w:lvl w:ilvl="3">
      <w:start w:val="1"/>
      <w:numFmt w:val="decimal"/>
      <w:lvlText w:val="%1.%2.%3.%4"/>
      <w:lvlJc w:val="left"/>
      <w:pPr>
        <w:tabs>
          <w:tab w:val="left" w:pos="1080"/>
        </w:tabs>
        <w:ind w:left="851" w:hanging="851"/>
      </w:pPr>
      <w:rPr>
        <w:rFonts w:hint="eastAsia"/>
      </w:rPr>
    </w:lvl>
    <w:lvl w:ilvl="4">
      <w:start w:val="1"/>
      <w:numFmt w:val="decimal"/>
      <w:lvlText w:val="%1.%2.%3.%4.%5"/>
      <w:lvlJc w:val="left"/>
      <w:pPr>
        <w:tabs>
          <w:tab w:val="left" w:pos="1440"/>
        </w:tabs>
        <w:ind w:left="992" w:hanging="992"/>
      </w:pPr>
      <w:rPr>
        <w:rFonts w:hint="eastAsia"/>
      </w:rPr>
    </w:lvl>
    <w:lvl w:ilvl="5">
      <w:start w:val="1"/>
      <w:numFmt w:val="decimal"/>
      <w:lvlText w:val="%1.%2.%3.%4.%5.%6"/>
      <w:lvlJc w:val="left"/>
      <w:pPr>
        <w:tabs>
          <w:tab w:val="left" w:pos="1800"/>
        </w:tabs>
        <w:ind w:left="1134" w:hanging="1134"/>
      </w:pPr>
      <w:rPr>
        <w:rFonts w:hint="eastAsia"/>
      </w:rPr>
    </w:lvl>
    <w:lvl w:ilvl="6">
      <w:start w:val="1"/>
      <w:numFmt w:val="decimal"/>
      <w:lvlText w:val="%1.%2.%3.%4.%5.%6.%7"/>
      <w:lvlJc w:val="left"/>
      <w:pPr>
        <w:tabs>
          <w:tab w:val="left" w:pos="2160"/>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56033"/>
    <w:rsid w:val="0005747E"/>
    <w:rsid w:val="002B70C1"/>
    <w:rsid w:val="00353005"/>
    <w:rsid w:val="003B4E2F"/>
    <w:rsid w:val="00403F67"/>
    <w:rsid w:val="00550E9E"/>
    <w:rsid w:val="00756033"/>
    <w:rsid w:val="007A4996"/>
    <w:rsid w:val="007C567A"/>
    <w:rsid w:val="00845AF8"/>
    <w:rsid w:val="009216A5"/>
    <w:rsid w:val="00BA66E2"/>
    <w:rsid w:val="00C3480D"/>
    <w:rsid w:val="00EB7E0C"/>
    <w:rsid w:val="00F35C64"/>
    <w:rsid w:val="00F5392A"/>
    <w:rsid w:val="00FF251F"/>
    <w:rsid w:val="00FF4F34"/>
    <w:rsid w:val="04FB26AB"/>
    <w:rsid w:val="09287185"/>
    <w:rsid w:val="0C0E3C04"/>
    <w:rsid w:val="1AC94B32"/>
    <w:rsid w:val="2FC915BC"/>
    <w:rsid w:val="357608D6"/>
    <w:rsid w:val="35FD71E4"/>
    <w:rsid w:val="45A15B8E"/>
    <w:rsid w:val="45E613E1"/>
    <w:rsid w:val="5BC0269B"/>
    <w:rsid w:val="73813C6D"/>
    <w:rsid w:val="78BC73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C567A"/>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7C567A"/>
    <w:pPr>
      <w:tabs>
        <w:tab w:val="center" w:pos="4153"/>
        <w:tab w:val="right" w:pos="8306"/>
      </w:tabs>
      <w:snapToGrid w:val="0"/>
      <w:jc w:val="left"/>
    </w:pPr>
    <w:rPr>
      <w:sz w:val="18"/>
      <w:szCs w:val="18"/>
    </w:rPr>
  </w:style>
  <w:style w:type="paragraph" w:styleId="a4">
    <w:name w:val="header"/>
    <w:basedOn w:val="a"/>
    <w:qFormat/>
    <w:rsid w:val="007C567A"/>
    <w:pPr>
      <w:pBdr>
        <w:bottom w:val="single" w:sz="6" w:space="1" w:color="auto"/>
      </w:pBdr>
      <w:tabs>
        <w:tab w:val="center" w:pos="4153"/>
        <w:tab w:val="right" w:pos="8306"/>
      </w:tabs>
      <w:snapToGrid w:val="0"/>
      <w:ind w:firstLineChars="200" w:firstLine="200"/>
      <w:jc w:val="center"/>
    </w:pPr>
    <w:rPr>
      <w:rFonts w:ascii="Times New Roman" w:eastAsia="仿宋_GB2312" w:hAnsi="Times New Roman"/>
      <w:kern w:val="0"/>
      <w:sz w:val="18"/>
      <w:szCs w:val="18"/>
    </w:rPr>
  </w:style>
  <w:style w:type="paragraph" w:customStyle="1" w:styleId="20">
    <w:name w:val="正文缩进2"/>
    <w:basedOn w:val="a"/>
    <w:qFormat/>
    <w:rsid w:val="007C567A"/>
    <w:pPr>
      <w:ind w:firstLineChars="200" w:firstLine="420"/>
    </w:pPr>
    <w:rPr>
      <w:rFonts w:ascii="Times New Roman" w:hAnsi="Times New Roman"/>
    </w:rPr>
  </w:style>
  <w:style w:type="paragraph" w:customStyle="1" w:styleId="2">
    <w:name w:val="标2"/>
    <w:basedOn w:val="a"/>
    <w:qFormat/>
    <w:rsid w:val="007C567A"/>
    <w:pPr>
      <w:keepNext/>
      <w:keepLines/>
      <w:widowControl/>
      <w:numPr>
        <w:ilvl w:val="1"/>
        <w:numId w:val="1"/>
      </w:numPr>
      <w:spacing w:line="360" w:lineRule="auto"/>
      <w:jc w:val="left"/>
      <w:outlineLvl w:val="1"/>
    </w:pPr>
    <w:rPr>
      <w:rFonts w:ascii="仿宋_GB2312" w:eastAsia="仿宋_GB2312" w:hAnsi="Arial"/>
      <w:b/>
      <w:bCs/>
      <w:kern w:val="0"/>
      <w:sz w:val="30"/>
      <w:szCs w:val="32"/>
    </w:rPr>
  </w:style>
  <w:style w:type="paragraph" w:customStyle="1" w:styleId="1">
    <w:name w:val="标1"/>
    <w:basedOn w:val="a"/>
    <w:qFormat/>
    <w:rsid w:val="007C567A"/>
    <w:pPr>
      <w:keepNext/>
      <w:keepLines/>
      <w:widowControl/>
      <w:spacing w:line="360" w:lineRule="auto"/>
      <w:jc w:val="left"/>
      <w:outlineLvl w:val="0"/>
    </w:pPr>
    <w:rPr>
      <w:rFonts w:ascii="仿宋_GB2312" w:eastAsia="仿宋_GB2312" w:hAnsi="Times New Roman"/>
      <w:b/>
      <w:bCs/>
      <w:kern w:val="44"/>
      <w:sz w:val="30"/>
      <w:szCs w:val="44"/>
    </w:rPr>
  </w:style>
  <w:style w:type="character" w:customStyle="1" w:styleId="Char">
    <w:name w:val="页脚 Char"/>
    <w:basedOn w:val="a0"/>
    <w:link w:val="a3"/>
    <w:qFormat/>
    <w:rsid w:val="007C567A"/>
    <w:rPr>
      <w:rFonts w:ascii="Calibri" w:hAnsi="Calibri"/>
      <w:kern w:val="2"/>
      <w:sz w:val="18"/>
      <w:szCs w:val="18"/>
    </w:rPr>
  </w:style>
  <w:style w:type="paragraph" w:styleId="a5">
    <w:name w:val="Balloon Text"/>
    <w:basedOn w:val="a"/>
    <w:link w:val="Char0"/>
    <w:rsid w:val="002B70C1"/>
    <w:rPr>
      <w:sz w:val="18"/>
      <w:szCs w:val="18"/>
    </w:rPr>
  </w:style>
  <w:style w:type="character" w:customStyle="1" w:styleId="Char0">
    <w:name w:val="批注框文本 Char"/>
    <w:basedOn w:val="a0"/>
    <w:link w:val="a5"/>
    <w:rsid w:val="002B70C1"/>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许哲磊</cp:lastModifiedBy>
  <cp:revision>10</cp:revision>
  <dcterms:created xsi:type="dcterms:W3CDTF">2014-10-29T12:08:00Z</dcterms:created>
  <dcterms:modified xsi:type="dcterms:W3CDTF">2019-01-14T12:27:00Z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