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53C2A5B"/>
    <w:p w14:paraId="10319E3B">
      <w:pPr>
        <w:jc w:val="center"/>
        <w:rPr>
          <w:rFonts w:ascii="宋体"/>
          <w:b/>
          <w:sz w:val="44"/>
        </w:rPr>
      </w:pPr>
    </w:p>
    <w:p w14:paraId="5A90079C">
      <w:pPr>
        <w:jc w:val="center"/>
        <w:rPr>
          <w:b/>
          <w:sz w:val="44"/>
        </w:rPr>
      </w:pPr>
      <w:r>
        <w:rPr>
          <w:rFonts w:hint="eastAsia" w:ascii="宋体"/>
          <w:b/>
          <w:sz w:val="44"/>
        </w:rPr>
        <w:t>深 圳 大 学 实 验 报 告</w:t>
      </w:r>
    </w:p>
    <w:p w14:paraId="6280E521">
      <w:pPr>
        <w:rPr>
          <w:b/>
          <w:sz w:val="28"/>
        </w:rPr>
      </w:pPr>
    </w:p>
    <w:p w14:paraId="05E30DB1">
      <w:pPr>
        <w:rPr>
          <w:b/>
          <w:sz w:val="28"/>
        </w:rPr>
      </w:pPr>
    </w:p>
    <w:p w14:paraId="7290E596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      计算机图形学              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</w:p>
    <w:p w14:paraId="3BC4A4BA">
      <w:pPr>
        <w:rPr>
          <w:b/>
          <w:sz w:val="28"/>
        </w:rPr>
      </w:pPr>
    </w:p>
    <w:p w14:paraId="01F04984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实验项目名称：</w:t>
      </w:r>
      <w:r>
        <w:rPr>
          <w:rFonts w:hint="eastAsia"/>
          <w:b/>
          <w:sz w:val="28"/>
          <w:u w:val="single"/>
        </w:rPr>
        <w:t xml:space="preserve">  实验四  带纹理的OBJ文件读取和显示      </w:t>
      </w:r>
    </w:p>
    <w:p w14:paraId="7A410D8A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 w14:paraId="2CB15701">
      <w:pPr>
        <w:ind w:left="899" w:leftChars="428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学院：</w:t>
      </w:r>
      <w:r>
        <w:rPr>
          <w:rFonts w:hint="eastAsia"/>
          <w:b/>
          <w:sz w:val="28"/>
          <w:u w:val="single"/>
        </w:rPr>
        <w:t xml:space="preserve">                 计算机与软件学院                                </w:t>
      </w:r>
    </w:p>
    <w:p w14:paraId="2A63931D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490F7988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专业：</w:t>
      </w:r>
      <w:r>
        <w:rPr>
          <w:rFonts w:hint="eastAsia"/>
          <w:b/>
          <w:sz w:val="28"/>
          <w:u w:val="single"/>
        </w:rPr>
        <w:t xml:space="preserve">                 计算机科学与技术       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          </w:t>
      </w:r>
      <w:r>
        <w:rPr>
          <w:rFonts w:hint="eastAsia"/>
          <w:b/>
          <w:sz w:val="28"/>
        </w:rPr>
        <w:t xml:space="preserve">  </w:t>
      </w:r>
    </w:p>
    <w:p w14:paraId="71B62082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730A0DB7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指导教师：</w:t>
      </w:r>
      <w:r>
        <w:rPr>
          <w:rFonts w:hint="eastAsia"/>
          <w:b/>
          <w:sz w:val="28"/>
          <w:u w:val="single"/>
        </w:rPr>
        <w:t xml:space="preserve">                   周虹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                </w:t>
      </w:r>
    </w:p>
    <w:p w14:paraId="63BD144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67C09A53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报告人：</w:t>
      </w:r>
      <w:r>
        <w:rPr>
          <w:rFonts w:hint="eastAsia"/>
          <w:b/>
          <w:sz w:val="28"/>
          <w:u w:val="single"/>
        </w:rPr>
        <w:t xml:space="preserve">  吴嘉楷  </w:t>
      </w:r>
      <w:r>
        <w:rPr>
          <w:rFonts w:hint="eastAsia"/>
          <w:b/>
          <w:sz w:val="28"/>
        </w:rPr>
        <w:t>学号：</w:t>
      </w:r>
      <w:r>
        <w:rPr>
          <w:rFonts w:hint="eastAsia"/>
          <w:b/>
          <w:sz w:val="28"/>
          <w:u w:val="single"/>
        </w:rPr>
        <w:t xml:space="preserve">  2022150168 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 国际班             </w:t>
      </w:r>
      <w:r>
        <w:rPr>
          <w:rFonts w:hint="eastAsia"/>
          <w:b/>
          <w:sz w:val="28"/>
        </w:rPr>
        <w:t xml:space="preserve"> </w:t>
      </w:r>
    </w:p>
    <w:p w14:paraId="62ED3F83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42AA6ADE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实验时间：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b/>
          <w:bCs/>
          <w:color w:val="000000"/>
          <w:sz w:val="28"/>
          <w:szCs w:val="28"/>
          <w:u w:val="single"/>
        </w:rPr>
        <w:t>2024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年</w:t>
      </w:r>
      <w:r>
        <w:rPr>
          <w:rFonts w:cs="宋体"/>
          <w:b/>
          <w:bCs/>
          <w:color w:val="000000"/>
          <w:sz w:val="28"/>
          <w:szCs w:val="28"/>
          <w:u w:val="single"/>
        </w:rPr>
        <w:t>11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月</w:t>
      </w:r>
      <w:r>
        <w:rPr>
          <w:rFonts w:cs="宋体"/>
          <w:b/>
          <w:bCs/>
          <w:color w:val="000000"/>
          <w:sz w:val="28"/>
          <w:szCs w:val="28"/>
          <w:u w:val="single"/>
        </w:rPr>
        <w:t>19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 xml:space="preserve">日 </w:t>
      </w:r>
      <w:r>
        <w:rPr>
          <w:b/>
          <w:bCs/>
          <w:color w:val="000000"/>
          <w:sz w:val="28"/>
          <w:szCs w:val="28"/>
          <w:u w:val="single"/>
        </w:rPr>
        <w:t>-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-</w:t>
      </w:r>
      <w:r>
        <w:rPr>
          <w:b/>
          <w:bCs/>
          <w:color w:val="000000"/>
          <w:sz w:val="28"/>
          <w:szCs w:val="28"/>
          <w:u w:val="single"/>
        </w:rPr>
        <w:t xml:space="preserve"> 2024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年</w:t>
      </w:r>
      <w:r>
        <w:rPr>
          <w:rFonts w:cs="宋体"/>
          <w:b/>
          <w:bCs/>
          <w:color w:val="000000"/>
          <w:sz w:val="28"/>
          <w:szCs w:val="28"/>
          <w:u w:val="single"/>
        </w:rPr>
        <w:t>12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月0</w:t>
      </w:r>
      <w:r>
        <w:rPr>
          <w:rFonts w:cs="宋体"/>
          <w:b/>
          <w:bCs/>
          <w:color w:val="000000"/>
          <w:sz w:val="28"/>
          <w:szCs w:val="28"/>
          <w:u w:val="single"/>
        </w:rPr>
        <w:t>2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 xml:space="preserve">日      </w:t>
      </w:r>
      <w:r>
        <w:rPr>
          <w:rFonts w:hint="eastAsia"/>
          <w:b/>
          <w:sz w:val="28"/>
          <w:u w:val="single"/>
        </w:rPr>
        <w:t xml:space="preserve"> </w:t>
      </w:r>
    </w:p>
    <w:p w14:paraId="1ED29E2B">
      <w:pPr>
        <w:rPr>
          <w:b/>
          <w:sz w:val="28"/>
        </w:rPr>
      </w:pPr>
    </w:p>
    <w:p w14:paraId="110A9118">
      <w:pPr>
        <w:ind w:left="899" w:hanging="900" w:hangingChars="320"/>
        <w:rPr>
          <w:b/>
          <w:sz w:val="44"/>
        </w:rPr>
      </w:pPr>
      <w:r>
        <w:rPr>
          <w:rFonts w:hint="eastAsia"/>
          <w:b/>
          <w:sz w:val="28"/>
        </w:rPr>
        <w:t xml:space="preserve">      实验报告提交时间：</w:t>
      </w:r>
      <w:r>
        <w:rPr>
          <w:rFonts w:hint="eastAsia"/>
          <w:b/>
          <w:sz w:val="28"/>
          <w:u w:val="single"/>
        </w:rPr>
        <w:t xml:space="preserve">     2024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年11月22日 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         </w:t>
      </w:r>
    </w:p>
    <w:p w14:paraId="5D6D0568">
      <w:pPr>
        <w:jc w:val="center"/>
        <w:rPr>
          <w:b/>
          <w:sz w:val="44"/>
        </w:rPr>
      </w:pPr>
    </w:p>
    <w:p w14:paraId="3A754FC2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教务部制</w:t>
      </w:r>
    </w:p>
    <w:tbl>
      <w:tblPr>
        <w:tblStyle w:val="5"/>
        <w:tblW w:w="0" w:type="auto"/>
        <w:tblInd w:w="15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 w14:paraId="0AC226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0" w:hRule="atLeast"/>
        </w:trPr>
        <w:tc>
          <w:tcPr>
            <w:tcW w:w="8220" w:type="dxa"/>
          </w:tcPr>
          <w:p w14:paraId="41818B4F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</w:rPr>
              <w:t>实验目的与要求</w:t>
            </w:r>
            <w:r>
              <w:rPr>
                <w:rFonts w:hint="eastAsia"/>
                <w:sz w:val="24"/>
              </w:rPr>
              <w:t>：</w:t>
            </w:r>
          </w:p>
          <w:p w14:paraId="21CA3AA1">
            <w:pPr>
              <w:numPr>
                <w:ilvl w:val="0"/>
                <w:numId w:val="1"/>
              </w:numPr>
              <w:spacing w:after="156" w:afterLines="50"/>
              <w:rPr>
                <w:szCs w:val="21"/>
              </w:rPr>
            </w:pPr>
            <w:r>
              <w:rPr>
                <w:rFonts w:hint="eastAsia"/>
                <w:szCs w:val="21"/>
              </w:rPr>
              <w:t>了解三维曲面和纹理映基本知识</w:t>
            </w:r>
          </w:p>
          <w:p w14:paraId="6637FFAA">
            <w:pPr>
              <w:numPr>
                <w:ilvl w:val="0"/>
                <w:numId w:val="1"/>
              </w:numPr>
              <w:spacing w:after="156" w:afterLines="50"/>
              <w:rPr>
                <w:szCs w:val="21"/>
              </w:rPr>
            </w:pPr>
            <w:r>
              <w:rPr>
                <w:rFonts w:hint="eastAsia"/>
                <w:szCs w:val="21"/>
              </w:rPr>
              <w:t>了解从图片文件载入纹理数据基本步骤</w:t>
            </w:r>
          </w:p>
          <w:p w14:paraId="0D57FA0C">
            <w:pPr>
              <w:numPr>
                <w:ilvl w:val="0"/>
                <w:numId w:val="1"/>
              </w:numPr>
              <w:spacing w:after="156" w:afterLines="50"/>
              <w:rPr>
                <w:szCs w:val="21"/>
              </w:rPr>
            </w:pPr>
            <w:r>
              <w:rPr>
                <w:rFonts w:hint="eastAsia"/>
                <w:szCs w:val="21"/>
              </w:rPr>
              <w:t>掌握三维曲面绘制过程中纹理坐标和几何坐标的使用</w:t>
            </w:r>
          </w:p>
          <w:p w14:paraId="0320574F">
            <w:pPr>
              <w:numPr>
                <w:ilvl w:val="0"/>
                <w:numId w:val="1"/>
              </w:numPr>
              <w:spacing w:after="156" w:afterLines="50"/>
              <w:rPr>
                <w:szCs w:val="21"/>
              </w:rPr>
            </w:pPr>
            <w:r>
              <w:rPr>
                <w:rFonts w:hint="eastAsia"/>
              </w:rPr>
              <w:t>在程序中读取带纹理的obj文件，载入相应的纹理图片文件，将带纹理的模型显示在程序窗口中。</w:t>
            </w:r>
          </w:p>
        </w:tc>
      </w:tr>
      <w:tr w14:paraId="364E13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35" w:hRule="atLeast"/>
        </w:trPr>
        <w:tc>
          <w:tcPr>
            <w:tcW w:w="8220" w:type="dxa"/>
          </w:tcPr>
          <w:p w14:paraId="555DFDEB">
            <w:pPr>
              <w:spacing w:line="360" w:lineRule="auto"/>
            </w:pPr>
            <w:r>
              <w:rPr>
                <w:rFonts w:hint="eastAsia"/>
              </w:rPr>
              <w:t>实验过程及内容：</w:t>
            </w:r>
          </w:p>
          <w:p w14:paraId="11E2FA94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学习obj文件格式的知识</w:t>
            </w:r>
          </w:p>
          <w:p w14:paraId="4BB3BEA1">
            <w:pPr>
              <w:ind w:firstLine="420" w:firstLineChars="200"/>
            </w:pPr>
            <w:r>
              <w:t>obj文件的每一行都会以一个关键词或者字符开头，“#”开头的为注释内容，“mtllib”开头的关键字后面会跟着要使用的材质文件名字，“usemtl”开头的关键字后面会跟着材质文件中要使用的材质名字，然后下面就跟着顶点的各种数据，每类顶点数据的开头字符都不同</w:t>
            </w:r>
            <w:r>
              <w:rPr>
                <w:rFonts w:hint="eastAsia"/>
              </w:rPr>
              <w:t>：</w:t>
            </w:r>
          </w:p>
          <w:p w14:paraId="49A50F8A">
            <w:pPr>
              <w:ind w:firstLine="420" w:firstLineChars="200"/>
            </w:pPr>
            <w:r>
              <w:t>“v”代表点的几何坐标</w:t>
            </w:r>
            <w:r>
              <w:rPr>
                <w:rFonts w:hint="eastAsia"/>
              </w:rPr>
              <w:t>。</w:t>
            </w:r>
          </w:p>
          <w:p w14:paraId="5C51EDEF">
            <w:pPr>
              <w:ind w:firstLine="420" w:firstLineChars="200"/>
            </w:pPr>
            <w:r>
              <w:t>“vt”代表点的贴图坐标。</w:t>
            </w:r>
          </w:p>
          <w:p w14:paraId="4E21CAA2">
            <w:pPr>
              <w:ind w:firstLine="420" w:firstLineChars="200"/>
            </w:pPr>
            <w:r>
              <w:t>“vn”代表点的法线。</w:t>
            </w:r>
          </w:p>
          <w:p w14:paraId="01677668">
            <w:pPr>
              <w:ind w:firstLine="420" w:firstLineChars="200"/>
            </w:pPr>
            <w:r>
              <w:t>“f”开头表示面的数据，记录的是顶点索引</w:t>
            </w:r>
            <w:r>
              <w:rPr>
                <w:rFonts w:hint="eastAsia"/>
              </w:rPr>
              <w:t>。</w:t>
            </w:r>
          </w:p>
          <w:p w14:paraId="7936272E">
            <w:pPr>
              <w:ind w:firstLine="420" w:firstLineChars="200"/>
            </w:pPr>
            <w:r>
              <w:t>obj文件一般会配套生成一个材质文件（.mtl后缀），如果有纹理的话还有纹理图片。</w:t>
            </w:r>
            <w:r>
              <w:rPr>
                <w:rFonts w:hint="eastAsia"/>
              </w:rPr>
              <w:t>关于</w:t>
            </w:r>
            <w:r>
              <w:t>.mtl材质文件，这个文件里面会记录该模型材质相关的参数，“#”开头的为注释内容，“newmtl”开头的关键字后面会跟着一个名称，作为材质的名字，比如这里就有一个材质名字叫“Material”，后面跟着的内容都是这个材质的信息。</w:t>
            </w:r>
          </w:p>
          <w:p w14:paraId="2D8A00C8">
            <w:pPr>
              <w:ind w:firstLine="420" w:firstLineChars="200"/>
            </w:pPr>
            <w:r>
              <w:rPr>
                <w:rFonts w:hint="eastAsia"/>
              </w:rPr>
              <w:t>“</w:t>
            </w:r>
            <w:r>
              <w:t>Ns”开头的是材质的高光系数，“Ka”是环境光系数，“Ks”是镜面光系数，“Kd”是漫反射系数，“map_Kd”后面跟着的是纹理图片的路径。除此之外可能还会有其他关键字，都是描述材质</w:t>
            </w:r>
            <w:r>
              <w:rPr>
                <w:rFonts w:hint="eastAsia"/>
              </w:rPr>
              <w:t>的</w:t>
            </w:r>
            <w:r>
              <w:t>参数</w:t>
            </w:r>
            <w:r>
              <w:rPr>
                <w:rFonts w:hint="eastAsia"/>
              </w:rPr>
              <w:t>。</w:t>
            </w:r>
          </w:p>
          <w:p w14:paraId="224CBB6B">
            <w:pPr>
              <w:ind w:firstLine="420" w:firstLineChars="200"/>
            </w:pPr>
          </w:p>
          <w:p w14:paraId="74BECBA3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在</w:t>
            </w:r>
            <w:r>
              <w:t>TriMesh.cpp中</w:t>
            </w:r>
            <w:r>
              <w:rPr>
                <w:rFonts w:hint="eastAsia"/>
              </w:rPr>
              <w:t>补全</w:t>
            </w:r>
            <w:r>
              <w:t>storeFacesPoints函数</w:t>
            </w:r>
            <w:r>
              <w:rPr>
                <w:rFonts w:hint="eastAsia"/>
              </w:rPr>
              <w:t>：将数据存储到用于传递给 GPU 的容器</w:t>
            </w:r>
          </w:p>
          <w:p w14:paraId="56972F43">
            <w:r>
              <w:rPr>
                <w:rFonts w:hint="eastAsia"/>
              </w:rPr>
              <w:t>代码截图：</w:t>
            </w:r>
          </w:p>
          <w:p w14:paraId="00FD11B5">
            <w:pPr>
              <w:jc w:val="center"/>
            </w:pPr>
            <w:r>
              <w:drawing>
                <wp:inline distT="0" distB="0" distL="114300" distR="114300">
                  <wp:extent cx="2485390" cy="2736215"/>
                  <wp:effectExtent l="0" t="0" r="635" b="698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5390" cy="273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9D039B">
            <w:pPr>
              <w:jc w:val="center"/>
            </w:pPr>
            <w:r>
              <w:rPr>
                <w:rFonts w:hint="eastAsia"/>
              </w:rPr>
              <w:t>图1 补全</w:t>
            </w:r>
            <w:r>
              <w:t>storeFacesPoints函数</w:t>
            </w:r>
          </w:p>
          <w:p w14:paraId="2DA0034A">
            <w:r>
              <w:rPr>
                <w:rFonts w:hint="eastAsia"/>
              </w:rPr>
              <w:t>代码说明：</w:t>
            </w:r>
          </w:p>
          <w:p w14:paraId="6EAAF2C7">
            <w:pPr>
              <w:ind w:firstLine="420" w:firstLineChars="200"/>
            </w:pPr>
            <w:r>
              <w:t>代码</w:t>
            </w:r>
            <w:r>
              <w:rPr>
                <w:rFonts w:hint="eastAsia"/>
              </w:rPr>
              <w:t>的作用是</w:t>
            </w:r>
            <w:r>
              <w:t>将三角面片的几何数据组织并准备好传输到 GPU，以支持后续的图形渲染。代码遍历所有的三角形面片，通过 faces 数组获取每个面片的三个顶点索引。对于每个顶点索引，从顶点坐标数组 vertex_positions 中提取对应的坐标，将它们依次存入 points，以形成最终的顶点位置数据。</w:t>
            </w:r>
          </w:p>
          <w:p w14:paraId="2F30AA07">
            <w:pPr>
              <w:ind w:firstLine="420" w:firstLineChars="200"/>
            </w:pPr>
            <w:r>
              <w:t>在处理颜色时，代码会先检查是否存在颜色索引 color_index。如果存在，利用索引从 vertex_colors 中提取面片三个顶点的颜色数据，并将这些颜色按顺序存入 colors，为模型的每个顶点赋予颜色信息。同样地，对于法向量和纹理坐标，代码也会检查是否存在相关索引。如果有法向量索引 normal_index，则从 vertex_normals 中获取每个顶点的法向量，将其存入 normals，以支持光照计算。对于纹理坐标，则通过 texture_index 获取相应的顶点纹理坐标，从 vertex_textures 中提取这些数据并存储到 textures，以便后续纹理映射使用。</w:t>
            </w:r>
          </w:p>
          <w:p w14:paraId="78F795CC"/>
          <w:p w14:paraId="4D3AA959">
            <w:pPr>
              <w:numPr>
                <w:ilvl w:val="0"/>
                <w:numId w:val="2"/>
              </w:numPr>
            </w:pPr>
            <w:r>
              <w:t>读取带纹理的obj文件</w:t>
            </w:r>
            <w:r>
              <w:rPr>
                <w:rFonts w:hint="eastAsia"/>
              </w:rPr>
              <w:t>：补全</w:t>
            </w:r>
            <w:r>
              <w:t>TriMesh类中的readObj函数</w:t>
            </w:r>
          </w:p>
          <w:p w14:paraId="5E7F8715">
            <w:pPr>
              <w:ind w:firstLine="420" w:firstLineChars="200"/>
            </w:pPr>
            <w:r>
              <w:t>vertex_textures</w:t>
            </w:r>
            <w:r>
              <w:rPr>
                <w:rFonts w:hint="eastAsia"/>
              </w:rPr>
              <w:t>——</w:t>
            </w:r>
            <w:r>
              <w:t>存储UV坐标数据</w:t>
            </w:r>
          </w:p>
          <w:p w14:paraId="5D6E22F8">
            <w:pPr>
              <w:ind w:firstLine="420" w:firstLineChars="200"/>
            </w:pPr>
            <w:r>
              <w:t>vertex_positions</w:t>
            </w:r>
            <w:r>
              <w:rPr>
                <w:rFonts w:hint="eastAsia"/>
              </w:rPr>
              <w:t>——</w:t>
            </w:r>
            <w:r>
              <w:t>存储顶点坐标数据</w:t>
            </w:r>
          </w:p>
          <w:p w14:paraId="654064F9">
            <w:pPr>
              <w:ind w:firstLine="420" w:firstLineChars="200"/>
            </w:pPr>
            <w:r>
              <w:t>vertex_normals</w:t>
            </w:r>
            <w:r>
              <w:rPr>
                <w:rFonts w:hint="eastAsia"/>
              </w:rPr>
              <w:t>——</w:t>
            </w:r>
            <w:r>
              <w:t>存储顶点法线数据</w:t>
            </w:r>
          </w:p>
          <w:p w14:paraId="726E9F56">
            <w:pPr>
              <w:ind w:firstLine="420" w:firstLineChars="200"/>
            </w:pPr>
            <w:r>
              <w:t>vertex_colors</w:t>
            </w:r>
            <w:r>
              <w:rPr>
                <w:rFonts w:hint="eastAsia"/>
              </w:rPr>
              <w:t>——</w:t>
            </w:r>
            <w:r>
              <w:t>存储顶点颜色数据</w:t>
            </w:r>
          </w:p>
          <w:p w14:paraId="18E3A240">
            <w:pPr>
              <w:ind w:firstLine="420" w:firstLineChars="200"/>
            </w:pPr>
            <w:r>
              <w:t>faces存储三角面片的顶点索引数据</w:t>
            </w:r>
          </w:p>
          <w:p w14:paraId="6FD43C67">
            <w:pPr>
              <w:ind w:firstLine="420" w:firstLineChars="200"/>
            </w:pPr>
            <w:r>
              <w:t>normal_index</w:t>
            </w:r>
            <w:r>
              <w:rPr>
                <w:rFonts w:hint="eastAsia"/>
              </w:rPr>
              <w:t>——</w:t>
            </w:r>
            <w:r>
              <w:t>存储三角面片的顶点的法向量数据的索引下标</w:t>
            </w:r>
          </w:p>
          <w:p w14:paraId="3C1E1C60">
            <w:pPr>
              <w:ind w:firstLine="420" w:firstLineChars="200"/>
            </w:pPr>
            <w:r>
              <w:t>texture_index</w:t>
            </w:r>
            <w:r>
              <w:rPr>
                <w:rFonts w:hint="eastAsia"/>
              </w:rPr>
              <w:t>——</w:t>
            </w:r>
            <w:r>
              <w:t>存储三角面片的顶点的纹理坐标数据的索引下标。</w:t>
            </w:r>
          </w:p>
          <w:p w14:paraId="6A336A83">
            <w:r>
              <w:rPr>
                <w:rFonts w:hint="eastAsia"/>
              </w:rPr>
              <w:t>代码截图：</w:t>
            </w:r>
          </w:p>
          <w:p w14:paraId="518A030C">
            <w:pPr>
              <w:jc w:val="center"/>
            </w:pPr>
            <w:r>
              <w:drawing>
                <wp:inline distT="0" distB="0" distL="114300" distR="114300">
                  <wp:extent cx="2998470" cy="4104005"/>
                  <wp:effectExtent l="0" t="0" r="1905" b="127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8470" cy="410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A3CCEF">
            <w:pPr>
              <w:jc w:val="center"/>
            </w:pPr>
            <w:r>
              <w:rPr>
                <w:rFonts w:hint="eastAsia"/>
              </w:rPr>
              <w:t xml:space="preserve">图2 </w:t>
            </w:r>
            <w:r>
              <w:t>读取带纹理的obj文件</w:t>
            </w:r>
          </w:p>
          <w:p w14:paraId="44F9C40A">
            <w:r>
              <w:rPr>
                <w:rFonts w:hint="eastAsia"/>
              </w:rPr>
              <w:t>代码说明：</w:t>
            </w:r>
          </w:p>
          <w:p w14:paraId="3CE29DF5">
            <w:pPr>
              <w:ind w:firstLine="420" w:firstLineChars="200"/>
            </w:pPr>
            <w:r>
              <w:t>代码的功能是解析 OBJ 文件中描述三维模型的几何数据，并将这些数据存储到相应的容器中，便于后续的渲染操作。通过创建一个字符串流解析当前行的内容，根据行首的标识符决定处理的类型。</w:t>
            </w:r>
          </w:p>
          <w:p w14:paraId="5CD2902D">
            <w:pPr>
              <w:ind w:firstLine="420" w:firstLineChars="200"/>
            </w:pPr>
            <w:r>
              <w:t>若标识符是 "v"，表示这一行包含顶点坐标信息，程序从流中读取三个浮点数 _x、_y 和 _z，分别代表顶点的三维坐标，并将它们构造成 glm::vec3 存入 vertex_positions。</w:t>
            </w:r>
          </w:p>
          <w:p w14:paraId="14F1F5D4">
            <w:pPr>
              <w:ind w:firstLine="420" w:firstLineChars="200"/>
            </w:pPr>
            <w:r>
              <w:t>当标识符是 "vn" 时，说明这一行是法向量数据，同样读取三个浮点数后，将其作为法向量存入 vertex_normals 容器。</w:t>
            </w:r>
          </w:p>
          <w:p w14:paraId="21707393">
            <w:pPr>
              <w:ind w:firstLine="420" w:firstLineChars="200"/>
            </w:pPr>
            <w:r>
              <w:t>对于标识符为 "vt" 的行，解析的是纹理坐标信息，读取两个浮点数 _x 和 _y，构造成 glm::vec2 并存储到 vertex_textures。</w:t>
            </w:r>
          </w:p>
          <w:p w14:paraId="720E92A9">
            <w:pPr>
              <w:ind w:firstLine="420" w:firstLineChars="200"/>
            </w:pPr>
            <w:r>
              <w:t>如果标识符为 "f"，则表示当前行描述了一个面片的信息。面片由多个顶点组成，每个顶点由顶点坐标索引、纹理坐标索引和法向量索引组成，索引以斜杠分隔的形式写出。</w:t>
            </w:r>
          </w:p>
          <w:p w14:paraId="341D4971">
            <w:pPr>
              <w:ind w:firstLine="420" w:firstLineChars="200"/>
            </w:pPr>
          </w:p>
          <w:p w14:paraId="62974B31">
            <w:pPr>
              <w:numPr>
                <w:ilvl w:val="0"/>
                <w:numId w:val="2"/>
              </w:numPr>
            </w:pPr>
            <w:r>
              <w:t>模型和纹理显示</w:t>
            </w:r>
            <w:r>
              <w:rPr>
                <w:rFonts w:hint="eastAsia"/>
              </w:rPr>
              <w:t>：补全</w:t>
            </w:r>
            <w:r>
              <w:t>main.cpp中的init函数</w:t>
            </w:r>
          </w:p>
          <w:p w14:paraId="612C7A27">
            <w:r>
              <w:rPr>
                <w:rFonts w:hint="eastAsia"/>
              </w:rPr>
              <w:t>代码截图：</w:t>
            </w:r>
          </w:p>
          <w:p w14:paraId="025724D4">
            <w:pPr>
              <w:jc w:val="center"/>
            </w:pPr>
            <w:r>
              <w:drawing>
                <wp:inline distT="0" distB="0" distL="114300" distR="114300">
                  <wp:extent cx="4758055" cy="3053080"/>
                  <wp:effectExtent l="0" t="0" r="4445" b="444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8055" cy="305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2C99C0">
            <w:pPr>
              <w:jc w:val="center"/>
            </w:pPr>
            <w:r>
              <w:rPr>
                <w:rFonts w:hint="eastAsia"/>
              </w:rPr>
              <w:t>图3 补全init函数</w:t>
            </w:r>
          </w:p>
          <w:p w14:paraId="1E13588F">
            <w:pPr>
              <w:jc w:val="center"/>
            </w:pPr>
          </w:p>
          <w:p w14:paraId="67392F74">
            <w:r>
              <w:rPr>
                <w:rFonts w:hint="eastAsia"/>
              </w:rPr>
              <w:t>代码说明：</w:t>
            </w:r>
          </w:p>
          <w:p w14:paraId="17DE5640">
            <w:pPr>
              <w:ind w:firstLine="420" w:firstLineChars="200"/>
            </w:pPr>
            <w:r>
              <w:rPr>
                <w:rFonts w:hint="eastAsia"/>
              </w:rPr>
              <w:t>这里</w:t>
            </w:r>
            <w:r>
              <w:t>通过加载桌子和娃娃的模型文件，将其设置为适当的变换属性后添加到渲染系统中，并维护一个对象列表以便后续管理和释放资源。</w:t>
            </w:r>
          </w:p>
          <w:p w14:paraId="479F9850">
            <w:pPr>
              <w:ind w:firstLine="420" w:firstLineChars="200"/>
            </w:pPr>
            <w:r>
              <w:t>首先，为桌子模型创建了一个新的 TriMesh 对象，并通过调用 setNormalize(true) 方法启用了归一化功能，以确保模型大小适配渲染需求。随后调用 readObj 方法加载 ./assets/table.obj 文件中描述的模型几何数据。</w:t>
            </w:r>
          </w:p>
          <w:p w14:paraId="50A2FE57">
            <w:pPr>
              <w:ind w:firstLine="420" w:firstLineChars="200"/>
            </w:pPr>
            <w:r>
              <w:t>在加载桌子模型之后，设置了该对象的位移、旋转和缩放属性，其中位移向量将模型移动到三维空间中的特定位置，旋转角度以欧拉角形式定义了模型的方向，而缩放因子控制了模型的尺寸调整。设置完成后，通过 painter-&gt;addMesh 方法将桌子模型添加到渲染器中，同时指定了桌子模型的纹理路径 ./assets/table.png 和所使用的顶点着色器与片元着色器。最后，将桌子对象存入 meshList 容器中，便于在程序结束时统一释放资源。</w:t>
            </w:r>
          </w:p>
          <w:p w14:paraId="1804422C">
            <w:pPr>
              <w:ind w:firstLine="420" w:firstLineChars="200"/>
            </w:pPr>
            <w:r>
              <w:t>对于娃娃模型，过程与桌子模型类似。新建一个 TriMesh 对象后，归一化设置为开启状态，并通过 readObj 方法加载 ./assets/wawa.obj 文件中描述的几何数据。紧接着，对模型应用平移、旋转和缩放的变换属性，使其在场景中位于特定位置并具有正确的方向和尺寸。随后，通过调用 addMesh 方法，将其与纹理 ./assets/wawa.png 以及对应的着色器绑定并添加到渲染器中。最后，娃娃模型也被存入 meshList，与其他对象一起统一管理和释放。</w:t>
            </w:r>
          </w:p>
          <w:p w14:paraId="766B6168"/>
          <w:p w14:paraId="1084C14E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优化程序执行速度：在编译的时候选择Release模式</w:t>
            </w:r>
          </w:p>
          <w:p w14:paraId="4FF87DD0">
            <w:pPr>
              <w:jc w:val="center"/>
            </w:pPr>
            <w:r>
              <w:drawing>
                <wp:inline distT="0" distB="0" distL="114300" distR="114300">
                  <wp:extent cx="4343400" cy="2988310"/>
                  <wp:effectExtent l="0" t="0" r="0" b="254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2988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FF8269">
            <w:pPr>
              <w:jc w:val="center"/>
            </w:pPr>
            <w:r>
              <w:rPr>
                <w:rFonts w:hint="eastAsia"/>
              </w:rPr>
              <w:t>图4 选择Release模式</w:t>
            </w:r>
          </w:p>
          <w:p w14:paraId="073AB490">
            <w:pPr>
              <w:jc w:val="center"/>
            </w:pPr>
          </w:p>
          <w:p w14:paraId="722DB78D">
            <w:r>
              <w:rPr>
                <w:rFonts w:hint="eastAsia"/>
              </w:rPr>
              <w:t>原理说明：</w:t>
            </w:r>
          </w:p>
          <w:p w14:paraId="42C53C69">
            <w:pPr>
              <w:ind w:firstLine="420" w:firstLineChars="200"/>
            </w:pPr>
            <w:r>
              <w:t>与 Debug 模式不同，Release 模式会去除调试信息，减少程序的体积，并优化代码结构。编译器会通过内联函数、死代码消除、循环优化等方式，减少不必要的计算和函数调用，提高程序的运行效率。</w:t>
            </w:r>
          </w:p>
          <w:p w14:paraId="5EE781C0">
            <w:pPr>
              <w:ind w:firstLine="420" w:firstLineChars="200"/>
            </w:pPr>
            <w:r>
              <w:t>此外，Release 模式下的编译器还会对内存访问进行优化，通过合理布局数据和减少内存访问次数来提升性能。编译器会根据目标平台的硬件架构生成更加高效的汇编指令，并启用更多的优化选项，如提升并行计算能力和减少运行时检查，从而最大化程序的执行速度。</w:t>
            </w:r>
          </w:p>
          <w:p w14:paraId="72698162">
            <w:pPr>
              <w:jc w:val="center"/>
            </w:pPr>
          </w:p>
          <w:p w14:paraId="54957640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修改运行窗口的标题和尺寸大小</w:t>
            </w:r>
          </w:p>
          <w:p w14:paraId="04E65397">
            <w:pPr>
              <w:jc w:val="center"/>
            </w:pPr>
            <w:r>
              <w:drawing>
                <wp:inline distT="0" distB="0" distL="114300" distR="114300">
                  <wp:extent cx="4358005" cy="290830"/>
                  <wp:effectExtent l="0" t="0" r="4445" b="444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005" cy="290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216F45">
            <w:pPr>
              <w:jc w:val="center"/>
            </w:pPr>
            <w:r>
              <w:rPr>
                <w:rFonts w:hint="eastAsia"/>
              </w:rPr>
              <w:t>图5 修改窗口配置</w:t>
            </w:r>
          </w:p>
          <w:p w14:paraId="04B67260">
            <w:pPr>
              <w:jc w:val="center"/>
            </w:pPr>
          </w:p>
          <w:p w14:paraId="664E8B37">
            <w:pPr>
              <w:ind w:firstLine="420" w:firstLineChars="200"/>
            </w:pPr>
            <w:r>
              <w:rPr>
                <w:rFonts w:hint="eastAsia"/>
              </w:rPr>
              <w:t>但是，运行程序后，发现中文出现乱码。因为文件本身的编码格式是“utf-8”。于是，我修改了编译器执行时的解码格式为“utf-8”，从而使编解码格式一致，避免了中文乱码问题：</w:t>
            </w:r>
          </w:p>
          <w:p w14:paraId="6E3F9B9D">
            <w:pPr>
              <w:jc w:val="center"/>
            </w:pPr>
            <w:r>
              <w:drawing>
                <wp:inline distT="0" distB="0" distL="114300" distR="114300">
                  <wp:extent cx="4396105" cy="443230"/>
                  <wp:effectExtent l="0" t="0" r="4445" b="444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105" cy="443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41BFB0">
            <w:pPr>
              <w:jc w:val="center"/>
            </w:pPr>
            <w:r>
              <w:rPr>
                <w:rFonts w:hint="eastAsia"/>
              </w:rPr>
              <w:t>图6 防止中文乱码</w:t>
            </w:r>
          </w:p>
          <w:p w14:paraId="0A637AEA">
            <w:pPr>
              <w:jc w:val="center"/>
            </w:pPr>
          </w:p>
          <w:p w14:paraId="256F0A6C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程序运行结果</w:t>
            </w:r>
          </w:p>
          <w:p w14:paraId="2FEF998B">
            <w:r>
              <w:rPr>
                <w:rFonts w:hint="eastAsia"/>
              </w:rPr>
              <w:t>默认效果：</w:t>
            </w:r>
          </w:p>
          <w:p w14:paraId="15E227D7">
            <w:pPr>
              <w:jc w:val="center"/>
            </w:pPr>
            <w:r>
              <w:drawing>
                <wp:inline distT="0" distB="0" distL="114300" distR="114300">
                  <wp:extent cx="3002280" cy="3239770"/>
                  <wp:effectExtent l="0" t="0" r="7620" b="825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2280" cy="3239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1F1B61">
            <w:pPr>
              <w:jc w:val="center"/>
            </w:pPr>
            <w:r>
              <w:rPr>
                <w:rFonts w:hint="eastAsia"/>
              </w:rPr>
              <w:t>图7 初始效果</w:t>
            </w:r>
          </w:p>
          <w:p w14:paraId="646A1B86">
            <w:pPr>
              <w:jc w:val="center"/>
            </w:pPr>
          </w:p>
          <w:p w14:paraId="55AEC1DD">
            <w:r>
              <w:rPr>
                <w:rFonts w:hint="eastAsia"/>
              </w:rPr>
              <w:t>调整rotate角度后：</w:t>
            </w:r>
          </w:p>
          <w:p w14:paraId="2C50217D">
            <w:pPr>
              <w:jc w:val="center"/>
            </w:pPr>
            <w:r>
              <w:drawing>
                <wp:inline distT="0" distB="0" distL="114300" distR="114300">
                  <wp:extent cx="2885440" cy="3131820"/>
                  <wp:effectExtent l="0" t="0" r="635" b="190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440" cy="3131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2188F6">
            <w:pPr>
              <w:jc w:val="center"/>
            </w:pPr>
            <w:r>
              <w:rPr>
                <w:rFonts w:hint="eastAsia"/>
              </w:rPr>
              <w:t>图8 调整rotate角度后的效果</w:t>
            </w:r>
          </w:p>
          <w:p w14:paraId="369002F6">
            <w:r>
              <w:rPr>
                <w:rFonts w:hint="eastAsia"/>
              </w:rPr>
              <w:t>调整up角度后：</w:t>
            </w:r>
          </w:p>
          <w:p w14:paraId="4DCE56AE">
            <w:pPr>
              <w:jc w:val="center"/>
            </w:pPr>
            <w:r>
              <w:drawing>
                <wp:inline distT="0" distB="0" distL="114300" distR="114300">
                  <wp:extent cx="3037205" cy="3239770"/>
                  <wp:effectExtent l="0" t="0" r="1270" b="825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7205" cy="3239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E03DB4">
            <w:pPr>
              <w:jc w:val="center"/>
            </w:pPr>
            <w:r>
              <w:rPr>
                <w:rFonts w:hint="eastAsia"/>
              </w:rPr>
              <w:t>图9 调整up角度后的效果</w:t>
            </w:r>
          </w:p>
          <w:p w14:paraId="58AC2331">
            <w:pPr>
              <w:jc w:val="center"/>
            </w:pPr>
          </w:p>
          <w:p w14:paraId="5ECEF1EE">
            <w:r>
              <w:rPr>
                <w:rFonts w:hint="eastAsia"/>
              </w:rPr>
              <w:t>综合调整rotate和up角度后：</w:t>
            </w:r>
          </w:p>
          <w:p w14:paraId="44241D37">
            <w:pPr>
              <w:jc w:val="center"/>
            </w:pPr>
            <w:r>
              <w:drawing>
                <wp:inline distT="0" distB="0" distL="114300" distR="114300">
                  <wp:extent cx="3001645" cy="3239770"/>
                  <wp:effectExtent l="0" t="0" r="8255" b="825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1645" cy="3239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819415">
            <w:pPr>
              <w:jc w:val="center"/>
            </w:pPr>
            <w:r>
              <w:rPr>
                <w:rFonts w:hint="eastAsia"/>
              </w:rPr>
              <w:t>图10 同时调整rotate和up角度的效果</w:t>
            </w:r>
          </w:p>
          <w:p w14:paraId="5E1ABFF2"/>
          <w:p w14:paraId="43428A58"/>
          <w:p w14:paraId="6AC22D3B"/>
        </w:tc>
      </w:tr>
    </w:tbl>
    <w:p w14:paraId="6C4BA152"/>
    <w:p w14:paraId="2C78C27F">
      <w:r>
        <w:rPr>
          <w:rFonts w:hint="eastAsia"/>
        </w:rPr>
        <w:t>深圳大学学生实验报告用纸</w:t>
      </w:r>
    </w:p>
    <w:tbl>
      <w:tblPr>
        <w:tblStyle w:val="5"/>
        <w:tblW w:w="0" w:type="auto"/>
        <w:tblInd w:w="1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0"/>
      </w:tblGrid>
      <w:tr w14:paraId="5E9BFD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5" w:hRule="atLeast"/>
        </w:trPr>
        <w:tc>
          <w:tcPr>
            <w:tcW w:w="8160" w:type="dxa"/>
          </w:tcPr>
          <w:p w14:paraId="2FCA57C8">
            <w:pPr>
              <w:spacing w:line="360" w:lineRule="auto"/>
            </w:pPr>
            <w:r>
              <w:rPr>
                <w:rFonts w:hint="eastAsia"/>
              </w:rPr>
              <w:t>实验结论：</w:t>
            </w:r>
          </w:p>
          <w:p w14:paraId="00965EBD">
            <w:pPr>
              <w:ind w:firstLine="420" w:firstLineChars="200"/>
            </w:pPr>
            <w:r>
              <w:t>在本次实验中，我成功实现了带纹理的OBJ文件的读取和显示。通过</w:t>
            </w:r>
            <w:r>
              <w:rPr>
                <w:rFonts w:hint="eastAsia"/>
              </w:rPr>
              <w:t>学习</w:t>
            </w:r>
            <w:r>
              <w:t>OBJ文件格式和材质文件（.mtl）的结构，我掌握了如何从这些文件中提取顶点坐标、纹理坐标、法线等关键数据。</w:t>
            </w:r>
          </w:p>
          <w:p w14:paraId="23BD2C4A">
            <w:pPr>
              <w:ind w:firstLine="420" w:firstLineChars="200"/>
            </w:pPr>
            <w:r>
              <w:t>在TriMesh类的readObj函数中，我实现了对OBJ文件的解析，并将解析出的UV坐标、顶点坐标、顶点法线和顶点颜色数据存储到相应的数据结构中。</w:t>
            </w:r>
          </w:p>
          <w:p w14:paraId="2B58CC21">
            <w:pPr>
              <w:ind w:firstLine="420" w:firstLineChars="200"/>
            </w:pPr>
            <w:r>
              <w:t>此外，我还完善了TriMesh.cpp中的storeFacesPoints函数，确保了数据能够被有效地组织并传递给GPU，为后续的图形渲染打下了基础。</w:t>
            </w:r>
          </w:p>
          <w:p w14:paraId="089BEAA4">
            <w:pPr>
              <w:ind w:firstLine="420" w:firstLineChars="200"/>
            </w:pPr>
            <w:r>
              <w:t>在main.cpp中，我通过init函数加载了带纹理的模型，并成功地将模型和纹理显示在程序窗口中。通过设置模型的变换属性，我能够控制模型在三维空间中的位置、旋转和缩放，实现了模型的逼真渲染。</w:t>
            </w:r>
          </w:p>
          <w:p w14:paraId="60854CD6">
            <w:pPr>
              <w:ind w:firstLine="420" w:firstLineChars="200"/>
            </w:pPr>
            <w:r>
              <w:rPr>
                <w:rFonts w:hint="eastAsia"/>
              </w:rPr>
              <w:t>最后</w:t>
            </w:r>
            <w:r>
              <w:t>，我还学习了如何在编译时选择Release模式来优化程序的执行速度，并通过调整编译器的解码格式解决了中文乱码问题。</w:t>
            </w:r>
          </w:p>
          <w:p w14:paraId="74E19939">
            <w:pPr>
              <w:ind w:firstLine="420" w:firstLineChars="200"/>
            </w:pPr>
            <w:r>
              <w:t>通过本次实验，我不仅加深了对三维图形处理和纹理映射的理解，还提升了我的编程技能和问题解决能力。实验结果表明，我能够成功地将理论知识应用于实际编程任务中，实现了一个功能完整的三维模型显示程序。</w:t>
            </w:r>
          </w:p>
          <w:p w14:paraId="0DC02263">
            <w:pPr>
              <w:ind w:firstLine="420" w:firstLineChars="200"/>
            </w:pPr>
          </w:p>
          <w:p w14:paraId="1EF3DB0D">
            <w:pPr>
              <w:spacing w:line="360" w:lineRule="auto"/>
            </w:pPr>
            <w:r>
              <w:t>实验难点：</w:t>
            </w:r>
          </w:p>
          <w:p w14:paraId="0C274636">
            <w:pPr>
              <w:numPr>
                <w:ilvl w:val="0"/>
                <w:numId w:val="3"/>
              </w:numPr>
            </w:pPr>
            <w:r>
              <w:rPr>
                <w:b/>
                <w:bCs/>
              </w:rPr>
              <w:t>OBJ文件解析</w:t>
            </w:r>
            <w:r>
              <w:t>：OBJ文件格式相对复杂，包含了多种类型的数据和多个部分。正确解析这些数据并将其存储到适当的数据结构中是一个挑战，需要对文件格式有深入的理解。</w:t>
            </w:r>
          </w:p>
          <w:p w14:paraId="59BD39D7"/>
          <w:p w14:paraId="4B60DE19">
            <w:pPr>
              <w:numPr>
                <w:ilvl w:val="0"/>
                <w:numId w:val="3"/>
              </w:numPr>
            </w:pPr>
            <w:r>
              <w:rPr>
                <w:b/>
                <w:bCs/>
              </w:rPr>
              <w:t>纹理坐标和几何坐标的对应</w:t>
            </w:r>
            <w:r>
              <w:t>：在处理纹理映射时，确保每个顶点的纹理坐标与其几何坐标正确对应是一个技术难点。这需要精确地解析OBJ文件中的面数据，并正确地将顶点索引映射到纹理坐标。</w:t>
            </w:r>
          </w:p>
          <w:p w14:paraId="5E353B9F"/>
          <w:p w14:paraId="3B3D3B19">
            <w:pPr>
              <w:numPr>
                <w:ilvl w:val="0"/>
                <w:numId w:val="3"/>
              </w:numPr>
            </w:pPr>
            <w:r>
              <w:rPr>
                <w:b/>
                <w:bCs/>
              </w:rPr>
              <w:t>性能优化</w:t>
            </w:r>
            <w:r>
              <w:t>：在实验过程中，我遇到了程序执行速度较慢的问题。通过</w:t>
            </w:r>
            <w:r>
              <w:rPr>
                <w:rFonts w:hint="eastAsia"/>
              </w:rPr>
              <w:t>实验指导</w:t>
            </w:r>
            <w:r>
              <w:t>和实践，我学会了使用Release模式编译程序，并尝试了代码优化，以提高程序的运行效率。</w:t>
            </w:r>
          </w:p>
          <w:p w14:paraId="3710FCFB"/>
          <w:p w14:paraId="21C60D4A">
            <w:pPr>
              <w:numPr>
                <w:ilvl w:val="0"/>
                <w:numId w:val="3"/>
              </w:numPr>
            </w:pPr>
            <w:r>
              <w:rPr>
                <w:b/>
                <w:bCs/>
              </w:rPr>
              <w:t>中文乱码问题</w:t>
            </w:r>
            <w:r>
              <w:t>：在程序运行时，窗口标题和部分输出出现了中文乱码。这需要我了解字符编码的知识，并调整编译器的设置以匹配文件的编码格式，以解决乱码问题。</w:t>
            </w:r>
          </w:p>
          <w:p w14:paraId="45F89D22"/>
          <w:p w14:paraId="6DB1059A">
            <w:pPr>
              <w:spacing w:line="360" w:lineRule="auto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实验问题：</w:t>
            </w:r>
          </w:p>
          <w:p w14:paraId="43AE4DF1">
            <w:pPr>
              <w:ind w:firstLine="420" w:firstLineChars="20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在我们使用键盘“o”键想要控制相机与物体的距离时，发现一个现象：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无论怎么改变radius，物体呈现出来的大小都没有发生变化。</w:t>
            </w:r>
          </w:p>
          <w:p w14:paraId="6A8D7E40"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经过一番debug后，我发现键盘交互是生效的，因为radius参数确实在发生改变。于是我猜测，物体的模型计算使用了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正交投影而不是透视投影</w:t>
            </w:r>
            <w:r>
              <w:rPr>
                <w:rFonts w:hint="eastAsia"/>
                <w:lang w:val="en-US" w:eastAsia="zh-CN"/>
              </w:rPr>
              <w:t>，导致物体与相机的距离改变没有引起视图大小的变化。</w:t>
            </w:r>
          </w:p>
          <w:p w14:paraId="540D2986"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在MeshPainter.cpp中，我们定位到了第156行的代码：</w:t>
            </w:r>
          </w:p>
          <w:p w14:paraId="7EFE9AA6">
            <w:pPr>
              <w:jc w:val="center"/>
            </w:pPr>
            <w:r>
              <w:drawing>
                <wp:inline distT="0" distB="0" distL="114300" distR="114300">
                  <wp:extent cx="3115310" cy="360045"/>
                  <wp:effectExtent l="0" t="0" r="8890" b="1905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310" cy="36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3A396A"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图11 使用正交投影</w:t>
            </w:r>
          </w:p>
          <w:p w14:paraId="72621A1B">
            <w:pPr>
              <w:ind w:firstLine="420" w:firstLineChars="200"/>
              <w:jc w:val="both"/>
            </w:pPr>
            <w:r>
              <w:rPr>
                <w:rFonts w:hint="eastAsia"/>
                <w:lang w:val="en-US" w:eastAsia="zh-CN"/>
              </w:rPr>
              <w:t>根据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getProjectionMatrix</w:t>
            </w:r>
            <w:r>
              <w:rPr>
                <w:rFonts w:hint="eastAsia"/>
                <w:lang w:val="en-US" w:eastAsia="zh-CN"/>
              </w:rPr>
              <w:t>函数的定义，我们可知，参数为true时使用正交投影，参数为false时采用透视投影。于是，如果我们希望在按下键盘“o”键时改变物体视图的大小，则可以把参数true修改为false即可。</w:t>
            </w:r>
          </w:p>
          <w:p w14:paraId="17060FE2">
            <w:pPr>
              <w:ind w:firstLine="420" w:firstLineChars="200"/>
              <w:rPr>
                <w:b/>
                <w:sz w:val="44"/>
              </w:rPr>
            </w:pPr>
            <w:r>
              <w:rPr>
                <w:rFonts w:hint="eastAsia"/>
                <w:lang w:val="en-US" w:eastAsia="zh-CN"/>
              </w:rPr>
              <w:t>但是，由于使用透视投影会使玩偶的视觉朝向向外偏移，导致观感不佳，于是，我们没有进行修改。</w:t>
            </w:r>
            <w:bookmarkStart w:id="0" w:name="_GoBack"/>
            <w:bookmarkEnd w:id="0"/>
          </w:p>
        </w:tc>
      </w:tr>
      <w:tr w14:paraId="5C856F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96" w:hRule="atLeast"/>
        </w:trPr>
        <w:tc>
          <w:tcPr>
            <w:tcW w:w="8160" w:type="dxa"/>
          </w:tcPr>
          <w:p w14:paraId="215D1F78">
            <w:r>
              <w:rPr>
                <w:rFonts w:hint="eastAsia"/>
              </w:rPr>
              <w:t>指导教师批阅意见：</w:t>
            </w:r>
          </w:p>
          <w:p w14:paraId="0C8CF140"/>
          <w:p w14:paraId="160FCFA3"/>
          <w:p w14:paraId="779D5A35"/>
          <w:p w14:paraId="6A9A93B8"/>
          <w:p w14:paraId="4721EC69"/>
          <w:p w14:paraId="7B774791"/>
          <w:p w14:paraId="2A017432"/>
          <w:p w14:paraId="14D37902"/>
          <w:p w14:paraId="0FD60936"/>
          <w:p w14:paraId="212C1B09"/>
          <w:p w14:paraId="3415E783">
            <w:r>
              <w:rPr>
                <w:rFonts w:hint="eastAsia"/>
              </w:rPr>
              <w:t>成绩评定：</w:t>
            </w:r>
          </w:p>
          <w:p w14:paraId="475F4BC1"/>
          <w:p w14:paraId="2DEA09AD"/>
          <w:p w14:paraId="0681EE2B"/>
          <w:p w14:paraId="419AA390"/>
          <w:p w14:paraId="6481B123"/>
          <w:p w14:paraId="5E758625"/>
          <w:p w14:paraId="5DA83200">
            <w:r>
              <w:rPr>
                <w:rFonts w:hint="eastAsia"/>
              </w:rPr>
              <w:t xml:space="preserve">                                                 指导教师签字：</w:t>
            </w:r>
          </w:p>
          <w:p w14:paraId="18930DCF">
            <w:r>
              <w:rPr>
                <w:rFonts w:hint="eastAsia"/>
              </w:rPr>
              <w:t xml:space="preserve">                                                    年    月    日</w:t>
            </w:r>
          </w:p>
        </w:tc>
      </w:tr>
      <w:tr w14:paraId="20E6F1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6" w:hRule="atLeast"/>
        </w:trPr>
        <w:tc>
          <w:tcPr>
            <w:tcW w:w="8160" w:type="dxa"/>
          </w:tcPr>
          <w:p w14:paraId="06164F25">
            <w:r>
              <w:rPr>
                <w:rFonts w:hint="eastAsia"/>
              </w:rPr>
              <w:t>备注：</w:t>
            </w:r>
          </w:p>
        </w:tc>
      </w:tr>
    </w:tbl>
    <w:p w14:paraId="56D5D64D">
      <w:r>
        <w:rPr>
          <w:rFonts w:hint="eastAsia"/>
        </w:rPr>
        <w:t>注：1、报告内的项目或内容设置，可根据实际情况加以调整和补充。</w:t>
      </w:r>
    </w:p>
    <w:p w14:paraId="648B299A">
      <w:r>
        <w:rPr>
          <w:rFonts w:hint="eastAsia"/>
        </w:rPr>
        <w:t xml:space="preserve">    2、教师批改学生实验报告时间应在学生提交实验报告时间后10日内。</w:t>
      </w:r>
    </w:p>
    <w:sectPr>
      <w:pgSz w:w="11907" w:h="16840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29A959E"/>
    <w:multiLevelType w:val="singleLevel"/>
    <w:tmpl w:val="A29A959E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E3D3E170"/>
    <w:multiLevelType w:val="singleLevel"/>
    <w:tmpl w:val="E3D3E170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07306091"/>
    <w:multiLevelType w:val="multilevel"/>
    <w:tmpl w:val="07306091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/>
        <w:sz w:val="24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6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5453A"/>
    <w:rsid w:val="00096447"/>
    <w:rsid w:val="000D24B3"/>
    <w:rsid w:val="000D766B"/>
    <w:rsid w:val="00150CB9"/>
    <w:rsid w:val="001D4A56"/>
    <w:rsid w:val="00211059"/>
    <w:rsid w:val="00255F1D"/>
    <w:rsid w:val="002B02D0"/>
    <w:rsid w:val="002E54A8"/>
    <w:rsid w:val="002F33B6"/>
    <w:rsid w:val="00410BA4"/>
    <w:rsid w:val="00412AD6"/>
    <w:rsid w:val="00444055"/>
    <w:rsid w:val="00453F91"/>
    <w:rsid w:val="004A3C88"/>
    <w:rsid w:val="007416C5"/>
    <w:rsid w:val="007D2A88"/>
    <w:rsid w:val="00860295"/>
    <w:rsid w:val="00906042"/>
    <w:rsid w:val="009347F6"/>
    <w:rsid w:val="00975D73"/>
    <w:rsid w:val="009C6480"/>
    <w:rsid w:val="00A96F0F"/>
    <w:rsid w:val="00AD42E2"/>
    <w:rsid w:val="00B058CE"/>
    <w:rsid w:val="00B712AE"/>
    <w:rsid w:val="00B7262F"/>
    <w:rsid w:val="00D32996"/>
    <w:rsid w:val="00D72884"/>
    <w:rsid w:val="00D80839"/>
    <w:rsid w:val="00E01A94"/>
    <w:rsid w:val="00E0242E"/>
    <w:rsid w:val="00E6258A"/>
    <w:rsid w:val="00EA1B07"/>
    <w:rsid w:val="00EB51D8"/>
    <w:rsid w:val="00EE045E"/>
    <w:rsid w:val="0D533015"/>
    <w:rsid w:val="0DB80CEF"/>
    <w:rsid w:val="176A6365"/>
    <w:rsid w:val="1BC704C3"/>
    <w:rsid w:val="22EB62F6"/>
    <w:rsid w:val="23B83005"/>
    <w:rsid w:val="2B707CC1"/>
    <w:rsid w:val="2E0B2A2D"/>
    <w:rsid w:val="32CD15AA"/>
    <w:rsid w:val="33251050"/>
    <w:rsid w:val="400001CC"/>
    <w:rsid w:val="4D2E586A"/>
    <w:rsid w:val="64673CFB"/>
    <w:rsid w:val="69E5416A"/>
    <w:rsid w:val="69EF69A7"/>
    <w:rsid w:val="7AF44D33"/>
    <w:rsid w:val="7E9E4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iPriority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qFormat/>
    <w:uiPriority w:val="0"/>
    <w:pPr>
      <w:spacing w:beforeAutospacing="1" w:afterAutospacing="1"/>
      <w:jc w:val="left"/>
    </w:pPr>
    <w:rPr>
      <w:kern w:val="0"/>
      <w:sz w:val="24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TML Code"/>
    <w:basedOn w:val="6"/>
    <w:qFormat/>
    <w:uiPriority w:val="0"/>
    <w:rPr>
      <w:rFonts w:ascii="Courier New" w:hAnsi="Courier New"/>
      <w:sz w:val="20"/>
    </w:rPr>
  </w:style>
  <w:style w:type="character" w:customStyle="1" w:styleId="9">
    <w:name w:val="页眉 字符"/>
    <w:basedOn w:val="6"/>
    <w:link w:val="3"/>
    <w:qFormat/>
    <w:uiPriority w:val="0"/>
    <w:rPr>
      <w:kern w:val="2"/>
      <w:sz w:val="18"/>
      <w:szCs w:val="18"/>
    </w:rPr>
  </w:style>
  <w:style w:type="character" w:customStyle="1" w:styleId="10">
    <w:name w:val="页脚 字符"/>
    <w:basedOn w:val="6"/>
    <w:link w:val="2"/>
    <w:qFormat/>
    <w:uiPriority w:val="0"/>
    <w:rPr>
      <w:kern w:val="2"/>
      <w:sz w:val="18"/>
      <w:szCs w:val="18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3178</Words>
  <Characters>3906</Characters>
  <Lines>32</Lines>
  <Paragraphs>9</Paragraphs>
  <TotalTime>11</TotalTime>
  <ScaleCrop>false</ScaleCrop>
  <LinksUpToDate>false</LinksUpToDate>
  <CharactersWithSpaces>4449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2021-09-12T12:38:00Z</dcterms:created>
  <dc:creator>d</dc:creator>
  <cp:lastModifiedBy>卑挽</cp:lastModifiedBy>
  <cp:lastPrinted>2006-09-04T06:46:00Z</cp:lastPrinted>
  <dcterms:modified xsi:type="dcterms:W3CDTF">2024-11-26T04:54:39Z</dcterms:modified>
  <dc:title>大 学 实 验 报 告</dc:title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EB6F9CB865F841B48334AF71AA880ED1_13</vt:lpwstr>
  </property>
</Properties>
</file>