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B353" w14:textId="77777777" w:rsidR="00A5113D" w:rsidRDefault="00000000">
      <w:pPr>
        <w:spacing w:after="120"/>
        <w:jc w:val="center"/>
      </w:pPr>
      <w:r>
        <w:rPr>
          <w:b/>
          <w:bCs/>
          <w:sz w:val="26"/>
          <w:szCs w:val="26"/>
        </w:rPr>
        <w:t>Centro Universitário FMU</w:t>
      </w:r>
    </w:p>
    <w:p w14:paraId="58B8660C" w14:textId="77777777" w:rsidR="00A5113D" w:rsidRDefault="00000000">
      <w:pPr>
        <w:spacing w:after="60"/>
        <w:jc w:val="center"/>
      </w:pPr>
      <w:r>
        <w:rPr>
          <w:sz w:val="24"/>
          <w:szCs w:val="24"/>
        </w:rPr>
        <w:t>Ciência de Dados</w:t>
      </w:r>
    </w:p>
    <w:p w14:paraId="352FAD9B" w14:textId="77777777" w:rsidR="00A5113D" w:rsidRDefault="00000000">
      <w:pPr>
        <w:spacing w:after="3200"/>
        <w:jc w:val="center"/>
      </w:pPr>
      <w:r>
        <w:rPr>
          <w:sz w:val="24"/>
          <w:szCs w:val="24"/>
        </w:rPr>
        <w:t>Aquisição e Preparação de Dados</w:t>
      </w:r>
    </w:p>
    <w:p w14:paraId="0123E596" w14:textId="77777777" w:rsidR="00A5113D" w:rsidRDefault="00000000">
      <w:pPr>
        <w:spacing w:after="120"/>
        <w:jc w:val="center"/>
      </w:pPr>
      <w:r>
        <w:rPr>
          <w:b/>
          <w:bCs/>
          <w:sz w:val="32"/>
          <w:szCs w:val="32"/>
        </w:rPr>
        <w:t>Aquisição, Coleta e Ciclo de Vida dos Dados</w:t>
      </w:r>
    </w:p>
    <w:p w14:paraId="592B498A" w14:textId="77777777" w:rsidR="00A5113D" w:rsidRDefault="00000000">
      <w:pPr>
        <w:spacing w:after="3200"/>
        <w:jc w:val="center"/>
      </w:pPr>
      <w:r>
        <w:rPr>
          <w:i/>
          <w:iCs/>
          <w:sz w:val="24"/>
          <w:szCs w:val="24"/>
        </w:rPr>
        <w:t>Relatório da atividade prática</w:t>
      </w:r>
    </w:p>
    <w:p w14:paraId="6CB106C0" w14:textId="77777777" w:rsidR="00A5113D" w:rsidRDefault="00000000">
      <w:pPr>
        <w:spacing w:after="60"/>
        <w:jc w:val="center"/>
      </w:pPr>
      <w:r>
        <w:rPr>
          <w:sz w:val="22"/>
          <w:szCs w:val="22"/>
        </w:rPr>
        <w:t>Aluno: Kaike Martins Pereira</w:t>
      </w:r>
    </w:p>
    <w:p w14:paraId="5E5CF453" w14:textId="77777777" w:rsidR="00A5113D" w:rsidRDefault="00000000">
      <w:pPr>
        <w:spacing w:after="60"/>
        <w:jc w:val="center"/>
      </w:pPr>
      <w:r>
        <w:rPr>
          <w:sz w:val="22"/>
          <w:szCs w:val="22"/>
        </w:rPr>
        <w:t>RA: 2026101957</w:t>
      </w:r>
    </w:p>
    <w:p w14:paraId="2F1608AB" w14:textId="2AF7625E" w:rsidR="00A5113D" w:rsidRDefault="00000000">
      <w:pPr>
        <w:spacing w:after="60"/>
        <w:jc w:val="center"/>
      </w:pPr>
      <w:r>
        <w:rPr>
          <w:sz w:val="22"/>
          <w:szCs w:val="22"/>
        </w:rPr>
        <w:t>Professor: Heron</w:t>
      </w:r>
      <w:r w:rsidR="006C5C42">
        <w:rPr>
          <w:sz w:val="22"/>
          <w:szCs w:val="22"/>
        </w:rPr>
        <w:t xml:space="preserve"> </w:t>
      </w:r>
      <w:proofErr w:type="spellStart"/>
      <w:r w:rsidR="006C5C42">
        <w:rPr>
          <w:sz w:val="22"/>
          <w:szCs w:val="22"/>
        </w:rPr>
        <w:t>Bussolim</w:t>
      </w:r>
      <w:proofErr w:type="spellEnd"/>
    </w:p>
    <w:p w14:paraId="7B574CE7" w14:textId="77777777" w:rsidR="00A5113D" w:rsidRDefault="00000000">
      <w:pPr>
        <w:spacing w:after="60"/>
        <w:jc w:val="center"/>
      </w:pPr>
      <w:r>
        <w:rPr>
          <w:sz w:val="22"/>
          <w:szCs w:val="22"/>
        </w:rPr>
        <w:t>Disciplina: Aquisição e Preparação de Dados</w:t>
      </w:r>
    </w:p>
    <w:p w14:paraId="5F2E3061" w14:textId="77777777" w:rsidR="00A5113D" w:rsidRDefault="00000000">
      <w:pPr>
        <w:spacing w:after="60"/>
        <w:jc w:val="center"/>
      </w:pPr>
      <w:r>
        <w:rPr>
          <w:sz w:val="22"/>
          <w:szCs w:val="22"/>
        </w:rPr>
        <w:t>São Paulo — 2026</w:t>
      </w:r>
    </w:p>
    <w:p w14:paraId="0A02D9D3" w14:textId="77777777" w:rsidR="00A5113D" w:rsidRDefault="00000000">
      <w:r>
        <w:br w:type="page"/>
      </w:r>
    </w:p>
    <w:p w14:paraId="2A6B2C4D" w14:textId="77777777" w:rsidR="00A5113D" w:rsidRDefault="00A5113D">
      <w:pPr>
        <w:sectPr w:rsidR="00A5113D">
          <w:pgSz w:w="11906" w:h="16838"/>
          <w:pgMar w:top="1440" w:right="1440" w:bottom="1440" w:left="1440" w:header="708" w:footer="708" w:gutter="0"/>
          <w:cols w:space="720"/>
          <w:docGrid w:linePitch="360"/>
        </w:sectPr>
      </w:pPr>
    </w:p>
    <w:p w14:paraId="6C8F45BC" w14:textId="77777777" w:rsidR="00A5113D" w:rsidRDefault="00000000">
      <w:pPr>
        <w:pStyle w:val="Ttulo1"/>
        <w:spacing w:before="240" w:after="160"/>
      </w:pPr>
      <w:r>
        <w:rPr>
          <w:b/>
          <w:bCs/>
          <w:sz w:val="28"/>
          <w:szCs w:val="28"/>
        </w:rPr>
        <w:lastRenderedPageBreak/>
        <w:t>1. Introdução e objetivo</w:t>
      </w:r>
    </w:p>
    <w:p w14:paraId="4F732D3D" w14:textId="0D8C6AF8" w:rsidR="00A5113D" w:rsidRDefault="00000000">
      <w:pPr>
        <w:spacing w:after="160" w:line="276" w:lineRule="auto"/>
        <w:jc w:val="both"/>
      </w:pPr>
      <w:r>
        <w:rPr>
          <w:sz w:val="22"/>
          <w:szCs w:val="22"/>
        </w:rPr>
        <w:t xml:space="preserve">Este relatório acompanha o notebook desenvolvido para a atividade prática de Aquisição, Coleta e Ciclo de Vida dos Dados. O objetivo da atividade foi experimentar diferentes formas de coletar e adquirir dados e organizar esse processo dentro de um ciclo de vida </w:t>
      </w:r>
      <w:r w:rsidR="006C5C42">
        <w:rPr>
          <w:sz w:val="22"/>
          <w:szCs w:val="22"/>
        </w:rPr>
        <w:t xml:space="preserve">que é </w:t>
      </w:r>
      <w:r>
        <w:rPr>
          <w:sz w:val="22"/>
          <w:szCs w:val="22"/>
        </w:rPr>
        <w:t>aquisição, armazenamento, documentação, qualidade inicial e retenção. A ideia central que guiou todo o trabalho é a de que a qualidade do dado começa na coleta e não no pré-processamento posterior.</w:t>
      </w:r>
    </w:p>
    <w:p w14:paraId="109B6563" w14:textId="6F499047" w:rsidR="00A5113D" w:rsidRDefault="00000000">
      <w:pPr>
        <w:spacing w:after="160" w:line="276" w:lineRule="auto"/>
        <w:jc w:val="both"/>
      </w:pPr>
      <w:r>
        <w:rPr>
          <w:sz w:val="22"/>
          <w:szCs w:val="22"/>
        </w:rPr>
        <w:t>Foram trabalhadas duas fontes, conforme o mínimo exigido: uma aquisição a partir de arquivo local (Estação A) e uma aquisição via API pública (Estação B). Ao final, foi acrescentada uma etapa extra de cruzamento entre as duas fontes, com finalidade de validação</w:t>
      </w:r>
      <w:r w:rsidR="006C5C42">
        <w:rPr>
          <w:sz w:val="22"/>
          <w:szCs w:val="22"/>
        </w:rPr>
        <w:t xml:space="preserve">, </w:t>
      </w:r>
      <w:r>
        <w:rPr>
          <w:sz w:val="22"/>
          <w:szCs w:val="22"/>
        </w:rPr>
        <w:t>descrita mais adiante e explicitamente identificada como um passo além do escopo obrigatório.</w:t>
      </w:r>
    </w:p>
    <w:p w14:paraId="348D53D8" w14:textId="77777777" w:rsidR="00A5113D" w:rsidRDefault="00000000">
      <w:pPr>
        <w:pStyle w:val="Ttulo1"/>
        <w:spacing w:before="240" w:after="160"/>
      </w:pPr>
      <w:r>
        <w:rPr>
          <w:b/>
          <w:bCs/>
          <w:sz w:val="28"/>
          <w:szCs w:val="28"/>
        </w:rPr>
        <w:t>2. Por que estas escolhas</w:t>
      </w:r>
    </w:p>
    <w:p w14:paraId="2CD646E2" w14:textId="77777777" w:rsidR="00A5113D" w:rsidRDefault="00000000">
      <w:pPr>
        <w:pStyle w:val="Ttulo2"/>
        <w:spacing w:before="200" w:after="120"/>
      </w:pPr>
      <w:r>
        <w:rPr>
          <w:b/>
          <w:bCs/>
          <w:sz w:val="24"/>
          <w:szCs w:val="24"/>
        </w:rPr>
        <w:t>2.1 Por que este dado, e não outro</w:t>
      </w:r>
    </w:p>
    <w:p w14:paraId="336A1588" w14:textId="77777777" w:rsidR="00A5113D" w:rsidRDefault="00000000">
      <w:pPr>
        <w:spacing w:after="160" w:line="276" w:lineRule="auto"/>
        <w:jc w:val="both"/>
      </w:pPr>
      <w:r>
        <w:rPr>
          <w:sz w:val="22"/>
          <w:szCs w:val="22"/>
        </w:rPr>
        <w:t>A escolha da fonte principal recaiu sobre um dado real, público e oficial: os casos de Zika Vírus notificados no SINAN, disponibilizados pelo DATASUS/Ministério da Saúde. Não se trata de uma planilha didática ou de um conjunto de dados já tratado, mas da mesma fonte que um analista de dados da área de saúde utiliza profissionalmente no Brasil. Isso confere maior peso ao trabalho e o aproxima de um cenário real.</w:t>
      </w:r>
    </w:p>
    <w:p w14:paraId="07C8DC8C" w14:textId="46CE82E6" w:rsidR="00A5113D" w:rsidRDefault="00000000">
      <w:pPr>
        <w:spacing w:after="160" w:line="276" w:lineRule="auto"/>
        <w:jc w:val="both"/>
      </w:pPr>
      <w:r>
        <w:rPr>
          <w:sz w:val="22"/>
          <w:szCs w:val="22"/>
        </w:rPr>
        <w:t>Houve ainda uma decisão consciente de usar um dado bagunçado de propósito. Existia o caminho fácil partir de uma tabela já limpa e pronta</w:t>
      </w:r>
      <w:r w:rsidR="006C5C42">
        <w:rPr>
          <w:sz w:val="22"/>
          <w:szCs w:val="22"/>
        </w:rPr>
        <w:t>,</w:t>
      </w:r>
      <w:r>
        <w:rPr>
          <w:sz w:val="22"/>
          <w:szCs w:val="22"/>
        </w:rPr>
        <w:t xml:space="preserve"> mas ele foi descartado. O enunciado afirma que a qualidade do dado começa na coleta, e essa afirmação só pode ser demonstrada na prática se o dado vier com defeitos a serem tratados. Um arquivo já limpo não ensina preparação de dados, porque não há o que preparar. Ao escolher o </w:t>
      </w:r>
      <w:proofErr w:type="spellStart"/>
      <w:r>
        <w:rPr>
          <w:sz w:val="22"/>
          <w:szCs w:val="22"/>
        </w:rPr>
        <w:t>TabNet</w:t>
      </w:r>
      <w:proofErr w:type="spellEnd"/>
      <w:r>
        <w:rPr>
          <w:sz w:val="22"/>
          <w:szCs w:val="22"/>
        </w:rPr>
        <w:t>, que entrega um arquivo carregado de ruído de origem, o próprio problema que a disciplina quer ensinar a resolver foi criado deliberadamente.</w:t>
      </w:r>
    </w:p>
    <w:p w14:paraId="3FC1AE0B" w14:textId="77777777" w:rsidR="00A5113D" w:rsidRDefault="00000000">
      <w:pPr>
        <w:pStyle w:val="Ttulo2"/>
        <w:spacing w:before="200" w:after="120"/>
      </w:pPr>
      <w:r>
        <w:rPr>
          <w:b/>
          <w:bCs/>
          <w:sz w:val="24"/>
          <w:szCs w:val="24"/>
        </w:rPr>
        <w:t>2.2 O que se esperava encontrar</w:t>
      </w:r>
    </w:p>
    <w:p w14:paraId="043EA4E8" w14:textId="03E7C750" w:rsidR="00A5113D" w:rsidRDefault="00000000">
      <w:pPr>
        <w:spacing w:after="160" w:line="276" w:lineRule="auto"/>
        <w:jc w:val="both"/>
      </w:pPr>
      <w:r>
        <w:rPr>
          <w:sz w:val="22"/>
          <w:szCs w:val="22"/>
        </w:rPr>
        <w:t xml:space="preserve">A hipótese, antes mesmo de abrir o arquivo, era a de que o dado não viria pronto para uso: por se tratar de um sistema de governo, era esperado que trouxesse informação de contexto misturada aos dados, formato antigo e possivelmente linhas que sequer são </w:t>
      </w:r>
      <w:proofErr w:type="gramStart"/>
      <w:r>
        <w:rPr>
          <w:sz w:val="22"/>
          <w:szCs w:val="22"/>
        </w:rPr>
        <w:t>dado</w:t>
      </w:r>
      <w:proofErr w:type="gramEnd"/>
      <w:r>
        <w:rPr>
          <w:sz w:val="22"/>
          <w:szCs w:val="22"/>
        </w:rPr>
        <w:t xml:space="preserve">. Importante registrar que o objetivo desta atividade não era analisar a epidemia de Zika nem extrair conclusões de saúde, e sim dominar a etapa anterior a isso </w:t>
      </w:r>
      <w:r w:rsidR="006C5C42">
        <w:rPr>
          <w:sz w:val="22"/>
          <w:szCs w:val="22"/>
        </w:rPr>
        <w:t>no qual era</w:t>
      </w:r>
      <w:r>
        <w:rPr>
          <w:sz w:val="22"/>
          <w:szCs w:val="22"/>
        </w:rPr>
        <w:t xml:space="preserve"> transformar um arquivo bruto de uma fonte confiável em uma tabela em que se pode confiar. A análise viria depois; aqui, o produto é uma tabela limpa e um processo documentado.</w:t>
      </w:r>
    </w:p>
    <w:p w14:paraId="724901A4" w14:textId="77777777" w:rsidR="00A5113D" w:rsidRDefault="00000000">
      <w:pPr>
        <w:pStyle w:val="Ttulo1"/>
        <w:spacing w:before="240" w:after="160"/>
      </w:pPr>
      <w:r>
        <w:rPr>
          <w:b/>
          <w:bCs/>
          <w:sz w:val="28"/>
          <w:szCs w:val="28"/>
        </w:rPr>
        <w:t>3. Estação A — Aquisição a partir de arquivo local</w:t>
      </w:r>
    </w:p>
    <w:p w14:paraId="75D0D49B" w14:textId="77777777" w:rsidR="00A5113D" w:rsidRDefault="00000000">
      <w:pPr>
        <w:pStyle w:val="Ttulo2"/>
        <w:spacing w:before="200" w:after="120"/>
      </w:pPr>
      <w:r>
        <w:rPr>
          <w:b/>
          <w:bCs/>
          <w:sz w:val="24"/>
          <w:szCs w:val="24"/>
        </w:rPr>
        <w:t>3.1 Fonte e método</w:t>
      </w:r>
    </w:p>
    <w:p w14:paraId="67792B07" w14:textId="77777777" w:rsidR="00A5113D" w:rsidRDefault="00000000">
      <w:pPr>
        <w:spacing w:after="160" w:line="276" w:lineRule="auto"/>
        <w:jc w:val="both"/>
      </w:pPr>
      <w:r>
        <w:rPr>
          <w:sz w:val="22"/>
          <w:szCs w:val="22"/>
        </w:rPr>
        <w:t xml:space="preserve">Fonte: Ministério da Saúde / DATASUS — </w:t>
      </w:r>
      <w:proofErr w:type="spellStart"/>
      <w:r>
        <w:rPr>
          <w:sz w:val="22"/>
          <w:szCs w:val="22"/>
        </w:rPr>
        <w:t>TabNet</w:t>
      </w:r>
      <w:proofErr w:type="spellEnd"/>
      <w:r>
        <w:rPr>
          <w:sz w:val="22"/>
          <w:szCs w:val="22"/>
        </w:rPr>
        <w:t xml:space="preserve">, SINAN Net (Zika Vírus), casos por município de residência, estado de São Paulo, período de notificação de 2026. Método de aquisição: exportação manual do resultado em formato CSV, pela própria interface do </w:t>
      </w:r>
      <w:proofErr w:type="spellStart"/>
      <w:r>
        <w:rPr>
          <w:sz w:val="22"/>
          <w:szCs w:val="22"/>
        </w:rPr>
        <w:t>TabNet</w:t>
      </w:r>
      <w:proofErr w:type="spellEnd"/>
      <w:r>
        <w:rPr>
          <w:sz w:val="22"/>
          <w:szCs w:val="22"/>
        </w:rPr>
        <w:t>. Um cuidado tomado logo no início foi preservar o arquivo bruto original intocado, como fonte da verdade, de modo a permitir refazer todo o processo caso necessário.</w:t>
      </w:r>
    </w:p>
    <w:p w14:paraId="2E749AF6" w14:textId="77777777" w:rsidR="00A5113D" w:rsidRDefault="00000000">
      <w:pPr>
        <w:pStyle w:val="Ttulo2"/>
        <w:spacing w:before="200" w:after="120"/>
      </w:pPr>
      <w:r>
        <w:rPr>
          <w:b/>
          <w:bCs/>
          <w:sz w:val="24"/>
          <w:szCs w:val="24"/>
        </w:rPr>
        <w:lastRenderedPageBreak/>
        <w:t>3.2 Passo a passo e problemas de qualidade encontrados</w:t>
      </w:r>
    </w:p>
    <w:p w14:paraId="4A69AD07" w14:textId="77777777" w:rsidR="00A5113D" w:rsidRDefault="00000000">
      <w:pPr>
        <w:spacing w:after="160" w:line="276" w:lineRule="auto"/>
        <w:jc w:val="both"/>
      </w:pPr>
      <w:r>
        <w:rPr>
          <w:sz w:val="22"/>
          <w:szCs w:val="22"/>
        </w:rPr>
        <w:t xml:space="preserve">O primeiro movimento, antes de qualquer tratamento, foi inspecionar o arquivo cru em vez de confiar cegamente nele. Essa inspeção revelou que o </w:t>
      </w:r>
      <w:proofErr w:type="spellStart"/>
      <w:r>
        <w:rPr>
          <w:sz w:val="22"/>
          <w:szCs w:val="22"/>
        </w:rPr>
        <w:t>TabNet</w:t>
      </w:r>
      <w:proofErr w:type="spellEnd"/>
      <w:r>
        <w:rPr>
          <w:sz w:val="22"/>
          <w:szCs w:val="22"/>
        </w:rPr>
        <w:t xml:space="preserve"> não entrega uma tabela limpa, e sim um relatório com a tabela no meio. Os problemas de qualidade encontrados, todos originados na própria fonte, foram:</w:t>
      </w:r>
    </w:p>
    <w:p w14:paraId="531FC154" w14:textId="77777777" w:rsidR="00A5113D" w:rsidRDefault="00000000">
      <w:pPr>
        <w:pStyle w:val="PargrafodaLista"/>
        <w:numPr>
          <w:ilvl w:val="0"/>
          <w:numId w:val="1"/>
        </w:numPr>
        <w:spacing w:after="80" w:line="276" w:lineRule="auto"/>
        <w:jc w:val="both"/>
      </w:pPr>
      <w:r>
        <w:rPr>
          <w:sz w:val="22"/>
          <w:szCs w:val="22"/>
        </w:rPr>
        <w:t>Codificação em Latin-1 (ISO-8859-1) em vez de UTF-8, o que embaralha acentos ou impede a leitura. Tratado informando a codificação correta na importação.</w:t>
      </w:r>
    </w:p>
    <w:p w14:paraId="0448A0EA" w14:textId="77777777" w:rsidR="00A5113D" w:rsidRDefault="00000000">
      <w:pPr>
        <w:pStyle w:val="PargrafodaLista"/>
        <w:numPr>
          <w:ilvl w:val="0"/>
          <w:numId w:val="1"/>
        </w:numPr>
        <w:spacing w:after="80" w:line="276" w:lineRule="auto"/>
        <w:jc w:val="both"/>
      </w:pPr>
      <w:r>
        <w:rPr>
          <w:sz w:val="22"/>
          <w:szCs w:val="22"/>
        </w:rPr>
        <w:t>Separador de colunas em ponto-e-vírgula, e não vírgula, o que faria todo o conteúdo ser lido como uma única coluna. Tratado informando o separador correto.</w:t>
      </w:r>
    </w:p>
    <w:p w14:paraId="7151EBF9" w14:textId="77777777" w:rsidR="00A5113D" w:rsidRDefault="00000000">
      <w:pPr>
        <w:pStyle w:val="PargrafodaLista"/>
        <w:numPr>
          <w:ilvl w:val="0"/>
          <w:numId w:val="1"/>
        </w:numPr>
        <w:spacing w:after="80" w:line="276" w:lineRule="auto"/>
        <w:jc w:val="both"/>
      </w:pPr>
      <w:r>
        <w:rPr>
          <w:sz w:val="22"/>
          <w:szCs w:val="22"/>
        </w:rPr>
        <w:t>Quatro linhas de título e descrição da consulta antes do cabeçalho real, e vinte e duas linhas de rodapé (fonte, notas e datas de atualização) ao final — texto que não é dado. Tratados descartando essas linhas na leitura.</w:t>
      </w:r>
    </w:p>
    <w:p w14:paraId="6ED6ADC9" w14:textId="77777777" w:rsidR="00A5113D" w:rsidRDefault="00000000">
      <w:pPr>
        <w:pStyle w:val="PargrafodaLista"/>
        <w:numPr>
          <w:ilvl w:val="0"/>
          <w:numId w:val="1"/>
        </w:numPr>
        <w:spacing w:after="80" w:line="276" w:lineRule="auto"/>
        <w:jc w:val="both"/>
      </w:pPr>
      <w:r>
        <w:rPr>
          <w:sz w:val="22"/>
          <w:szCs w:val="22"/>
        </w:rPr>
        <w:t>Uma linha de "Total" inserida no meio dos dados, como se fosse um município. Trata-se de um valor agregado misturado ao detalhe, que contaminaria qualquer cálculo. Foi removido por regra (mantendo apenas as linhas cujo município é diferente de "Total") e não por posição, para que o tratamento continue válido se o dado for reexportado em outra ordem.</w:t>
      </w:r>
    </w:p>
    <w:p w14:paraId="3CD5DB73" w14:textId="77777777" w:rsidR="00A5113D" w:rsidRDefault="00000000">
      <w:pPr>
        <w:pStyle w:val="PargrafodaLista"/>
        <w:numPr>
          <w:ilvl w:val="0"/>
          <w:numId w:val="1"/>
        </w:numPr>
        <w:spacing w:after="80" w:line="276" w:lineRule="auto"/>
        <w:jc w:val="both"/>
      </w:pPr>
      <w:r>
        <w:rPr>
          <w:sz w:val="22"/>
          <w:szCs w:val="22"/>
        </w:rPr>
        <w:t>Código IBGE e nome do município reunidos em um único campo (ex.: "350070 AGUDOS"). Um campo com mais de um valor viola a ideia de dado atômico e dificulta ordenar, agrupar e cruzar com outras fontes. Foi dividido em duas colunas — código e nome — cortando apenas no primeiro espaço, para não partir nomes compostos como "Bady Bassitt", e a coluna original foi descartada.</w:t>
      </w:r>
    </w:p>
    <w:p w14:paraId="7350A61D" w14:textId="77777777" w:rsidR="00A5113D" w:rsidRDefault="00000000">
      <w:pPr>
        <w:pStyle w:val="Ttulo2"/>
        <w:spacing w:before="200" w:after="120"/>
      </w:pPr>
      <w:r>
        <w:rPr>
          <w:b/>
          <w:bCs/>
          <w:sz w:val="24"/>
          <w:szCs w:val="24"/>
        </w:rPr>
        <w:t>3.3 Confirmação do período</w:t>
      </w:r>
    </w:p>
    <w:p w14:paraId="7801907B" w14:textId="77777777" w:rsidR="00A5113D" w:rsidRDefault="00000000">
      <w:pPr>
        <w:spacing w:after="160" w:line="276" w:lineRule="auto"/>
        <w:jc w:val="both"/>
      </w:pPr>
      <w:r>
        <w:rPr>
          <w:sz w:val="22"/>
          <w:szCs w:val="22"/>
        </w:rPr>
        <w:t xml:space="preserve">Durante a montagem da ficha, surgiu uma dúvida legítima sobre o período do recorte: o cabeçalho do arquivo exibia tanto uma faixa de anos quanto a indicação "Período: 2026". Em vez de assumir a hipótese mais provável, o período foi confirmado por evidência convergente — a leitura atenta do cabeçalho do próprio arquivo e a verificação na tela do </w:t>
      </w:r>
      <w:proofErr w:type="spellStart"/>
      <w:r>
        <w:rPr>
          <w:sz w:val="22"/>
          <w:szCs w:val="22"/>
        </w:rPr>
        <w:t>TabNet</w:t>
      </w:r>
      <w:proofErr w:type="spellEnd"/>
      <w:r>
        <w:rPr>
          <w:sz w:val="22"/>
          <w:szCs w:val="22"/>
        </w:rPr>
        <w:t>, que exibia uma única linha de ano (2026) com total idêntico ao geral (445 casos). Confirmou-se, assim, que o recorte é exclusivamente do período de 2026. Este episódio reforça um princípio: diante de incerteza sobre a origem do dado, o analista retorna à fonte e confirma, em vez de adotar a suposição mais provável.</w:t>
      </w:r>
    </w:p>
    <w:p w14:paraId="6F10B8E4" w14:textId="77777777" w:rsidR="00A5113D" w:rsidRDefault="00000000">
      <w:pPr>
        <w:pStyle w:val="Ttulo2"/>
        <w:spacing w:before="200" w:after="120"/>
      </w:pPr>
      <w:r>
        <w:rPr>
          <w:b/>
          <w:bCs/>
          <w:sz w:val="24"/>
          <w:szCs w:val="24"/>
        </w:rPr>
        <w:t>3.4 Salvamento</w:t>
      </w:r>
    </w:p>
    <w:p w14:paraId="6F91E68E" w14:textId="0636A6E9" w:rsidR="00A5113D" w:rsidRDefault="00000000">
      <w:pPr>
        <w:spacing w:after="160" w:line="276" w:lineRule="auto"/>
        <w:jc w:val="both"/>
      </w:pPr>
      <w:r>
        <w:rPr>
          <w:sz w:val="22"/>
          <w:szCs w:val="22"/>
        </w:rPr>
        <w:t>Concluídos os tratamentos, a tabela foi gravada em um arquivo novo e separado, "zika_limpo.csv", preservando o bruto original. Duas escolhas conscientes no salvamento: não gravar a numeração interna das linhas como se fosse uma coluna de dado, e gravar em UTF-</w:t>
      </w:r>
      <w:proofErr w:type="gramStart"/>
      <w:r>
        <w:rPr>
          <w:sz w:val="22"/>
          <w:szCs w:val="22"/>
        </w:rPr>
        <w:t xml:space="preserve">8 </w:t>
      </w:r>
      <w:r w:rsidR="006C5C42">
        <w:rPr>
          <w:sz w:val="22"/>
          <w:szCs w:val="22"/>
        </w:rPr>
        <w:t>,</w:t>
      </w:r>
      <w:proofErr w:type="gramEnd"/>
      <w:r>
        <w:rPr>
          <w:sz w:val="22"/>
          <w:szCs w:val="22"/>
        </w:rPr>
        <w:t xml:space="preserve"> o padrão universal moderno em vez do Latin-1 de origem, de modo que o arquivo limpo possa ser aberto corretamente em qualquer sistema. Nota-se, aqui, a qualidade do dado subindo ao longo do ciclo: o arquivo entrou exigindo três correções para ser lido e saiu no formato que qualquer ferramenta espera.</w:t>
      </w:r>
    </w:p>
    <w:p w14:paraId="4B46CCCC" w14:textId="77777777" w:rsidR="00A5113D" w:rsidRDefault="00000000">
      <w:pPr>
        <w:pStyle w:val="Ttulo1"/>
        <w:spacing w:before="240" w:after="160"/>
      </w:pPr>
      <w:r>
        <w:rPr>
          <w:b/>
          <w:bCs/>
          <w:sz w:val="28"/>
          <w:szCs w:val="28"/>
        </w:rPr>
        <w:t>4. Estação B — Aquisição via API (IBGE)</w:t>
      </w:r>
    </w:p>
    <w:p w14:paraId="762B87A5" w14:textId="77777777" w:rsidR="00A5113D" w:rsidRDefault="00000000">
      <w:pPr>
        <w:pStyle w:val="Ttulo2"/>
        <w:spacing w:before="200" w:after="120"/>
      </w:pPr>
      <w:r>
        <w:rPr>
          <w:b/>
          <w:bCs/>
          <w:sz w:val="24"/>
          <w:szCs w:val="24"/>
        </w:rPr>
        <w:t>4.1 Fonte e método</w:t>
      </w:r>
    </w:p>
    <w:p w14:paraId="7EFFC777" w14:textId="77777777" w:rsidR="00A5113D" w:rsidRDefault="00000000">
      <w:pPr>
        <w:spacing w:after="160" w:line="276" w:lineRule="auto"/>
        <w:jc w:val="both"/>
      </w:pPr>
      <w:r>
        <w:rPr>
          <w:sz w:val="22"/>
          <w:szCs w:val="22"/>
        </w:rPr>
        <w:lastRenderedPageBreak/>
        <w:t xml:space="preserve">Fonte: API de Localidades do IBGE, que fornece a lista oficial de municípios do estado de São Paulo com seus códigos e nomes. Método de aquisição: requisição HTTP direta, feita pelo próprio código por meio da biblioteca </w:t>
      </w:r>
      <w:proofErr w:type="spellStart"/>
      <w:r>
        <w:rPr>
          <w:sz w:val="22"/>
          <w:szCs w:val="22"/>
        </w:rPr>
        <w:t>requests</w:t>
      </w:r>
      <w:proofErr w:type="spellEnd"/>
      <w:r>
        <w:rPr>
          <w:sz w:val="22"/>
          <w:szCs w:val="22"/>
        </w:rPr>
        <w:t>, sem download manual de arquivo. Essa é a diferença central em relação à Estação A: enquanto no arquivo local o dado foi buscado no site e salvo em disco antes de ser lido, na API o pedido é feito diretamente ao servidor e a resposta é recebida na hora, dentro do programa. Arquivo é buscar e trazer; API é pedir e receber.</w:t>
      </w:r>
    </w:p>
    <w:p w14:paraId="35940A41" w14:textId="77777777" w:rsidR="00A5113D" w:rsidRDefault="00000000">
      <w:pPr>
        <w:spacing w:after="160" w:line="276" w:lineRule="auto"/>
        <w:jc w:val="both"/>
      </w:pPr>
      <w:r>
        <w:rPr>
          <w:sz w:val="22"/>
          <w:szCs w:val="22"/>
        </w:rPr>
        <w:t>A escolha da API de Localidades foi proposital: ela traz o código IBGE de cada município, a mesma chave presente na tabela de Zika, o que abre a possibilidade de ligar as duas fontes.</w:t>
      </w:r>
    </w:p>
    <w:p w14:paraId="0B5A3A5B" w14:textId="77777777" w:rsidR="00A5113D" w:rsidRDefault="00000000">
      <w:pPr>
        <w:pStyle w:val="Ttulo2"/>
        <w:spacing w:before="200" w:after="120"/>
      </w:pPr>
      <w:r>
        <w:rPr>
          <w:b/>
          <w:bCs/>
          <w:sz w:val="24"/>
          <w:szCs w:val="24"/>
        </w:rPr>
        <w:t>4.2 Passo a passo e tratamento</w:t>
      </w:r>
    </w:p>
    <w:p w14:paraId="1F7D6743" w14:textId="7CFDAA64" w:rsidR="00A5113D" w:rsidRDefault="00000000">
      <w:pPr>
        <w:spacing w:after="160" w:line="276" w:lineRule="auto"/>
        <w:jc w:val="both"/>
      </w:pPr>
      <w:r>
        <w:rPr>
          <w:sz w:val="22"/>
          <w:szCs w:val="22"/>
        </w:rPr>
        <w:t>A requisição retornou com status HTTP 200, confirmando o sucesso antes de qualquer uso do dado. A resposta veio em formato JSON</w:t>
      </w:r>
      <w:r w:rsidR="006C5C42">
        <w:rPr>
          <w:sz w:val="22"/>
          <w:szCs w:val="22"/>
        </w:rPr>
        <w:t>,</w:t>
      </w:r>
      <w:r>
        <w:rPr>
          <w:sz w:val="22"/>
          <w:szCs w:val="22"/>
        </w:rPr>
        <w:t xml:space="preserve"> um texto estruturado, padrão de troca de dados na web</w:t>
      </w:r>
      <w:r w:rsidR="006C5C42">
        <w:rPr>
          <w:sz w:val="22"/>
          <w:szCs w:val="22"/>
        </w:rPr>
        <w:t>.</w:t>
      </w:r>
      <w:r>
        <w:rPr>
          <w:sz w:val="22"/>
          <w:szCs w:val="22"/>
        </w:rPr>
        <w:t xml:space="preserve"> </w:t>
      </w:r>
      <w:r w:rsidR="006C5C42">
        <w:rPr>
          <w:sz w:val="22"/>
          <w:szCs w:val="22"/>
        </w:rPr>
        <w:t>O</w:t>
      </w:r>
      <w:r>
        <w:rPr>
          <w:sz w:val="22"/>
          <w:szCs w:val="22"/>
        </w:rPr>
        <w:t>rganizado como uma lista de 645 objetos, um por município. O número 645 coincide com a quantidade real de municípios de São Paulo, uma checagem de sanidade que confirmou que o dado veio completo.</w:t>
      </w:r>
    </w:p>
    <w:p w14:paraId="28EF43A4" w14:textId="7DA1419A" w:rsidR="00A5113D" w:rsidRDefault="00000000">
      <w:pPr>
        <w:spacing w:after="160" w:line="276" w:lineRule="auto"/>
        <w:jc w:val="both"/>
      </w:pPr>
      <w:r>
        <w:rPr>
          <w:sz w:val="22"/>
          <w:szCs w:val="22"/>
        </w:rPr>
        <w:t>Cada município no JSON trazia, além do código e do nome, várias camadas geográficas aninhadas (microrregião, mesorregião, unidade da federação, região). Como o objetivo já estava claro</w:t>
      </w:r>
      <w:r w:rsidR="006C5C42">
        <w:rPr>
          <w:sz w:val="22"/>
          <w:szCs w:val="22"/>
        </w:rPr>
        <w:t xml:space="preserve"> que era</w:t>
      </w:r>
      <w:r>
        <w:rPr>
          <w:sz w:val="22"/>
          <w:szCs w:val="22"/>
        </w:rPr>
        <w:t xml:space="preserve"> obter apenas código e nome para cruzar com a Zika, optou-se por extrair somente esses dois campos e descartar o contexto irrelevante, em vez de achatar toda a estrutura. Essa decisão segue um princípio de propósito: coleta-se o que se vai usar, mantendo a tabela enxuta e legível. A lista resultante foi convertida em </w:t>
      </w:r>
      <w:proofErr w:type="spellStart"/>
      <w:r>
        <w:rPr>
          <w:sz w:val="22"/>
          <w:szCs w:val="22"/>
        </w:rPr>
        <w:t>DataFrame</w:t>
      </w:r>
      <w:proofErr w:type="spellEnd"/>
      <w:r>
        <w:rPr>
          <w:sz w:val="22"/>
          <w:szCs w:val="22"/>
        </w:rPr>
        <w:t>, a mesma estrutura de tabela usada na Estação A.</w:t>
      </w:r>
    </w:p>
    <w:p w14:paraId="7E02BD4C" w14:textId="51794F8B" w:rsidR="00A5113D" w:rsidRDefault="00000000">
      <w:pPr>
        <w:spacing w:after="160" w:line="276" w:lineRule="auto"/>
        <w:jc w:val="both"/>
      </w:pPr>
      <w:r>
        <w:rPr>
          <w:sz w:val="22"/>
          <w:szCs w:val="22"/>
        </w:rPr>
        <w:t>O principal tratamento da Estação B foi a padronização do código de município, necessária para que as duas tabelas pudessem ser cruzadas. Constatou-se que o código do IBGE tem 7 dígitos, sendo o último um dígito verificador, enquanto a tabela de Zika (DATASUS) usa o mesmo código sem esse dígito, com 6 dígitos. Verificou-se ainda uma diferença de tipo: o código do IBGE veio como número inteiro e o da Zika como texto. É importante registrar que nenhuma das fontes está errada</w:t>
      </w:r>
      <w:r w:rsidR="006C5C42">
        <w:rPr>
          <w:sz w:val="22"/>
          <w:szCs w:val="22"/>
        </w:rPr>
        <w:t>,</w:t>
      </w:r>
      <w:r>
        <w:rPr>
          <w:sz w:val="22"/>
          <w:szCs w:val="22"/>
        </w:rPr>
        <w:t xml:space="preserve"> são dois padrões oficiais válidos. O problema não era um defeito, mas uma incompatibilidade entre formatos. Ambas as diferenças foram resolvidas em uma única operação: converter o código para texto e cortar o último caractere, reduzindo-o de 7 para 6 dígitos e deixando-o como texto, igual ao da Zika. Optou-se por cortar o dígito verificador em vez de calculá-lo na tabela de Zika, por ser a operação de menor risco e sem fabricação de dado novo.</w:t>
      </w:r>
    </w:p>
    <w:p w14:paraId="4A24FAD4" w14:textId="77777777" w:rsidR="00A5113D" w:rsidRDefault="00000000">
      <w:pPr>
        <w:pStyle w:val="Ttulo2"/>
        <w:spacing w:before="200" w:after="120"/>
      </w:pPr>
      <w:r>
        <w:rPr>
          <w:b/>
          <w:bCs/>
          <w:sz w:val="24"/>
          <w:szCs w:val="24"/>
        </w:rPr>
        <w:t>4.3 Salvamento</w:t>
      </w:r>
    </w:p>
    <w:p w14:paraId="07B7785A" w14:textId="77777777" w:rsidR="00A5113D" w:rsidRDefault="00000000">
      <w:pPr>
        <w:spacing w:after="160" w:line="276" w:lineRule="auto"/>
        <w:jc w:val="both"/>
      </w:pPr>
      <w:r>
        <w:rPr>
          <w:sz w:val="22"/>
          <w:szCs w:val="22"/>
        </w:rPr>
        <w:t xml:space="preserve">A tabela de referência foi gravada em "municipios_ibge_sp.csv", também em UTF-8 e sem a numeração interna. Uma diferença conceitual em relação à Estação A merece registro: não há um "arquivo bruto" a guardar como na fonte de arquivo, pois a fonte é a própria API, sempre </w:t>
      </w:r>
      <w:proofErr w:type="spellStart"/>
      <w:r>
        <w:rPr>
          <w:sz w:val="22"/>
          <w:szCs w:val="22"/>
        </w:rPr>
        <w:t>reconsultável</w:t>
      </w:r>
      <w:proofErr w:type="spellEnd"/>
      <w:r>
        <w:rPr>
          <w:sz w:val="22"/>
          <w:szCs w:val="22"/>
        </w:rPr>
        <w:t xml:space="preserve"> pelo mesmo endereço. A reprodutibilidade, aqui, vem da URL registrada, e não de um arquivo salvo. Fonte de arquivo se guarda; fonte de API se </w:t>
      </w:r>
      <w:proofErr w:type="spellStart"/>
      <w:r>
        <w:rPr>
          <w:sz w:val="22"/>
          <w:szCs w:val="22"/>
        </w:rPr>
        <w:t>referencia</w:t>
      </w:r>
      <w:proofErr w:type="spellEnd"/>
      <w:r>
        <w:rPr>
          <w:sz w:val="22"/>
          <w:szCs w:val="22"/>
        </w:rPr>
        <w:t>.</w:t>
      </w:r>
    </w:p>
    <w:p w14:paraId="2490C64D" w14:textId="77777777" w:rsidR="00A5113D" w:rsidRDefault="00000000">
      <w:pPr>
        <w:pStyle w:val="Ttulo1"/>
        <w:spacing w:before="240" w:after="160"/>
      </w:pPr>
      <w:r>
        <w:rPr>
          <w:b/>
          <w:bCs/>
          <w:sz w:val="28"/>
          <w:szCs w:val="28"/>
        </w:rPr>
        <w:t>5. Etapa extra — Cruzamento das duas fontes (validação)</w:t>
      </w:r>
    </w:p>
    <w:p w14:paraId="611434E3" w14:textId="29F5FF0C" w:rsidR="00A5113D" w:rsidRDefault="00000000">
      <w:pPr>
        <w:spacing w:after="160" w:line="276" w:lineRule="auto"/>
        <w:jc w:val="both"/>
      </w:pPr>
      <w:r>
        <w:rPr>
          <w:sz w:val="22"/>
          <w:szCs w:val="22"/>
        </w:rPr>
        <w:t>Esta etapa vai além do que a atividade exige. O núcleo obrigatório</w:t>
      </w:r>
      <w:r w:rsidR="006C5C42">
        <w:rPr>
          <w:sz w:val="22"/>
          <w:szCs w:val="22"/>
        </w:rPr>
        <w:t xml:space="preserve"> de</w:t>
      </w:r>
      <w:r>
        <w:rPr>
          <w:sz w:val="22"/>
          <w:szCs w:val="22"/>
        </w:rPr>
        <w:t xml:space="preserve"> coletar as duas fontes, tratá-las e documentar o ciclo de vida </w:t>
      </w:r>
      <w:r w:rsidR="006C5C42">
        <w:rPr>
          <w:sz w:val="22"/>
          <w:szCs w:val="22"/>
        </w:rPr>
        <w:t>que</w:t>
      </w:r>
      <w:r>
        <w:rPr>
          <w:sz w:val="22"/>
          <w:szCs w:val="22"/>
        </w:rPr>
        <w:t xml:space="preserve"> já foi cumprido nas Estações A e B. O cruzamento foi incluído para validar o trabalho de preparação e demonstrar a utilidade prática da padronização feita, e é aqui apresentado explicitamente como um passo adicional.</w:t>
      </w:r>
    </w:p>
    <w:p w14:paraId="5F3DDC27" w14:textId="46825DC7" w:rsidR="00A5113D" w:rsidRDefault="00000000">
      <w:pPr>
        <w:spacing w:after="160" w:line="276" w:lineRule="auto"/>
        <w:jc w:val="both"/>
      </w:pPr>
      <w:r>
        <w:rPr>
          <w:sz w:val="22"/>
          <w:szCs w:val="22"/>
        </w:rPr>
        <w:lastRenderedPageBreak/>
        <w:t>O objetivo foi juntar a tabela de casos de Zika com a tabela oficial de municípios do IBGE, usando o código do município como chave. Entre os tipos de junção possíveis, escolheu-se a junção interna que mantém apenas os municípios presentes nas duas tabelas</w:t>
      </w:r>
      <w:r w:rsidR="006C5C42">
        <w:rPr>
          <w:sz w:val="22"/>
          <w:szCs w:val="22"/>
        </w:rPr>
        <w:t>,</w:t>
      </w:r>
      <w:r>
        <w:rPr>
          <w:sz w:val="22"/>
          <w:szCs w:val="22"/>
        </w:rPr>
        <w:t xml:space="preserve"> porque ela funciona como um teste de qualidade. A tabela de Zika tem 55 municípios com casos; se o cruzamento retornasse 55 linhas, isso provaria que todos os códigos encontraram correspondência no IBGE. Um número menor revelaria códigos que não casaram.</w:t>
      </w:r>
    </w:p>
    <w:p w14:paraId="6333AF63" w14:textId="77777777" w:rsidR="00A5113D" w:rsidRDefault="00000000">
      <w:pPr>
        <w:spacing w:after="160" w:line="276" w:lineRule="auto"/>
        <w:jc w:val="both"/>
      </w:pPr>
      <w:r>
        <w:rPr>
          <w:sz w:val="22"/>
          <w:szCs w:val="22"/>
        </w:rPr>
        <w:t>O cruzamento retornou exatamente 55 linhas, confirmando que todos os códigos encontraram par no IBGE e validando o trabalho de padronização. O resultado também evidenciou, na prática, por que a junção foi feita pelo código e não pelo nome: municípios como "ARACATUBA" (DATASUS) e "Araçatuba" (IBGE) têm grafias diferentes em maiúsculas e acentuação e não casariam por texto, mas casaram pelo código, idêntico após a padronização. Como subproduto, o resultado passou a conter o nome oficial do IBGE ao lado do nome do DATASUS.</w:t>
      </w:r>
    </w:p>
    <w:p w14:paraId="50DC6665" w14:textId="77777777" w:rsidR="00A5113D" w:rsidRDefault="00000000">
      <w:pPr>
        <w:pStyle w:val="Ttulo1"/>
        <w:spacing w:before="240" w:after="160"/>
      </w:pPr>
      <w:r>
        <w:rPr>
          <w:b/>
          <w:bCs/>
          <w:sz w:val="28"/>
          <w:szCs w:val="28"/>
        </w:rPr>
        <w:t>6. Problemas de execução enfrentados</w:t>
      </w:r>
    </w:p>
    <w:p w14:paraId="32510D14" w14:textId="281E8508" w:rsidR="00A5113D" w:rsidRDefault="00000000">
      <w:pPr>
        <w:spacing w:after="160" w:line="276" w:lineRule="auto"/>
        <w:jc w:val="both"/>
      </w:pPr>
      <w:r>
        <w:rPr>
          <w:sz w:val="22"/>
          <w:szCs w:val="22"/>
        </w:rPr>
        <w:t>Além dos problemas de qualidade do próprio dado (registrados nas seções anteriores), o processo envolveu obstáculos de execução</w:t>
      </w:r>
      <w:r w:rsidR="006C5C42">
        <w:rPr>
          <w:sz w:val="22"/>
          <w:szCs w:val="22"/>
        </w:rPr>
        <w:t xml:space="preserve">, </w:t>
      </w:r>
      <w:r>
        <w:rPr>
          <w:sz w:val="22"/>
          <w:szCs w:val="22"/>
        </w:rPr>
        <w:t>falhas na escrita do código, superadas ao longo do trabalho. Registrá-los é parte de documentar o processo real, e a distinção entre "problema de qualidade do dado" (defeito vindo da fonte) e "erro de execução" (deslize na escrita do código) é ela própria um aprendizado importante. Os principais foram:</w:t>
      </w:r>
    </w:p>
    <w:p w14:paraId="6A6F90AE" w14:textId="172E6329" w:rsidR="00A5113D" w:rsidRDefault="00000000">
      <w:pPr>
        <w:pStyle w:val="PargrafodaLista"/>
        <w:numPr>
          <w:ilvl w:val="0"/>
          <w:numId w:val="1"/>
        </w:numPr>
        <w:spacing w:after="80" w:line="276" w:lineRule="auto"/>
        <w:jc w:val="both"/>
      </w:pPr>
      <w:r>
        <w:rPr>
          <w:sz w:val="22"/>
          <w:szCs w:val="22"/>
        </w:rPr>
        <w:t>Caminho de arquivo apontando para a pasta sem o nome do arquivo, e uso da barra invertida do Windows sendo interpretada como código especial resolvidos usando o nome relativo do arquivo, com o notebook salvo na mesma pasta.</w:t>
      </w:r>
    </w:p>
    <w:p w14:paraId="550E49F0" w14:textId="3CA158B4" w:rsidR="00A5113D" w:rsidRDefault="00000000">
      <w:pPr>
        <w:pStyle w:val="PargrafodaLista"/>
        <w:numPr>
          <w:ilvl w:val="0"/>
          <w:numId w:val="1"/>
        </w:numPr>
        <w:spacing w:after="80" w:line="276" w:lineRule="auto"/>
        <w:jc w:val="both"/>
      </w:pPr>
      <w:r>
        <w:rPr>
          <w:sz w:val="22"/>
          <w:szCs w:val="22"/>
        </w:rPr>
        <w:t>Vírgula faltando entre argumentos e números escritos entre aspas na chamada de leitura, que geraram erros de sintaxe e de tipo</w:t>
      </w:r>
      <w:r w:rsidR="00B61116">
        <w:rPr>
          <w:sz w:val="22"/>
          <w:szCs w:val="22"/>
        </w:rPr>
        <w:t>,</w:t>
      </w:r>
      <w:r>
        <w:rPr>
          <w:sz w:val="22"/>
          <w:szCs w:val="22"/>
        </w:rPr>
        <w:t xml:space="preserve"> corrigidos ajustando a escrita conforme a própria mensagem de erro indicava.</w:t>
      </w:r>
    </w:p>
    <w:p w14:paraId="20375727" w14:textId="052AFC54" w:rsidR="00A5113D" w:rsidRDefault="00000000">
      <w:pPr>
        <w:pStyle w:val="PargrafodaLista"/>
        <w:numPr>
          <w:ilvl w:val="0"/>
          <w:numId w:val="1"/>
        </w:numPr>
        <w:spacing w:after="80" w:line="276" w:lineRule="auto"/>
        <w:jc w:val="both"/>
      </w:pPr>
      <w:r>
        <w:rPr>
          <w:sz w:val="22"/>
          <w:szCs w:val="22"/>
        </w:rPr>
        <w:t>Contagem inicial equivocada das linhas a descartar no topo do arquivo</w:t>
      </w:r>
      <w:r w:rsidR="00B61116">
        <w:rPr>
          <w:sz w:val="22"/>
          <w:szCs w:val="22"/>
        </w:rPr>
        <w:t>,</w:t>
      </w:r>
      <w:r>
        <w:rPr>
          <w:sz w:val="22"/>
          <w:szCs w:val="22"/>
        </w:rPr>
        <w:t xml:space="preserve"> corrigida ao reexaminar a estrutura do arquivo.</w:t>
      </w:r>
    </w:p>
    <w:p w14:paraId="06173A47" w14:textId="77777777" w:rsidR="00A5113D" w:rsidRDefault="00000000">
      <w:pPr>
        <w:pStyle w:val="PargrafodaLista"/>
        <w:numPr>
          <w:ilvl w:val="0"/>
          <w:numId w:val="1"/>
        </w:numPr>
        <w:spacing w:after="80" w:line="276" w:lineRule="auto"/>
        <w:jc w:val="both"/>
      </w:pPr>
      <w:r>
        <w:rPr>
          <w:sz w:val="22"/>
          <w:szCs w:val="22"/>
        </w:rPr>
        <w:t xml:space="preserve">Ausência da biblioteca </w:t>
      </w:r>
      <w:proofErr w:type="spellStart"/>
      <w:r>
        <w:rPr>
          <w:sz w:val="22"/>
          <w:szCs w:val="22"/>
        </w:rPr>
        <w:t>requests</w:t>
      </w:r>
      <w:proofErr w:type="spellEnd"/>
      <w:r>
        <w:rPr>
          <w:sz w:val="22"/>
          <w:szCs w:val="22"/>
        </w:rPr>
        <w:t xml:space="preserve"> no ambiente, resolvida com instalação e reinício do kernel.</w:t>
      </w:r>
    </w:p>
    <w:p w14:paraId="442377BB" w14:textId="4BE785E0" w:rsidR="00A5113D" w:rsidRDefault="00000000">
      <w:pPr>
        <w:pStyle w:val="PargrafodaLista"/>
        <w:numPr>
          <w:ilvl w:val="0"/>
          <w:numId w:val="1"/>
        </w:numPr>
        <w:spacing w:after="80" w:line="276" w:lineRule="auto"/>
        <w:jc w:val="both"/>
      </w:pPr>
      <w:r>
        <w:rPr>
          <w:sz w:val="22"/>
          <w:szCs w:val="22"/>
        </w:rPr>
        <w:t>Salvamento acidental da tabela do IBGE sobre o arquivo da Zika, por uso de nome de arquivo repetido</w:t>
      </w:r>
      <w:r w:rsidR="00B61116">
        <w:rPr>
          <w:sz w:val="22"/>
          <w:szCs w:val="22"/>
        </w:rPr>
        <w:t>,</w:t>
      </w:r>
      <w:r>
        <w:rPr>
          <w:sz w:val="22"/>
          <w:szCs w:val="22"/>
        </w:rPr>
        <w:t xml:space="preserve"> o comando de gravação sobrescreve arquivos existentes sem aviso. Corrigido regravando cada tabela com seu nome correto. O episódio reforçou a importância de nomear arquivos com cuidado.</w:t>
      </w:r>
    </w:p>
    <w:p w14:paraId="1FB514C8" w14:textId="6A8B0361" w:rsidR="00A5113D" w:rsidRDefault="00000000">
      <w:pPr>
        <w:pStyle w:val="PargrafodaLista"/>
        <w:numPr>
          <w:ilvl w:val="0"/>
          <w:numId w:val="1"/>
        </w:numPr>
        <w:spacing w:after="80" w:line="276" w:lineRule="auto"/>
        <w:jc w:val="both"/>
      </w:pPr>
      <w:r>
        <w:rPr>
          <w:sz w:val="22"/>
          <w:szCs w:val="22"/>
        </w:rPr>
        <w:t>Exibição incorreta do arquivo final no Excel (colunas unidas e acentos quebrados), causada pela configuração regional do programa, e não por defeito do arquivo</w:t>
      </w:r>
      <w:r w:rsidR="00B61116">
        <w:rPr>
          <w:sz w:val="22"/>
          <w:szCs w:val="22"/>
        </w:rPr>
        <w:t xml:space="preserve">, </w:t>
      </w:r>
      <w:r>
        <w:rPr>
          <w:sz w:val="22"/>
          <w:szCs w:val="22"/>
        </w:rPr>
        <w:t xml:space="preserve">confirmado relendo o arquivo </w:t>
      </w:r>
      <w:proofErr w:type="gramStart"/>
      <w:r>
        <w:rPr>
          <w:sz w:val="22"/>
          <w:szCs w:val="22"/>
        </w:rPr>
        <w:t>no pandas</w:t>
      </w:r>
      <w:proofErr w:type="gramEnd"/>
      <w:r>
        <w:rPr>
          <w:sz w:val="22"/>
          <w:szCs w:val="22"/>
        </w:rPr>
        <w:t>, onde apareceu corretamente. Aprendizado: a ferramenta de visualização pode distorcer o dado sem que o dado esteja errado.</w:t>
      </w:r>
    </w:p>
    <w:p w14:paraId="00EAF9F4" w14:textId="77777777" w:rsidR="00A5113D" w:rsidRDefault="00000000">
      <w:pPr>
        <w:pStyle w:val="Ttulo1"/>
        <w:spacing w:before="240" w:after="160"/>
      </w:pPr>
      <w:r>
        <w:rPr>
          <w:b/>
          <w:bCs/>
          <w:sz w:val="28"/>
          <w:szCs w:val="28"/>
        </w:rPr>
        <w:t>7. Ficha do ciclo de vida — Estação A (arquivo local)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A5113D" w14:paraId="1A71924B"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5183A915" w14:textId="77777777" w:rsidR="00A5113D" w:rsidRDefault="00000000">
            <w:r>
              <w:rPr>
                <w:b/>
                <w:bCs/>
              </w:rPr>
              <w:t>Fonte</w:t>
            </w:r>
          </w:p>
        </w:tc>
        <w:tc>
          <w:tcPr>
            <w:tcW w:w="6100" w:type="dxa"/>
            <w:tcMar>
              <w:top w:w="60" w:type="dxa"/>
              <w:left w:w="100" w:type="dxa"/>
              <w:bottom w:w="60" w:type="dxa"/>
              <w:right w:w="100" w:type="dxa"/>
            </w:tcMar>
          </w:tcPr>
          <w:p w14:paraId="42FA613F" w14:textId="77777777" w:rsidR="00A5113D" w:rsidRDefault="00000000">
            <w:pPr>
              <w:jc w:val="both"/>
            </w:pPr>
            <w:r>
              <w:t xml:space="preserve">Ministério da Saúde / DATASUS — </w:t>
            </w:r>
            <w:proofErr w:type="spellStart"/>
            <w:r>
              <w:t>TabNet</w:t>
            </w:r>
            <w:proofErr w:type="spellEnd"/>
            <w:r>
              <w:t>, SINAN Net (Zika Vírus).</w:t>
            </w:r>
          </w:p>
        </w:tc>
      </w:tr>
      <w:tr w:rsidR="00A5113D" w14:paraId="73C45ED2"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2060A03" w14:textId="77777777" w:rsidR="00A5113D" w:rsidRDefault="00000000">
            <w:r>
              <w:rPr>
                <w:b/>
                <w:bCs/>
              </w:rPr>
              <w:t>Recorte</w:t>
            </w:r>
          </w:p>
        </w:tc>
        <w:tc>
          <w:tcPr>
            <w:tcW w:w="6100" w:type="dxa"/>
            <w:tcMar>
              <w:top w:w="60" w:type="dxa"/>
              <w:left w:w="100" w:type="dxa"/>
              <w:bottom w:w="60" w:type="dxa"/>
              <w:right w:w="100" w:type="dxa"/>
            </w:tcMar>
          </w:tcPr>
          <w:p w14:paraId="0CBAC280" w14:textId="77777777" w:rsidR="00A5113D" w:rsidRDefault="00000000">
            <w:pPr>
              <w:jc w:val="both"/>
            </w:pPr>
            <w:r>
              <w:t xml:space="preserve">Casos por município de residência, estado de São Paulo, período de notificação 2026 (445 casos, confirmado no arquivo e na tela do </w:t>
            </w:r>
            <w:proofErr w:type="spellStart"/>
            <w:r>
              <w:t>TabNet</w:t>
            </w:r>
            <w:proofErr w:type="spellEnd"/>
            <w:r>
              <w:t>).</w:t>
            </w:r>
          </w:p>
        </w:tc>
      </w:tr>
      <w:tr w:rsidR="00A5113D" w14:paraId="05403F31"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4F769294" w14:textId="77777777" w:rsidR="00A5113D" w:rsidRDefault="00000000">
            <w:r>
              <w:rPr>
                <w:b/>
                <w:bCs/>
              </w:rPr>
              <w:lastRenderedPageBreak/>
              <w:t>Método de aquisição</w:t>
            </w:r>
          </w:p>
        </w:tc>
        <w:tc>
          <w:tcPr>
            <w:tcW w:w="6100" w:type="dxa"/>
            <w:tcMar>
              <w:top w:w="60" w:type="dxa"/>
              <w:left w:w="100" w:type="dxa"/>
              <w:bottom w:w="60" w:type="dxa"/>
              <w:right w:w="100" w:type="dxa"/>
            </w:tcMar>
          </w:tcPr>
          <w:p w14:paraId="12E20E03" w14:textId="77777777" w:rsidR="00A5113D" w:rsidRDefault="00000000">
            <w:pPr>
              <w:jc w:val="both"/>
            </w:pPr>
            <w:r>
              <w:t xml:space="preserve">Exportação manual em CSV pela interface do </w:t>
            </w:r>
            <w:proofErr w:type="spellStart"/>
            <w:r>
              <w:t>TabNet</w:t>
            </w:r>
            <w:proofErr w:type="spellEnd"/>
            <w:r>
              <w:t>.</w:t>
            </w:r>
          </w:p>
        </w:tc>
      </w:tr>
      <w:tr w:rsidR="00A5113D" w14:paraId="4AB1A987"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0CC4F3D3" w14:textId="77777777" w:rsidR="00A5113D" w:rsidRDefault="00000000">
            <w:r>
              <w:rPr>
                <w:b/>
                <w:bCs/>
              </w:rPr>
              <w:t>Data da coleta</w:t>
            </w:r>
          </w:p>
        </w:tc>
        <w:tc>
          <w:tcPr>
            <w:tcW w:w="6100" w:type="dxa"/>
            <w:tcMar>
              <w:top w:w="60" w:type="dxa"/>
              <w:left w:w="100" w:type="dxa"/>
              <w:bottom w:w="60" w:type="dxa"/>
              <w:right w:w="100" w:type="dxa"/>
            </w:tcMar>
          </w:tcPr>
          <w:p w14:paraId="7ACAA1E4" w14:textId="77777777" w:rsidR="00A5113D" w:rsidRDefault="00000000">
            <w:pPr>
              <w:jc w:val="both"/>
            </w:pPr>
            <w:r>
              <w:t>09/09/2026.</w:t>
            </w:r>
          </w:p>
        </w:tc>
      </w:tr>
      <w:tr w:rsidR="00A5113D" w14:paraId="25C071B4"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CC18A12" w14:textId="77777777" w:rsidR="00A5113D" w:rsidRDefault="00000000">
            <w:r>
              <w:rPr>
                <w:b/>
                <w:bCs/>
              </w:rPr>
              <w:t>Responsável</w:t>
            </w:r>
          </w:p>
        </w:tc>
        <w:tc>
          <w:tcPr>
            <w:tcW w:w="6100" w:type="dxa"/>
            <w:tcMar>
              <w:top w:w="60" w:type="dxa"/>
              <w:left w:w="100" w:type="dxa"/>
              <w:bottom w:w="60" w:type="dxa"/>
              <w:right w:w="100" w:type="dxa"/>
            </w:tcMar>
          </w:tcPr>
          <w:p w14:paraId="47DA88D7" w14:textId="77777777" w:rsidR="00A5113D" w:rsidRDefault="00000000">
            <w:pPr>
              <w:jc w:val="both"/>
            </w:pPr>
            <w:r>
              <w:t>Kaike Martins Pereira — RA 2026101957.</w:t>
            </w:r>
          </w:p>
        </w:tc>
      </w:tr>
      <w:tr w:rsidR="00A5113D" w14:paraId="61E03705"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62D6D8CF" w14:textId="77777777" w:rsidR="00A5113D" w:rsidRDefault="00000000">
            <w:r>
              <w:rPr>
                <w:b/>
                <w:bCs/>
              </w:rPr>
              <w:t>Permissão de uso</w:t>
            </w:r>
          </w:p>
        </w:tc>
        <w:tc>
          <w:tcPr>
            <w:tcW w:w="6100" w:type="dxa"/>
            <w:tcMar>
              <w:top w:w="60" w:type="dxa"/>
              <w:left w:w="100" w:type="dxa"/>
              <w:bottom w:w="60" w:type="dxa"/>
              <w:right w:w="100" w:type="dxa"/>
            </w:tcMar>
          </w:tcPr>
          <w:p w14:paraId="674875E8" w14:textId="77777777" w:rsidR="00A5113D" w:rsidRDefault="00000000">
            <w:pPr>
              <w:jc w:val="both"/>
            </w:pPr>
            <w:r>
              <w:t>Dado público do Ministério da Saúde/DATASUS, de acesso livre; citar a fonte.</w:t>
            </w:r>
          </w:p>
        </w:tc>
      </w:tr>
      <w:tr w:rsidR="00A5113D" w14:paraId="0E82FFE4"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71ABB0AD" w14:textId="77777777" w:rsidR="00A5113D" w:rsidRDefault="00000000">
            <w:r>
              <w:rPr>
                <w:b/>
                <w:bCs/>
              </w:rPr>
              <w:t>Formato original</w:t>
            </w:r>
          </w:p>
        </w:tc>
        <w:tc>
          <w:tcPr>
            <w:tcW w:w="6100" w:type="dxa"/>
            <w:tcMar>
              <w:top w:w="60" w:type="dxa"/>
              <w:left w:w="100" w:type="dxa"/>
              <w:bottom w:w="60" w:type="dxa"/>
              <w:right w:w="100" w:type="dxa"/>
            </w:tcMar>
          </w:tcPr>
          <w:p w14:paraId="62A5D255" w14:textId="77777777" w:rsidR="00A5113D" w:rsidRDefault="00000000">
            <w:pPr>
              <w:jc w:val="both"/>
            </w:pPr>
            <w:r>
              <w:t>CSV, separador ponto-e-vírgula, codificação Latin-1, com linhas de título e rodapé.</w:t>
            </w:r>
          </w:p>
        </w:tc>
      </w:tr>
      <w:tr w:rsidR="00A5113D" w14:paraId="11F5B38C"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529F8EB7" w14:textId="77777777" w:rsidR="00A5113D" w:rsidRDefault="00000000">
            <w:r>
              <w:rPr>
                <w:b/>
                <w:bCs/>
              </w:rPr>
              <w:t>Formato após tratamento</w:t>
            </w:r>
          </w:p>
        </w:tc>
        <w:tc>
          <w:tcPr>
            <w:tcW w:w="6100" w:type="dxa"/>
            <w:tcMar>
              <w:top w:w="60" w:type="dxa"/>
              <w:left w:w="100" w:type="dxa"/>
              <w:bottom w:w="60" w:type="dxa"/>
              <w:right w:w="100" w:type="dxa"/>
            </w:tcMar>
          </w:tcPr>
          <w:p w14:paraId="4E32E7DC" w14:textId="77777777" w:rsidR="00A5113D" w:rsidRDefault="00000000">
            <w:pPr>
              <w:jc w:val="both"/>
            </w:pPr>
            <w:r>
              <w:t>CSV, separador vírgula, codificação UTF-8, sem lixo, com colunas separadas.</w:t>
            </w:r>
          </w:p>
        </w:tc>
      </w:tr>
      <w:tr w:rsidR="00A5113D" w14:paraId="4E80BA78"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9F5C66C" w14:textId="77777777" w:rsidR="00A5113D" w:rsidRDefault="00000000">
            <w:r>
              <w:rPr>
                <w:b/>
                <w:bCs/>
              </w:rPr>
              <w:t>Problemas de qualidade</w:t>
            </w:r>
          </w:p>
        </w:tc>
        <w:tc>
          <w:tcPr>
            <w:tcW w:w="6100" w:type="dxa"/>
            <w:tcMar>
              <w:top w:w="60" w:type="dxa"/>
              <w:left w:w="100" w:type="dxa"/>
              <w:bottom w:w="60" w:type="dxa"/>
              <w:right w:w="100" w:type="dxa"/>
            </w:tcMar>
          </w:tcPr>
          <w:p w14:paraId="04C9D86F" w14:textId="77777777" w:rsidR="00A5113D" w:rsidRDefault="00000000">
            <w:pPr>
              <w:jc w:val="both"/>
            </w:pPr>
            <w:r>
              <w:t>Codificação Latin-1; separador ponto-e-vírgula; 4 linhas de título e 22 de rodapé; linha "Total" agregada aos dados; código IBGE e nome do município no mesmo campo.</w:t>
            </w:r>
          </w:p>
        </w:tc>
      </w:tr>
      <w:tr w:rsidR="00A5113D" w14:paraId="6887944A"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3B7E6483" w14:textId="77777777" w:rsidR="00A5113D" w:rsidRDefault="00000000">
            <w:r>
              <w:rPr>
                <w:b/>
                <w:bCs/>
              </w:rPr>
              <w:t>Decisão de retenção</w:t>
            </w:r>
          </w:p>
        </w:tc>
        <w:tc>
          <w:tcPr>
            <w:tcW w:w="6100" w:type="dxa"/>
            <w:tcMar>
              <w:top w:w="60" w:type="dxa"/>
              <w:left w:w="100" w:type="dxa"/>
              <w:bottom w:w="60" w:type="dxa"/>
              <w:right w:w="100" w:type="dxa"/>
            </w:tcMar>
          </w:tcPr>
          <w:p w14:paraId="7AE2C409" w14:textId="77777777" w:rsidR="00A5113D" w:rsidRDefault="00000000">
            <w:pPr>
              <w:jc w:val="both"/>
            </w:pPr>
            <w:r>
              <w:t xml:space="preserve">Arquivo bruto guardado indefinidamente e intocado, como fonte da verdade. Arquivo tratado (zika_limpo.csv) guardado como produto de trabalho. Recomenda-se datar as coletas, pois o </w:t>
            </w:r>
            <w:proofErr w:type="spellStart"/>
            <w:r>
              <w:t>TabNet</w:t>
            </w:r>
            <w:proofErr w:type="spellEnd"/>
            <w:r>
              <w:t xml:space="preserve"> atualiza os dados periodicamente.</w:t>
            </w:r>
          </w:p>
        </w:tc>
      </w:tr>
    </w:tbl>
    <w:p w14:paraId="3450C103" w14:textId="77777777" w:rsidR="00A5113D" w:rsidRDefault="00000000">
      <w:pPr>
        <w:pStyle w:val="Ttulo1"/>
        <w:spacing w:before="240" w:after="160"/>
      </w:pPr>
      <w:r>
        <w:rPr>
          <w:b/>
          <w:bCs/>
          <w:sz w:val="28"/>
          <w:szCs w:val="28"/>
        </w:rPr>
        <w:t>8. Ficha do ciclo de vida — Estação B (API)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A5113D" w14:paraId="264FAC78"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90959AC" w14:textId="77777777" w:rsidR="00A5113D" w:rsidRDefault="00000000">
            <w:r>
              <w:rPr>
                <w:b/>
                <w:bCs/>
              </w:rPr>
              <w:t>Fonte</w:t>
            </w:r>
          </w:p>
        </w:tc>
        <w:tc>
          <w:tcPr>
            <w:tcW w:w="6100" w:type="dxa"/>
            <w:tcMar>
              <w:top w:w="60" w:type="dxa"/>
              <w:left w:w="100" w:type="dxa"/>
              <w:bottom w:w="60" w:type="dxa"/>
              <w:right w:w="100" w:type="dxa"/>
            </w:tcMar>
          </w:tcPr>
          <w:p w14:paraId="16C1DD33" w14:textId="77777777" w:rsidR="00A5113D" w:rsidRDefault="00000000">
            <w:pPr>
              <w:jc w:val="both"/>
            </w:pPr>
            <w:r>
              <w:t>IBGE — API de Localidades, lista oficial de municípios de São Paulo (código IBGE 35).</w:t>
            </w:r>
          </w:p>
        </w:tc>
      </w:tr>
      <w:tr w:rsidR="00A5113D" w14:paraId="03F317A6"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5998413F" w14:textId="77777777" w:rsidR="00A5113D" w:rsidRDefault="00000000">
            <w:r>
              <w:rPr>
                <w:b/>
                <w:bCs/>
              </w:rPr>
              <w:t>Método de aquisição</w:t>
            </w:r>
          </w:p>
        </w:tc>
        <w:tc>
          <w:tcPr>
            <w:tcW w:w="6100" w:type="dxa"/>
            <w:tcMar>
              <w:top w:w="60" w:type="dxa"/>
              <w:left w:w="100" w:type="dxa"/>
              <w:bottom w:w="60" w:type="dxa"/>
              <w:right w:w="100" w:type="dxa"/>
            </w:tcMar>
          </w:tcPr>
          <w:p w14:paraId="410BFCEE" w14:textId="77777777" w:rsidR="00A5113D" w:rsidRDefault="00000000">
            <w:pPr>
              <w:jc w:val="both"/>
            </w:pPr>
            <w:r>
              <w:t xml:space="preserve">Requisição HTTP direta via biblioteca </w:t>
            </w:r>
            <w:proofErr w:type="spellStart"/>
            <w:r>
              <w:t>requests</w:t>
            </w:r>
            <w:proofErr w:type="spellEnd"/>
            <w:r>
              <w:t xml:space="preserve">, sem download manual; resposta convertida de JSON para </w:t>
            </w:r>
            <w:proofErr w:type="spellStart"/>
            <w:r>
              <w:t>DataFrame</w:t>
            </w:r>
            <w:proofErr w:type="spellEnd"/>
            <w:r>
              <w:t>.</w:t>
            </w:r>
          </w:p>
        </w:tc>
      </w:tr>
      <w:tr w:rsidR="00A5113D" w14:paraId="1D5668FA"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FDEDEF9" w14:textId="77777777" w:rsidR="00A5113D" w:rsidRDefault="00000000">
            <w:r>
              <w:rPr>
                <w:b/>
                <w:bCs/>
              </w:rPr>
              <w:t>Data da coleta</w:t>
            </w:r>
          </w:p>
        </w:tc>
        <w:tc>
          <w:tcPr>
            <w:tcW w:w="6100" w:type="dxa"/>
            <w:tcMar>
              <w:top w:w="60" w:type="dxa"/>
              <w:left w:w="100" w:type="dxa"/>
              <w:bottom w:w="60" w:type="dxa"/>
              <w:right w:w="100" w:type="dxa"/>
            </w:tcMar>
          </w:tcPr>
          <w:p w14:paraId="441CBB9E" w14:textId="77777777" w:rsidR="00A5113D" w:rsidRDefault="00000000">
            <w:pPr>
              <w:jc w:val="both"/>
            </w:pPr>
            <w:r>
              <w:t>09/09/2026.</w:t>
            </w:r>
          </w:p>
        </w:tc>
      </w:tr>
      <w:tr w:rsidR="00A5113D" w14:paraId="7DC0BEE6"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7060ABA" w14:textId="77777777" w:rsidR="00A5113D" w:rsidRDefault="00000000">
            <w:r>
              <w:rPr>
                <w:b/>
                <w:bCs/>
              </w:rPr>
              <w:t>Responsável</w:t>
            </w:r>
          </w:p>
        </w:tc>
        <w:tc>
          <w:tcPr>
            <w:tcW w:w="6100" w:type="dxa"/>
            <w:tcMar>
              <w:top w:w="60" w:type="dxa"/>
              <w:left w:w="100" w:type="dxa"/>
              <w:bottom w:w="60" w:type="dxa"/>
              <w:right w:w="100" w:type="dxa"/>
            </w:tcMar>
          </w:tcPr>
          <w:p w14:paraId="5DD6351F" w14:textId="77777777" w:rsidR="00A5113D" w:rsidRDefault="00000000">
            <w:pPr>
              <w:jc w:val="both"/>
            </w:pPr>
            <w:r>
              <w:t>Kaike Martins Pereira — RA 2026101957.</w:t>
            </w:r>
          </w:p>
        </w:tc>
      </w:tr>
      <w:tr w:rsidR="00A5113D" w14:paraId="39B4089B"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6668792F" w14:textId="77777777" w:rsidR="00A5113D" w:rsidRDefault="00000000">
            <w:r>
              <w:rPr>
                <w:b/>
                <w:bCs/>
              </w:rPr>
              <w:t>Permissão de uso</w:t>
            </w:r>
          </w:p>
        </w:tc>
        <w:tc>
          <w:tcPr>
            <w:tcW w:w="6100" w:type="dxa"/>
            <w:tcMar>
              <w:top w:w="60" w:type="dxa"/>
              <w:left w:w="100" w:type="dxa"/>
              <w:bottom w:w="60" w:type="dxa"/>
              <w:right w:w="100" w:type="dxa"/>
            </w:tcMar>
          </w:tcPr>
          <w:p w14:paraId="50FDF530" w14:textId="77777777" w:rsidR="00A5113D" w:rsidRDefault="00000000">
            <w:pPr>
              <w:jc w:val="both"/>
            </w:pPr>
            <w:r>
              <w:t>Dado público do IBGE, de acesso livre; citar a fonte.</w:t>
            </w:r>
          </w:p>
        </w:tc>
      </w:tr>
      <w:tr w:rsidR="00A5113D" w14:paraId="7132970C"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4ABAF7CD" w14:textId="77777777" w:rsidR="00A5113D" w:rsidRDefault="00000000">
            <w:r>
              <w:rPr>
                <w:b/>
                <w:bCs/>
              </w:rPr>
              <w:t>Formato original</w:t>
            </w:r>
          </w:p>
        </w:tc>
        <w:tc>
          <w:tcPr>
            <w:tcW w:w="6100" w:type="dxa"/>
            <w:tcMar>
              <w:top w:w="60" w:type="dxa"/>
              <w:left w:w="100" w:type="dxa"/>
              <w:bottom w:w="60" w:type="dxa"/>
              <w:right w:w="100" w:type="dxa"/>
            </w:tcMar>
          </w:tcPr>
          <w:p w14:paraId="01C156FB" w14:textId="77777777" w:rsidR="00A5113D" w:rsidRDefault="00000000">
            <w:pPr>
              <w:jc w:val="both"/>
            </w:pPr>
            <w:r>
              <w:t>JSON aninhado (lista de 645 objetos, cada um com várias camadas geográficas).</w:t>
            </w:r>
          </w:p>
        </w:tc>
      </w:tr>
      <w:tr w:rsidR="00A5113D" w14:paraId="01C17BC8"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3CD9AC96" w14:textId="77777777" w:rsidR="00A5113D" w:rsidRDefault="00000000">
            <w:r>
              <w:rPr>
                <w:b/>
                <w:bCs/>
              </w:rPr>
              <w:t>Formato após tratamento</w:t>
            </w:r>
          </w:p>
        </w:tc>
        <w:tc>
          <w:tcPr>
            <w:tcW w:w="6100" w:type="dxa"/>
            <w:tcMar>
              <w:top w:w="60" w:type="dxa"/>
              <w:left w:w="100" w:type="dxa"/>
              <w:bottom w:w="60" w:type="dxa"/>
              <w:right w:w="100" w:type="dxa"/>
            </w:tcMar>
          </w:tcPr>
          <w:p w14:paraId="05BEBF67" w14:textId="77777777" w:rsidR="00A5113D" w:rsidRDefault="00000000">
            <w:pPr>
              <w:jc w:val="both"/>
            </w:pPr>
            <w:r>
              <w:t>CSV, separador vírgula, codificação UTF-8, com duas colunas (</w:t>
            </w:r>
            <w:proofErr w:type="spellStart"/>
            <w:r>
              <w:t>cod_municipio</w:t>
            </w:r>
            <w:proofErr w:type="spellEnd"/>
            <w:r>
              <w:t xml:space="preserve">, </w:t>
            </w:r>
            <w:proofErr w:type="spellStart"/>
            <w:r>
              <w:t>municipio</w:t>
            </w:r>
            <w:proofErr w:type="spellEnd"/>
            <w:r>
              <w:t>).</w:t>
            </w:r>
          </w:p>
        </w:tc>
      </w:tr>
      <w:tr w:rsidR="00A5113D" w14:paraId="6A108CC6"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76B66552" w14:textId="77777777" w:rsidR="00A5113D" w:rsidRDefault="00000000">
            <w:r>
              <w:rPr>
                <w:b/>
                <w:bCs/>
              </w:rPr>
              <w:t>Problemas de qualidade</w:t>
            </w:r>
          </w:p>
        </w:tc>
        <w:tc>
          <w:tcPr>
            <w:tcW w:w="6100" w:type="dxa"/>
            <w:tcMar>
              <w:top w:w="60" w:type="dxa"/>
              <w:left w:w="100" w:type="dxa"/>
              <w:bottom w:w="60" w:type="dxa"/>
              <w:right w:w="100" w:type="dxa"/>
            </w:tcMar>
          </w:tcPr>
          <w:p w14:paraId="4E59E770" w14:textId="77777777" w:rsidR="00A5113D" w:rsidRDefault="00000000">
            <w:pPr>
              <w:jc w:val="both"/>
            </w:pPr>
            <w:r>
              <w:t>Estrutura aninhada (extraídos apenas código e nome); código com 7 dígitos e como número inteiro, incompatível com a Zika (padronizado para 6 dígitos e texto).</w:t>
            </w:r>
          </w:p>
        </w:tc>
      </w:tr>
      <w:tr w:rsidR="00A5113D" w14:paraId="305B5536" w14:textId="77777777">
        <w:tblPrEx>
          <w:tblCellMar>
            <w:top w:w="0" w:type="dxa"/>
            <w:bottom w:w="0" w:type="dxa"/>
          </w:tblCellMar>
        </w:tblPrEx>
        <w:tc>
          <w:tcPr>
            <w:tcW w:w="3200" w:type="dxa"/>
            <w:shd w:val="clear" w:color="auto" w:fill="F0F0F0"/>
            <w:tcMar>
              <w:top w:w="60" w:type="dxa"/>
              <w:left w:w="100" w:type="dxa"/>
              <w:bottom w:w="60" w:type="dxa"/>
              <w:right w:w="100" w:type="dxa"/>
            </w:tcMar>
          </w:tcPr>
          <w:p w14:paraId="17F58703" w14:textId="77777777" w:rsidR="00A5113D" w:rsidRDefault="00000000">
            <w:r>
              <w:rPr>
                <w:b/>
                <w:bCs/>
              </w:rPr>
              <w:t>Decisão de retenção</w:t>
            </w:r>
          </w:p>
        </w:tc>
        <w:tc>
          <w:tcPr>
            <w:tcW w:w="6100" w:type="dxa"/>
            <w:tcMar>
              <w:top w:w="60" w:type="dxa"/>
              <w:left w:w="100" w:type="dxa"/>
              <w:bottom w:w="60" w:type="dxa"/>
              <w:right w:w="100" w:type="dxa"/>
            </w:tcMar>
          </w:tcPr>
          <w:p w14:paraId="414933F7" w14:textId="77777777" w:rsidR="00A5113D" w:rsidRDefault="00000000">
            <w:pPr>
              <w:jc w:val="both"/>
            </w:pPr>
            <w:r>
              <w:t xml:space="preserve">Arquivo tratado (municipios_ibge_sp.csv) guardado como tabela de referência. Não há arquivo bruto a guardar: a fonte é a API, </w:t>
            </w:r>
            <w:proofErr w:type="spellStart"/>
            <w:r>
              <w:t>reconsultável</w:t>
            </w:r>
            <w:proofErr w:type="spellEnd"/>
            <w:r>
              <w:t xml:space="preserve"> pela URL registrada.</w:t>
            </w:r>
          </w:p>
        </w:tc>
      </w:tr>
    </w:tbl>
    <w:p w14:paraId="3AE0C139" w14:textId="77777777" w:rsidR="00A5113D" w:rsidRDefault="00000000">
      <w:pPr>
        <w:pStyle w:val="Ttulo1"/>
        <w:spacing w:before="240" w:after="160"/>
      </w:pPr>
      <w:r>
        <w:rPr>
          <w:b/>
          <w:bCs/>
          <w:sz w:val="28"/>
          <w:szCs w:val="28"/>
        </w:rPr>
        <w:t>9. Conclusão</w:t>
      </w:r>
    </w:p>
    <w:p w14:paraId="5B6181EB" w14:textId="0A983CDD" w:rsidR="00A5113D" w:rsidRDefault="00000000">
      <w:pPr>
        <w:spacing w:after="160" w:line="276" w:lineRule="auto"/>
        <w:jc w:val="both"/>
      </w:pPr>
      <w:r>
        <w:rPr>
          <w:sz w:val="22"/>
          <w:szCs w:val="22"/>
        </w:rPr>
        <w:t>O trabalho percorreu o ciclo de vida de dois dados reais, de fontes de naturezas diferentes, do estado bruto até uma tabela limpa e documentada. Mais do que executar comandos, a atividade evidenciou o princípio que a sustenta: o analista não trata o dado da fonte como verdade automática ele coleta, desconfia, inspeciona, limpa e registra. É esse cuidado no início que sustenta qualquer análise posterior, pois um resultado construído sobre dado sujo é um resultado errado com aparência de correto. Por isso a qualidade começa na coleta, e não no fim.</w:t>
      </w:r>
    </w:p>
    <w:sectPr w:rsidR="00A511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97985"/>
    <w:multiLevelType w:val="hybridMultilevel"/>
    <w:tmpl w:val="5DF61E4E"/>
    <w:lvl w:ilvl="0" w:tplc="1996E568">
      <w:start w:val="1"/>
      <w:numFmt w:val="bullet"/>
      <w:lvlText w:val="●"/>
      <w:lvlJc w:val="left"/>
      <w:pPr>
        <w:ind w:left="720" w:hanging="360"/>
      </w:pPr>
    </w:lvl>
    <w:lvl w:ilvl="1" w:tplc="886071E4">
      <w:start w:val="1"/>
      <w:numFmt w:val="bullet"/>
      <w:lvlText w:val="○"/>
      <w:lvlJc w:val="left"/>
      <w:pPr>
        <w:ind w:left="1440" w:hanging="360"/>
      </w:pPr>
    </w:lvl>
    <w:lvl w:ilvl="2" w:tplc="D1C2AD02">
      <w:start w:val="1"/>
      <w:numFmt w:val="bullet"/>
      <w:lvlText w:val="■"/>
      <w:lvlJc w:val="left"/>
      <w:pPr>
        <w:ind w:left="2160" w:hanging="360"/>
      </w:pPr>
    </w:lvl>
    <w:lvl w:ilvl="3" w:tplc="97E6BFF8">
      <w:start w:val="1"/>
      <w:numFmt w:val="bullet"/>
      <w:lvlText w:val="●"/>
      <w:lvlJc w:val="left"/>
      <w:pPr>
        <w:ind w:left="2880" w:hanging="360"/>
      </w:pPr>
    </w:lvl>
    <w:lvl w:ilvl="4" w:tplc="3B4C24A8">
      <w:start w:val="1"/>
      <w:numFmt w:val="bullet"/>
      <w:lvlText w:val="○"/>
      <w:lvlJc w:val="left"/>
      <w:pPr>
        <w:ind w:left="3600" w:hanging="360"/>
      </w:pPr>
    </w:lvl>
    <w:lvl w:ilvl="5" w:tplc="948673C4">
      <w:start w:val="1"/>
      <w:numFmt w:val="bullet"/>
      <w:lvlText w:val="■"/>
      <w:lvlJc w:val="left"/>
      <w:pPr>
        <w:ind w:left="4320" w:hanging="360"/>
      </w:pPr>
    </w:lvl>
    <w:lvl w:ilvl="6" w:tplc="AAAE88AE">
      <w:start w:val="1"/>
      <w:numFmt w:val="bullet"/>
      <w:lvlText w:val="●"/>
      <w:lvlJc w:val="left"/>
      <w:pPr>
        <w:ind w:left="5040" w:hanging="360"/>
      </w:pPr>
    </w:lvl>
    <w:lvl w:ilvl="7" w:tplc="0FE048F4">
      <w:start w:val="1"/>
      <w:numFmt w:val="bullet"/>
      <w:lvlText w:val="●"/>
      <w:lvlJc w:val="left"/>
      <w:pPr>
        <w:ind w:left="5760" w:hanging="360"/>
      </w:pPr>
    </w:lvl>
    <w:lvl w:ilvl="8" w:tplc="4BF0A598">
      <w:start w:val="1"/>
      <w:numFmt w:val="bullet"/>
      <w:lvlText w:val="●"/>
      <w:lvlJc w:val="left"/>
      <w:pPr>
        <w:ind w:left="6480" w:hanging="360"/>
      </w:pPr>
    </w:lvl>
  </w:abstractNum>
  <w:num w:numId="1" w16cid:durableId="1719627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3D"/>
    <w:rsid w:val="006C5C42"/>
    <w:rsid w:val="009857B0"/>
    <w:rsid w:val="00A5113D"/>
    <w:rsid w:val="00B611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9AD7"/>
  <w15:docId w15:val="{F325799C-B93C-4B9C-A206-CDC42C96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2382</Words>
  <Characters>12868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Kaike Martins</cp:lastModifiedBy>
  <cp:revision>2</cp:revision>
  <dcterms:created xsi:type="dcterms:W3CDTF">2026-09-10T14:40:00Z</dcterms:created>
  <dcterms:modified xsi:type="dcterms:W3CDTF">2026-09-10T14:49:00Z</dcterms:modified>
</cp:coreProperties>
</file>