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ミラーリング機能</w:t>
      </w:r>
      <w:r>
        <w:br/>
      </w:r>
      <w:r>
        <w:t>動作検証結果報告書</w:t>
      </w:r>
    </w:p>
    <w:p>
      <w:pPr>
        <w:pStyle w:val="Subtitle"/>
        <w:spacing w:after="240"/>
      </w:pPr>
      <w:r>
        <w:t>Cisco → Extreme EXOS コンフィグ移行ツール</w:t>
      </w:r>
    </w:p>
    <w:p>
      <w:r>
        <w:rPr>
          <w:color w:val="555555"/>
          <w:sz w:val="20"/>
        </w:rPr>
        <w:t>対象読者: 移行作業に関わるパートナー企業様</w:t>
      </w:r>
    </w:p>
    <w:p>
      <w:r>
        <w:rPr>
          <w:color w:val="555555"/>
          <w:sz w:val="20"/>
        </w:rPr>
        <w:t>実施日: 2026年8月26日～27日　　版: 初版</w:t>
      </w:r>
    </w:p>
    <w:p>
      <w:pPr>
        <w:pBdr>
          <w:bottom w:val="single" w:sz="6" w:space="1" w:color="1F3A5F"/>
        </w:pBdr>
      </w:pPr>
    </w:p>
    <w:p>
      <w:pPr>
        <w:pStyle w:val="Heading1"/>
      </w:pPr>
      <w:r>
        <w:t>1. 検証概要</w:t>
      </w:r>
    </w:p>
    <w:p>
      <w:pPr>
        <w:spacing w:after="120"/>
      </w:pPr>
      <w:r>
        <w:rPr>
          <w:b w:val="0"/>
        </w:rPr>
        <w:t>本報告書は、Cisco → Extreme EXOS コンフィグ移行ツール（以下「本ツール」）が生成するミラーリング（通信のコピー・監視）関連の設定について、実機のExtreme EXOSスイッチ上で問題なく動作することを確認した結果をまとめたものです。</w:t>
      </w:r>
    </w:p>
    <w:p>
      <w:pPr>
        <w:spacing w:after="120"/>
      </w:pPr>
      <w:r>
        <w:rPr>
          <w:b w:val="0"/>
        </w:rPr>
        <w:t>確認した内容は、①通常のミラーリング設定、②特定の通信だけに絞り込むフィルタ付きミラーリング（FSPAN）設定、③一部機種向けの代替設定（送信方向のみポート全体をミラーリングする設定）の3種類です。いずれも、本ツールが実際に生成した設定内容をそのまま実機に投入して検証しました。</w:t>
      </w:r>
    </w:p>
    <w:p>
      <w:pPr>
        <w:pStyle w:val="Heading1"/>
      </w:pPr>
      <w:r>
        <w:t>2. 検証環境</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val="clear" w:color="auto" w:fill="1F3A5F"/>
          </w:tcPr>
          <w:p>
            <w:pPr>
              <w:spacing w:after="40"/>
            </w:pPr>
            <w:r/>
            <w:r>
              <w:rPr>
                <w:rFonts w:ascii="Yu Gothic" w:hAnsi="Yu Gothic" w:eastAsia="Yu Gothic"/>
                <w:b/>
                <w:color w:val="FFFFFF"/>
                <w:sz w:val="20"/>
              </w:rPr>
              <w:t>項目</w:t>
            </w:r>
          </w:p>
        </w:tc>
        <w:tc>
          <w:tcPr>
            <w:tcW w:type="dxa" w:w="7087"/>
            <w:shd w:val="clear" w:color="auto" w:fill="1F3A5F"/>
          </w:tcPr>
          <w:p>
            <w:pPr>
              <w:spacing w:after="40"/>
            </w:pPr>
            <w:r/>
            <w:r>
              <w:rPr>
                <w:rFonts w:ascii="Yu Gothic" w:hAnsi="Yu Gothic" w:eastAsia="Yu Gothic"/>
                <w:b/>
                <w:color w:val="FFFFFF"/>
                <w:sz w:val="20"/>
              </w:rPr>
              <w:t>内容</w:t>
            </w:r>
          </w:p>
        </w:tc>
      </w:tr>
      <w:tr>
        <w:tc>
          <w:tcPr>
            <w:tcW w:type="dxa" w:w="2551"/>
            <w:shd w:val="clear" w:color="auto" w:fill="FFFFFF"/>
          </w:tcPr>
          <w:p>
            <w:pPr>
              <w:spacing w:after="40"/>
            </w:pPr>
            <w:r/>
            <w:r>
              <w:rPr>
                <w:rFonts w:ascii="Yu Gothic" w:hAnsi="Yu Gothic" w:eastAsia="Yu Gothic"/>
                <w:b w:val="0"/>
                <w:sz w:val="20"/>
              </w:rPr>
              <w:t>検証機器①</w:t>
            </w:r>
          </w:p>
        </w:tc>
        <w:tc>
          <w:tcPr>
            <w:tcW w:type="dxa" w:w="7087"/>
            <w:shd w:val="clear" w:color="auto" w:fill="FFFFFF"/>
          </w:tcPr>
          <w:p>
            <w:pPr>
              <w:spacing w:after="40"/>
            </w:pPr>
            <w:r/>
            <w:r>
              <w:rPr>
                <w:rFonts w:ascii="Yu Gothic" w:hAnsi="Yu Gothic" w:eastAsia="Yu Gothic"/>
                <w:b w:val="0"/>
                <w:sz w:val="20"/>
              </w:rPr>
              <w:t>Extreme Networks X440G2-12p-10G4（スタンドアロン構成）</w:t>
            </w:r>
            <w:r>
              <w:br/>
            </w:r>
            <w:r>
              <w:rPr>
                <w:rFonts w:ascii="Yu Gothic" w:hAnsi="Yu Gothic" w:eastAsia="Yu Gothic"/>
                <w:b w:val="0"/>
                <w:sz w:val="20"/>
              </w:rPr>
              <w:t>ソフトウェアバージョン: EXOS 33.4.1.15</w:t>
            </w:r>
          </w:p>
        </w:tc>
      </w:tr>
      <w:tr>
        <w:tc>
          <w:tcPr>
            <w:tcW w:type="dxa" w:w="2551"/>
            <w:shd w:val="clear" w:color="auto" w:fill="F4F6F8"/>
          </w:tcPr>
          <w:p>
            <w:pPr>
              <w:spacing w:after="40"/>
            </w:pPr>
            <w:r/>
            <w:r>
              <w:rPr>
                <w:rFonts w:ascii="Yu Gothic" w:hAnsi="Yu Gothic" w:eastAsia="Yu Gothic"/>
                <w:b w:val="0"/>
                <w:sz w:val="20"/>
              </w:rPr>
              <w:t>検証機器②</w:t>
            </w:r>
          </w:p>
        </w:tc>
        <w:tc>
          <w:tcPr>
            <w:tcW w:type="dxa" w:w="7087"/>
            <w:shd w:val="clear" w:color="auto" w:fill="F4F6F8"/>
          </w:tcPr>
          <w:p>
            <w:pPr>
              <w:spacing w:after="40"/>
            </w:pPr>
            <w:r/>
            <w:r>
              <w:rPr>
                <w:rFonts w:ascii="Yu Gothic" w:hAnsi="Yu Gothic" w:eastAsia="Yu Gothic"/>
                <w:b w:val="0"/>
                <w:sz w:val="20"/>
              </w:rPr>
              <w:t>Extreme Networks X440G2（2台構成の SummitStack、リング型）</w:t>
            </w:r>
          </w:p>
        </w:tc>
      </w:tr>
      <w:tr>
        <w:tc>
          <w:tcPr>
            <w:tcW w:type="dxa" w:w="2551"/>
            <w:shd w:val="clear" w:color="auto" w:fill="FFFFFF"/>
          </w:tcPr>
          <w:p>
            <w:pPr>
              <w:spacing w:after="40"/>
            </w:pPr>
            <w:r/>
            <w:r>
              <w:rPr>
                <w:rFonts w:ascii="Yu Gothic" w:hAnsi="Yu Gothic" w:eastAsia="Yu Gothic"/>
                <w:b w:val="0"/>
                <w:sz w:val="20"/>
              </w:rPr>
              <w:t>接続方法</w:t>
            </w:r>
          </w:p>
        </w:tc>
        <w:tc>
          <w:tcPr>
            <w:tcW w:type="dxa" w:w="7087"/>
            <w:shd w:val="clear" w:color="auto" w:fill="FFFFFF"/>
          </w:tcPr>
          <w:p>
            <w:pPr>
              <w:spacing w:after="40"/>
            </w:pPr>
            <w:r/>
            <w:r>
              <w:rPr>
                <w:rFonts w:ascii="Yu Gothic" w:hAnsi="Yu Gothic" w:eastAsia="Yu Gothic"/>
                <w:b w:val="0"/>
                <w:sz w:val="20"/>
              </w:rPr>
              <w:t>各機器の管理ポートを使用したtelnet接続</w:t>
            </w:r>
          </w:p>
        </w:tc>
      </w:tr>
      <w:tr>
        <w:tc>
          <w:tcPr>
            <w:tcW w:type="dxa" w:w="2551"/>
            <w:shd w:val="clear" w:color="auto" w:fill="F4F6F8"/>
          </w:tcPr>
          <w:p>
            <w:pPr>
              <w:spacing w:after="40"/>
            </w:pPr>
            <w:r/>
            <w:r>
              <w:rPr>
                <w:rFonts w:ascii="Yu Gothic" w:hAnsi="Yu Gothic" w:eastAsia="Yu Gothic"/>
                <w:b w:val="0"/>
                <w:sz w:val="20"/>
              </w:rPr>
              <w:t>対象ポート</w:t>
            </w:r>
          </w:p>
        </w:tc>
        <w:tc>
          <w:tcPr>
            <w:tcW w:type="dxa" w:w="7087"/>
            <w:shd w:val="clear" w:color="auto" w:fill="F4F6F8"/>
          </w:tcPr>
          <w:p>
            <w:pPr>
              <w:spacing w:after="40"/>
            </w:pPr>
            <w:r/>
            <w:r>
              <w:rPr>
                <w:rFonts w:ascii="Yu Gothic" w:hAnsi="Yu Gothic" w:eastAsia="Yu Gothic"/>
                <w:b w:val="0"/>
                <w:sz w:val="20"/>
              </w:rPr>
              <w:t>各機器とも、他の通信に使用されていない未使用のデータポートのみを使用</w:t>
            </w:r>
          </w:p>
        </w:tc>
      </w:tr>
    </w:tbl>
    <w:p>
      <w:pPr>
        <w:spacing w:after="80"/>
      </w:pPr>
    </w:p>
    <w:p>
      <w:pPr>
        <w:spacing w:before="120" w:after="200"/>
        <w:ind w:left="170"/>
        <w:pBdr>
          <w:left w:val="single" w:sz="18" w:space="6" w:color="B08900"/>
        </w:pBdr>
        <w:shd w:val="clear" w:fill="FFF7DE"/>
      </w:pPr>
      <w:r>
        <w:rPr>
          <w:rFonts w:ascii="Yu Gothic" w:hAnsi="Yu Gothic" w:eastAsia="Yu Gothic"/>
          <w:b/>
          <w:color w:val="7A5E00"/>
        </w:rPr>
        <w:t>接続方式について</w:t>
      </w:r>
      <w:r>
        <w:br/>
      </w:r>
      <w:r>
        <w:rPr>
          <w:rFonts w:ascii="Yu Gothic" w:hAnsi="Yu Gothic" w:eastAsia="Yu Gothic"/>
        </w:rPr>
        <w:t>管理用のネットワークは、データ通信用のポートとは物理的に分離された経路（out-of-band）を使用しているため、検証中にデータポートの設定を変更しても、機器への遠隔操作（管理アクセス）が切断される心配はありません。</w:t>
      </w:r>
    </w:p>
    <w:p>
      <w:pPr>
        <w:pStyle w:val="Heading1"/>
      </w:pPr>
      <w:r>
        <w:t>3. 検証方針・安全対策</w:t>
      </w:r>
    </w:p>
    <w:p>
      <w:pPr>
        <w:pStyle w:val="ListBullet"/>
        <w:spacing w:after="60"/>
      </w:pPr>
      <w:r>
        <w:t>他社（貸出元）が管理する共有の検証機器を使用したため、既存の通信・設定に一切影響を与えないよう、以下の方針で実施しました。</w:t>
      </w:r>
    </w:p>
    <w:p>
      <w:pPr>
        <w:pStyle w:val="ListBullet"/>
        <w:spacing w:after="60"/>
      </w:pPr>
      <w:r>
        <w:t>検証には、未使用のデータポートのみを使用し、既存の通信が流れているポートやVLANには手を加えませんでした。</w:t>
      </w:r>
    </w:p>
    <w:p>
      <w:pPr>
        <w:pStyle w:val="ListBullet"/>
        <w:spacing w:after="60"/>
      </w:pPr>
      <w:r>
        <w:t>検証で行った設定変更は、検証終了後に必ずすべて元に戻し（ロールバック）、ポート1つずつのVLAN所属状況を確認したうえで、検証開始前の状態と完全に一致することを確認しました。</w:t>
      </w:r>
    </w:p>
    <w:p>
      <w:pPr>
        <w:pStyle w:val="ListBullet"/>
        <w:spacing w:after="60"/>
      </w:pPr>
      <w:r>
        <w:t>設定変更は機器のメモリに保存（save）せず、検証終了時には機器を再起動しても検証前の設定に戻る状態を維持しました。</w:t>
      </w:r>
    </w:p>
    <w:p>
      <w:pPr>
        <w:pStyle w:val="Heading1"/>
      </w:pPr>
      <w:r>
        <w:t>4. 検証項目と結果</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850"/>
            <w:shd w:val="clear" w:color="auto" w:fill="1F3A5F"/>
          </w:tcPr>
          <w:p>
            <w:pPr>
              <w:spacing w:after="40"/>
            </w:pPr>
            <w:r/>
            <w:r>
              <w:rPr>
                <w:rFonts w:ascii="Yu Gothic" w:hAnsi="Yu Gothic" w:eastAsia="Yu Gothic"/>
                <w:b/>
                <w:color w:val="FFFFFF"/>
                <w:sz w:val="20"/>
              </w:rPr>
              <w:t>No</w:t>
            </w:r>
          </w:p>
        </w:tc>
        <w:tc>
          <w:tcPr>
            <w:tcW w:type="dxa" w:w="6803"/>
            <w:shd w:val="clear" w:color="auto" w:fill="1F3A5F"/>
          </w:tcPr>
          <w:p>
            <w:pPr>
              <w:spacing w:after="40"/>
            </w:pPr>
            <w:r/>
            <w:r>
              <w:rPr>
                <w:rFonts w:ascii="Yu Gothic" w:hAnsi="Yu Gothic" w:eastAsia="Yu Gothic"/>
                <w:b/>
                <w:color w:val="FFFFFF"/>
                <w:sz w:val="20"/>
              </w:rPr>
              <w:t>検証項目</w:t>
            </w:r>
          </w:p>
        </w:tc>
        <w:tc>
          <w:tcPr>
            <w:tcW w:type="dxa" w:w="1984"/>
            <w:shd w:val="clear" w:color="auto" w:fill="1F3A5F"/>
          </w:tcPr>
          <w:p>
            <w:pPr>
              <w:spacing w:after="40"/>
            </w:pPr>
            <w:r/>
            <w:r>
              <w:rPr>
                <w:rFonts w:ascii="Yu Gothic" w:hAnsi="Yu Gothic" w:eastAsia="Yu Gothic"/>
                <w:b/>
                <w:color w:val="FFFFFF"/>
                <w:sz w:val="20"/>
              </w:rPr>
              <w:t>結果</w:t>
            </w:r>
          </w:p>
        </w:tc>
      </w:tr>
      <w:tr>
        <w:tc>
          <w:tcPr>
            <w:tcW w:type="dxa" w:w="850"/>
            <w:shd w:val="clear" w:color="auto" w:fill="FFFFFF"/>
          </w:tcPr>
          <w:p>
            <w:pPr>
              <w:spacing w:after="40"/>
            </w:pPr>
            <w:r/>
            <w:r>
              <w:rPr>
                <w:rFonts w:ascii="Yu Gothic" w:hAnsi="Yu Gothic" w:eastAsia="Yu Gothic"/>
                <w:b w:val="0"/>
                <w:sz w:val="20"/>
              </w:rPr>
              <w:t>1</w:t>
            </w:r>
          </w:p>
        </w:tc>
        <w:tc>
          <w:tcPr>
            <w:tcW w:type="dxa" w:w="6803"/>
            <w:shd w:val="clear" w:color="auto" w:fill="FFFFFF"/>
          </w:tcPr>
          <w:p>
            <w:pPr>
              <w:spacing w:after="40"/>
            </w:pPr>
            <w:r/>
            <w:r>
              <w:rPr>
                <w:rFonts w:ascii="Yu Gothic" w:hAnsi="Yu Gothic" w:eastAsia="Yu Gothic"/>
                <w:b w:val="0"/>
                <w:sz w:val="20"/>
              </w:rPr>
              <w:t>通常のミラーリング（スタンドアロン構成）</w:t>
            </w:r>
            <w:r>
              <w:br/>
            </w:r>
            <w:r>
              <w:rPr>
                <w:rFonts w:ascii="Yu Gothic" w:hAnsi="Yu Gothic" w:eastAsia="Yu Gothic"/>
                <w:b w:val="0"/>
                <w:sz w:val="20"/>
              </w:rPr>
              <w:t>複数ポート・複数方向（受信のみ／送信のみ／両方向）、VLAN指定を含む設定</w:t>
            </w:r>
          </w:p>
        </w:tc>
        <w:tc>
          <w:tcPr>
            <w:tcW w:type="dxa" w:w="1984"/>
            <w:shd w:val="clear" w:color="auto" w:fill="FFFFFF"/>
          </w:tcPr>
          <w:p>
            <w:pPr>
              <w:spacing w:after="40"/>
            </w:pPr>
            <w:r/>
            <w:r>
              <w:rPr>
                <w:rFonts w:ascii="Yu Gothic" w:hAnsi="Yu Gothic" w:eastAsia="Yu Gothic"/>
                <w:b w:val="0"/>
                <w:sz w:val="20"/>
              </w:rPr>
              <w:t>問題なし</w:t>
            </w:r>
          </w:p>
        </w:tc>
      </w:tr>
      <w:tr>
        <w:tc>
          <w:tcPr>
            <w:tcW w:type="dxa" w:w="850"/>
            <w:shd w:val="clear" w:color="auto" w:fill="F4F6F8"/>
          </w:tcPr>
          <w:p>
            <w:pPr>
              <w:spacing w:after="40"/>
            </w:pPr>
            <w:r/>
            <w:r>
              <w:rPr>
                <w:rFonts w:ascii="Yu Gothic" w:hAnsi="Yu Gothic" w:eastAsia="Yu Gothic"/>
                <w:b w:val="0"/>
                <w:sz w:val="20"/>
              </w:rPr>
              <w:t>2</w:t>
            </w:r>
          </w:p>
        </w:tc>
        <w:tc>
          <w:tcPr>
            <w:tcW w:type="dxa" w:w="6803"/>
            <w:shd w:val="clear" w:color="auto" w:fill="F4F6F8"/>
          </w:tcPr>
          <w:p>
            <w:pPr>
              <w:spacing w:after="40"/>
            </w:pPr>
            <w:r/>
            <w:r>
              <w:rPr>
                <w:rFonts w:ascii="Yu Gothic" w:hAnsi="Yu Gothic" w:eastAsia="Yu Gothic"/>
                <w:b w:val="0"/>
                <w:sz w:val="20"/>
              </w:rPr>
              <w:t>通常のミラーリング（スタック構成）</w:t>
            </w:r>
            <w:r>
              <w:br/>
            </w:r>
            <w:r>
              <w:rPr>
                <w:rFonts w:ascii="Yu Gothic" w:hAnsi="Yu Gothic" w:eastAsia="Yu Gothic"/>
                <w:b w:val="0"/>
                <w:sz w:val="20"/>
              </w:rPr>
              <w:t>異なるスロット間をまたいだ、モニターポート・送信元ポートの組み合わせ</w:t>
            </w:r>
          </w:p>
        </w:tc>
        <w:tc>
          <w:tcPr>
            <w:tcW w:type="dxa" w:w="1984"/>
            <w:shd w:val="clear" w:color="auto" w:fill="F4F6F8"/>
          </w:tcPr>
          <w:p>
            <w:pPr>
              <w:spacing w:after="40"/>
            </w:pPr>
            <w:r/>
            <w:r>
              <w:rPr>
                <w:rFonts w:ascii="Yu Gothic" w:hAnsi="Yu Gothic" w:eastAsia="Yu Gothic"/>
                <w:b w:val="0"/>
                <w:sz w:val="20"/>
              </w:rPr>
              <w:t>問題なし</w:t>
            </w:r>
          </w:p>
        </w:tc>
      </w:tr>
      <w:tr>
        <w:tc>
          <w:tcPr>
            <w:tcW w:type="dxa" w:w="850"/>
            <w:shd w:val="clear" w:color="auto" w:fill="FFFFFF"/>
          </w:tcPr>
          <w:p>
            <w:pPr>
              <w:spacing w:after="40"/>
            </w:pPr>
            <w:r/>
            <w:r>
              <w:rPr>
                <w:rFonts w:ascii="Yu Gothic" w:hAnsi="Yu Gothic" w:eastAsia="Yu Gothic"/>
                <w:b w:val="0"/>
                <w:sz w:val="20"/>
              </w:rPr>
              <w:t>3</w:t>
            </w:r>
          </w:p>
        </w:tc>
        <w:tc>
          <w:tcPr>
            <w:tcW w:type="dxa" w:w="6803"/>
            <w:shd w:val="clear" w:color="auto" w:fill="FFFFFF"/>
          </w:tcPr>
          <w:p>
            <w:pPr>
              <w:spacing w:after="40"/>
            </w:pPr>
            <w:r/>
            <w:r>
              <w:rPr>
                <w:rFonts w:ascii="Yu Gothic" w:hAnsi="Yu Gothic" w:eastAsia="Yu Gothic"/>
                <w:b w:val="0"/>
                <w:sz w:val="20"/>
              </w:rPr>
              <w:t>フィルタ付きミラーリング（FSPAN）</w:t>
            </w:r>
            <w:r>
              <w:br/>
            </w:r>
            <w:r>
              <w:rPr>
                <w:rFonts w:ascii="Yu Gothic" w:hAnsi="Yu Gothic" w:eastAsia="Yu Gothic"/>
                <w:b w:val="0"/>
                <w:sz w:val="20"/>
              </w:rPr>
              <w:t>特定のICMP通信のみを対象としたポリシーファイルの投入・適用</w:t>
            </w:r>
          </w:p>
        </w:tc>
        <w:tc>
          <w:tcPr>
            <w:tcW w:type="dxa" w:w="1984"/>
            <w:shd w:val="clear" w:color="auto" w:fill="FFFFFF"/>
          </w:tcPr>
          <w:p>
            <w:pPr>
              <w:spacing w:after="40"/>
            </w:pPr>
            <w:r/>
            <w:r>
              <w:rPr>
                <w:rFonts w:ascii="Yu Gothic" w:hAnsi="Yu Gothic" w:eastAsia="Yu Gothic"/>
                <w:b w:val="0"/>
                <w:sz w:val="20"/>
              </w:rPr>
              <w:t>問題なし</w:t>
            </w:r>
          </w:p>
        </w:tc>
      </w:tr>
      <w:tr>
        <w:tc>
          <w:tcPr>
            <w:tcW w:type="dxa" w:w="850"/>
            <w:shd w:val="clear" w:color="auto" w:fill="F4F6F8"/>
          </w:tcPr>
          <w:p>
            <w:pPr>
              <w:spacing w:after="40"/>
            </w:pPr>
            <w:r/>
            <w:r>
              <w:rPr>
                <w:rFonts w:ascii="Yu Gothic" w:hAnsi="Yu Gothic" w:eastAsia="Yu Gothic"/>
                <w:b w:val="0"/>
                <w:sz w:val="20"/>
              </w:rPr>
              <w:t>4</w:t>
            </w:r>
          </w:p>
        </w:tc>
        <w:tc>
          <w:tcPr>
            <w:tcW w:type="dxa" w:w="6803"/>
            <w:shd w:val="clear" w:color="auto" w:fill="F4F6F8"/>
          </w:tcPr>
          <w:p>
            <w:pPr>
              <w:spacing w:after="40"/>
            </w:pPr>
            <w:r/>
            <w:r>
              <w:rPr>
                <w:rFonts w:ascii="Yu Gothic" w:hAnsi="Yu Gothic" w:eastAsia="Yu Gothic"/>
                <w:b w:val="0"/>
                <w:sz w:val="20"/>
              </w:rPr>
              <w:t>機種向け代替設定（送信方向のみポート全体をミラーリング）</w:t>
            </w:r>
            <w:r>
              <w:br/>
            </w:r>
            <w:r>
              <w:rPr>
                <w:rFonts w:ascii="Yu Gothic" w:hAnsi="Yu Gothic" w:eastAsia="Yu Gothic"/>
                <w:b w:val="0"/>
                <w:sz w:val="20"/>
              </w:rPr>
              <w:t>受信方向はアクセスリストで絞り込み、送信方向はポート全体を対象とする組み合わせ</w:t>
            </w:r>
          </w:p>
        </w:tc>
        <w:tc>
          <w:tcPr>
            <w:tcW w:type="dxa" w:w="1984"/>
            <w:shd w:val="clear" w:color="auto" w:fill="F4F6F8"/>
          </w:tcPr>
          <w:p>
            <w:pPr>
              <w:spacing w:after="40"/>
            </w:pPr>
            <w:r/>
            <w:r>
              <w:rPr>
                <w:rFonts w:ascii="Yu Gothic" w:hAnsi="Yu Gothic" w:eastAsia="Yu Gothic"/>
                <w:b w:val="0"/>
                <w:sz w:val="20"/>
              </w:rPr>
              <w:t>問題なし</w:t>
            </w:r>
          </w:p>
        </w:tc>
      </w:tr>
    </w:tbl>
    <w:p>
      <w:pPr>
        <w:spacing w:after="80"/>
      </w:pPr>
    </w:p>
    <w:p>
      <w:pPr>
        <w:pStyle w:val="Heading1"/>
      </w:pPr>
      <w:r>
        <w:t>5. 検証の過程で判明した技術的な注意点</w:t>
      </w:r>
    </w:p>
    <w:p>
      <w:pPr>
        <w:spacing w:after="120"/>
      </w:pPr>
      <w:r>
        <w:rPr>
          <w:b w:val="0"/>
        </w:rPr>
        <w:t>検証の過程で、以下の2点について実機特有の挙動が判明したため、本ツールの生成内容に反映済みです。</w:t>
      </w:r>
    </w:p>
    <w:p>
      <w:pPr>
        <w:pStyle w:val="Heading2"/>
      </w:pPr>
      <w:r>
        <w:t>5.1　設定を投入する順序について</w:t>
      </w:r>
    </w:p>
    <w:p>
      <w:pPr>
        <w:spacing w:after="120"/>
      </w:pPr>
      <w:r>
        <w:rPr>
          <w:b w:val="0"/>
        </w:rPr>
        <w:t>フィルタ付きミラーリングにおいて、「ミラー機能を先に有効化してから、アクセスリストを送信方向に適用する」という順序で設定を行うと、「Feature unavailable（この機能は利用できません）」というエラーが発生し、設定が反映されない事象を確認しました。受信方向のみの場合は、この事象は発生しません。</w:t>
      </w:r>
    </w:p>
    <w:p>
      <w:pPr>
        <w:spacing w:after="120"/>
      </w:pPr>
      <w:r>
        <w:rPr>
          <w:b w:val="0"/>
        </w:rPr>
        <w:t>そこで本ツールでは、①アクセスリストの適用 → ②ミラー機能の有効化、という順序で設定コマンドを生成するように変更し、両方向（受信・送信）ともエラーなく適用できることを確認しました。この順序は既定の動作として組み込まれているため、ご利用にあたって特別な操作は不要です。</w:t>
      </w:r>
    </w:p>
    <w:p>
      <w:pPr>
        <w:spacing w:before="80" w:after="200"/>
        <w:ind w:left="283"/>
        <w:shd w:val="clear" w:fill="F4F6F8"/>
        <w:pBdr>
          <w:left w:val="single" w:sz="4" w:space="4" w:color="C9CDD3"/>
          <w:top w:val="single" w:sz="4" w:space="4" w:color="C9CDD3"/>
          <w:right w:val="single" w:sz="4" w:space="4" w:color="C9CDD3"/>
          <w:bottom w:val="single" w:sz="4" w:space="4" w:color="C9CDD3"/>
        </w:pBdr>
      </w:pPr>
      <w:r>
        <w:rPr>
          <w:rFonts w:ascii="Consolas" w:hAnsi="Consolas"/>
          <w:sz w:val="18"/>
        </w:rPr>
        <w:t># 修正後の生成順序（例）</w:t>
        <w:br/>
      </w:r>
      <w:r>
        <w:rPr>
          <w:rFonts w:ascii="Consolas" w:hAnsi="Consolas"/>
          <w:sz w:val="18"/>
        </w:rPr>
        <w:t>configure vlan Default delete ports 1:47</w:t>
        <w:br/>
      </w:r>
      <w:r>
        <w:rPr>
          <w:rFonts w:ascii="Consolas" w:hAnsi="Consolas"/>
          <w:sz w:val="18"/>
        </w:rPr>
        <w:t>create mirror monitor_1</w:t>
        <w:br/>
      </w:r>
      <w:r>
        <w:rPr>
          <w:rFonts w:ascii="Consolas" w:hAnsi="Consolas"/>
          <w:sz w:val="18"/>
        </w:rPr>
        <w:t>configure mirror monitor_1 to port 1:47</w:t>
        <w:br/>
      </w:r>
      <w:r>
        <w:rPr>
          <w:rFonts w:ascii="Consolas" w:hAnsi="Consolas"/>
          <w:sz w:val="18"/>
        </w:rPr>
        <w:t>configure access-list monitor_1_filter ports 1 ingress   &lt;- 先に適用</w:t>
        <w:br/>
      </w:r>
      <w:r>
        <w:rPr>
          <w:rFonts w:ascii="Consolas" w:hAnsi="Consolas"/>
          <w:sz w:val="18"/>
        </w:rPr>
        <w:t>configure access-list monitor_1_filter ports 1 egress</w:t>
        <w:br/>
      </w:r>
      <w:r>
        <w:rPr>
          <w:rFonts w:ascii="Consolas" w:hAnsi="Consolas"/>
          <w:sz w:val="18"/>
        </w:rPr>
        <w:t>enable mirror monitor_1                                   &lt;- 最後に有効化</w:t>
      </w:r>
    </w:p>
    <w:p>
      <w:pPr>
        <w:pStyle w:val="Heading2"/>
      </w:pPr>
      <w:r>
        <w:t>5.2　機種による送信方向ミラーリングの制限について</w:t>
      </w:r>
    </w:p>
    <w:p>
      <w:pPr>
        <w:spacing w:after="120"/>
      </w:pPr>
      <w:r>
        <w:rPr>
          <w:b w:val="0"/>
        </w:rPr>
        <w:t>一部の機種（4220シリーズなど）では、アクセスリストのアクションとして送信方向（egress）のミラーリングを指定することができない仕様であることを確認しています。</w:t>
      </w:r>
    </w:p>
    <w:p>
      <w:pPr>
        <w:spacing w:after="120"/>
      </w:pPr>
      <w:r>
        <w:rPr>
          <w:b w:val="0"/>
        </w:rPr>
        <w:t>この場合の代替手段として、送信方向についてはポート全体をそのままミラーリングし、受信方向はこれまでどおりアクセスリストで絞り込む、という組み合わせ設定を実機で検証し、問題なく動作することを確認しました。本ツールの対応表ファイル（.map.json）の「mirror_egress_mode」を「whole-port」に設定することで、この組み合わせ設定を自動的に生成できます（詳細は「ツール説明ドキュメント」をご参照ください）。</w:t>
      </w:r>
    </w:p>
    <w:p>
      <w:pPr>
        <w:spacing w:before="80" w:after="200"/>
        <w:ind w:left="283"/>
        <w:shd w:val="clear" w:fill="F4F6F8"/>
        <w:pBdr>
          <w:left w:val="single" w:sz="4" w:space="4" w:color="C9CDD3"/>
          <w:top w:val="single" w:sz="4" w:space="4" w:color="C9CDD3"/>
          <w:right w:val="single" w:sz="4" w:space="4" w:color="C9CDD3"/>
          <w:bottom w:val="single" w:sz="4" w:space="4" w:color="C9CDD3"/>
        </w:pBdr>
      </w:pPr>
      <w:r>
        <w:rPr>
          <w:rFonts w:ascii="Consolas" w:hAnsi="Consolas"/>
          <w:sz w:val="18"/>
        </w:rPr>
        <w:t># 代替設定（whole-port）の生成例</w:t>
        <w:br/>
      </w:r>
      <w:r>
        <w:rPr>
          <w:rFonts w:ascii="Consolas" w:hAnsi="Consolas"/>
          <w:sz w:val="18"/>
        </w:rPr>
        <w:t>configure mirror monitor_1 add port 1 egress    &lt;- 送信方向：ポート全体</w:t>
        <w:br/>
      </w:r>
      <w:r>
        <w:rPr>
          <w:rFonts w:ascii="Consolas" w:hAnsi="Consolas"/>
          <w:sz w:val="18"/>
        </w:rPr>
        <w:t>configure mirror monitor_1 add port 2 egress</w:t>
        <w:br/>
      </w:r>
      <w:r>
        <w:rPr>
          <w:rFonts w:ascii="Consolas" w:hAnsi="Consolas"/>
          <w:sz w:val="18"/>
        </w:rPr>
        <w:t>configure access-list monitor_1_filter ports 1 ingress   &lt;- 受信方向：ACLで絞り込み</w:t>
        <w:br/>
      </w:r>
      <w:r>
        <w:rPr>
          <w:rFonts w:ascii="Consolas" w:hAnsi="Consolas"/>
          <w:sz w:val="18"/>
        </w:rPr>
        <w:t>configure access-list monitor_1_filter ports 2 ingress</w:t>
        <w:br/>
      </w:r>
      <w:r>
        <w:rPr>
          <w:rFonts w:ascii="Consolas" w:hAnsi="Consolas"/>
          <w:sz w:val="18"/>
        </w:rPr>
        <w:t>enable mirror monitor_1</w:t>
      </w:r>
    </w:p>
    <w:p>
      <w:pPr>
        <w:pStyle w:val="Heading1"/>
      </w:pPr>
      <w:r>
        <w:t>6. 結論</w:t>
      </w:r>
    </w:p>
    <w:p>
      <w:pPr>
        <w:spacing w:after="120"/>
      </w:pPr>
      <w:r>
        <w:rPr>
          <w:b w:val="0"/>
        </w:rPr>
        <w:t>本ツールが生成するミラーリング関連の設定は、通常のミラーリング、フィルタ付きミラーリング（FSPAN）、および一部機種向けの代替設定のいずれについても、実機（スタンドアロン構成・スタック構成の両方）での動作を確認済みです。</w:t>
      </w:r>
    </w:p>
    <w:p>
      <w:pPr>
        <w:spacing w:after="120"/>
      </w:pPr>
      <w:r>
        <w:rPr>
          <w:b w:val="0"/>
        </w:rPr>
        <w:t>実運用への適用にあたっては、以下の点にご留意ください。</w:t>
      </w:r>
    </w:p>
    <w:p>
      <w:pPr>
        <w:pStyle w:val="ListBullet"/>
        <w:spacing w:after="60"/>
      </w:pPr>
      <w:r>
        <w:t>送信方向のアクセスリスト・ミラーリングへの対応可否は機種によって異なるため、導入先機種の仕様書を事前にご確認ください。</w:t>
      </w:r>
    </w:p>
    <w:p>
      <w:pPr>
        <w:pStyle w:val="ListBullet"/>
        <w:spacing w:after="60"/>
      </w:pPr>
      <w:r>
        <w:t>同時に有効化できるミラーリングの数など、機種ごとのハードウェア上限にご留意ください。</w:t>
      </w:r>
    </w:p>
    <w:p>
      <w:pPr>
        <w:pStyle w:val="ListBullet"/>
        <w:spacing w:after="60"/>
      </w:pPr>
      <w:r>
        <w:t>本検証は限定的な設定パターンでの確認であり、実際の運用環境（対象機種、ソフトウェアバージョン、既存設定の組み合わせ）によっては異なる挙動となる可能性があるため、実機適用前の事前確認を推奨します。</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Yu Gothic" w:hAnsi="Yu Gothic" w:eastAsia="Yu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Yu Gothic" w:hAnsi="Yu Gothic"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Yu Gothic" w:hAnsi="Yu Gothic" w:eastAsia="Yu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Yu Gothic"/>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