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TAP - Termo de Abertura de Projeto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7100" cy="42851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&lt;ÈPCAFÉ&gt; - &lt;APLICATIVO PARA GESTÃO DE PROPRIEDADES CAFEEIRAS&gt;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7100" cy="42851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100" cy="428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Criação inicial do documento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SOLICITANTE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Premissas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Restrições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 Requisitos Regulamentares e Estatutários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Exclusões do escopo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Envolvidos no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 Equipe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 Equipe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 Infra-Estrutura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Riscos iniciais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EXPECTATIVA DE INÍCIO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custos iniciais estimados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observações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000000"/>
          <w:rtl w:val="0"/>
        </w:rPr>
        <w:t xml:space="preserve">Este documento tem por </w:t>
      </w:r>
      <w:r w:rsidDel="00000000" w:rsidR="00000000" w:rsidRPr="00000000">
        <w:rPr>
          <w:rtl w:val="0"/>
        </w:rPr>
        <w:t xml:space="preserve">objetivo oficializar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abertura do projeto EPcafe.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SpinOff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C">
      <w:pPr>
        <w:spacing w:after="280" w:before="280" w:lineRule="auto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ÈPCAFÉ 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SOLICITANTE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seguinte projeto foi solicitado pelo professor para auxiliar pequenos agricultores de café na região sul de Minas Gerais.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Usuários poderão realizar o cálculo de depreciação e custo fixo.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 prazo final da entrega do projeto é 27/11/2024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Requisitos Regulamentares e Estatutários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Implementação do custo de depreciação;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do custo fixo.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Exclusões do escopo do projeto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Sem atividades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Envolvidos no Projeto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Equipe Técnica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9"/>
        <w:gridCol w:w="1981"/>
        <w:gridCol w:w="3420"/>
        <w:tblGridChange w:id="0">
          <w:tblGrid>
            <w:gridCol w:w="4299"/>
            <w:gridCol w:w="1981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Função/Papel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Alocação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Arthur Barboza Mostaço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Kaiky Federsoni Martins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Rafael Barosso Puya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Wesley Dressenetti Batista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Infra-Estrutura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 a inicialização do projeto será necessário criar um ambiente dentro do github.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Riscos iniciais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Atrasar a entrega dos primeiros documentos e demorar para a criação do ambiente.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EXPECTATIVA DE INÍCIO DO PROJETO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data prevista para se iniciar o projeto é 18/09/2024.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custos iniciais estimados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Não existem custos iniciais estimados pois estão sendo utilizados softwares livres para a elaboração do projeto.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804"/>
      <w:gridCol w:w="1259"/>
      <w:gridCol w:w="1717"/>
      <w:tblGridChange w:id="0">
        <w:tblGrid>
          <w:gridCol w:w="6804"/>
          <w:gridCol w:w="1259"/>
          <w:gridCol w:w="1717"/>
        </w:tblGrid>
      </w:tblGridChange>
    </w:tblGrid>
    <w:tr>
      <w:trPr>
        <w:cantSplit w:val="1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&lt;ÈPCAFÉ&gt; - &lt;APLICATIVO PARA GESTÃO DE PROPRIEDADES CAFEEIRAS&gt;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8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9"/>
      <w:gridCol w:w="6882"/>
      <w:gridCol w:w="1449"/>
      <w:tblGridChange w:id="0">
        <w:tblGrid>
          <w:gridCol w:w="1449"/>
          <w:gridCol w:w="6882"/>
          <w:gridCol w:w="1449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TAP - Termo de Abertura de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