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SGS</w:t>
      </w:r>
    </w:p>
    <w:p/>
    <w:tbl>
      <w:tblPr>
        <w:tblStyle w:val="myOwnTableStyle"/>
      </w:tblPr>
      <w:tr>
        <w:trPr>
          <w:trHeight w:val="-1"/>
        </w:trPr>
        <w:tc>
          <w:tcPr>
            <w:tcW w:w="9000" w:type="dxa"/>
          </w:tcPr>
          <w:p>
            <w:r>
              <w:t xml:space="preserve"/>
            </w:r>
          </w:p>
        </w:tc>
      </w:tr>
    </w:tbl>
    <w:p>
      <w:r>
        <w:rPr>
          <w:rStyle w:val="titleStyle"/>
        </w:rPr>
        <w:t xml:space="preserve">Auditoria </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Auditor</w:t>
            </w:r>
          </w:p>
        </w:tc>
      </w:tr>
      <w:tr>
        <w:trPr>
          <w:trHeight w:val="-330"/>
        </w:trPr>
        <w:tc>
          <w:tcPr>
            <w:tcW w:w="12000" w:type="dxa"/>
          </w:tcPr>
          <w:p>
            <w:r>
              <w:t xml:space="preserve">Auditor</w:t>
            </w:r>
          </w:p>
        </w:tc>
      </w:tr>
      <w:tr>
        <w:trPr>
          <w:trHeight w:val="-330"/>
        </w:trPr>
        <w:tc>
          <w:tcPr>
            <w:tcW w:w="12000" w:type="dxa"/>
          </w:tcPr>
          <w:p>
            <w:r>
              <w:t xml:space="preserve">auditor@sgs.com</w:t>
            </w:r>
          </w:p>
        </w:tc>
      </w:tr>
      <w:tr>
        <w:trPr>
          <w:trHeight w:val="-330"/>
        </w:trPr>
        <w:tc>
          <w:tcPr>
            <w:tcW w:w="12000" w:type="dxa"/>
          </w:tcPr>
          <w:p>
            <w:r>
              <w:t xml:space="preserve">9999999 - 999999999</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Ana María García Arango</w:t>
            </w:r>
          </w:p>
        </w:tc>
      </w:tr>
      <w:tr>
        <w:trPr>
          <w:trHeight w:val="-330"/>
        </w:trPr>
        <w:tc>
          <w:tcPr>
            <w:tcW w:w="6000" w:type="dxa"/>
          </w:tcPr>
          <w:p>
            <w:r>
              <w:t xml:space="preserve">Director de Mercadeo</w:t>
            </w:r>
          </w:p>
        </w:tc>
        <w:tc>
          <w:tcPr>
            <w:tcW w:w="6000" w:type="dxa"/>
          </w:tcPr>
          <w:p>
            <w:r>
              <w:t xml:space="preserve">Directora de Estudios</w:t>
            </w:r>
          </w:p>
        </w:tc>
      </w:tr>
      <w:tr>
        <w:trPr>
          <w:trHeight w:val="-330"/>
        </w:trPr>
        <w:tc>
          <w:tcPr>
            <w:tcW w:w="6000" w:type="dxa"/>
          </w:tcPr>
          <w:p>
            <w:r>
              <w:t xml:space="preserve">fbolivar@cnccol.com</w:t>
            </w:r>
          </w:p>
        </w:tc>
        <w:tc>
          <w:tcPr>
            <w:tcW w:w="6000" w:type="dxa"/>
          </w:tcPr>
          <w:p>
            <w:r>
              <w:t xml:space="preserve">agarcia@cnccol.com</w:t>
            </w:r>
          </w:p>
        </w:tc>
      </w:tr>
      <w:tr>
        <w:trPr>
          <w:trHeight w:val="-330"/>
        </w:trPr>
        <w:tc>
          <w:tcPr>
            <w:tcW w:w="6000" w:type="dxa"/>
          </w:tcPr>
          <w:p>
            <w:r>
              <w:t xml:space="preserve">(57) 1 3394888 Ext. 2207 - 3132264713</w:t>
            </w:r>
          </w:p>
        </w:tc>
        <w:tc>
          <w:tcPr>
            <w:tcW w:w="6000" w:type="dxa"/>
          </w:tcPr>
          <w:p>
            <w:r>
              <w:t xml:space="preserve">(57) 1 3394888 Ext. 2217 - 3113005667</w:t>
            </w:r>
          </w:p>
        </w:tc>
      </w:tr>
    </w:tbl>
    <w:p/>
    <w:p/>
    <w:p/>
    <w:p/>
    <w:p>
      <w:r>
        <w:rPr/>
        <w:t xml:space="preserve">Bogotá, 26 de junio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Renovar Iso´s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Obtener certificaciones </w:t>
      </w:r>
    </w:p>
    <w:p/>
    <w:p>
      <w:r>
        <w:rPr>
          <w:sz w:val="28"/>
          <w:szCs w:val="28"/>
          <w:b/>
        </w:rPr>
        <w:t xml:space="preserve">ESPECIFICOS:</w:t>
      </w:r>
    </w:p>
    <w:p>
      <w:pPr>
        <w:numPr>
          <w:ilvl w:val="0"/>
          <w:numId w:val="3"/>
        </w:numPr>
      </w:pPr>
      <w:r>
        <w:rPr>
          <w:sz w:val="28"/>
          <w:szCs w:val="28"/>
        </w:rPr>
        <w:t xml:space="preserve">ISO 9001</w:t>
      </w:r>
    </w:p>
    <w:p>
      <w:pPr>
        <w:numPr>
          <w:ilvl w:val="0"/>
          <w:numId w:val="3"/>
        </w:numPr>
      </w:pPr>
      <w:r>
        <w:rPr>
          <w:sz w:val="28"/>
          <w:szCs w:val="28"/>
        </w:rPr>
        <w:t xml:space="preserve">ISO 20252</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Entrevistas empleados</w:t>
            </w:r>
          </w:p>
        </w:tc>
      </w:tr>
      <w:tr>
        <w:tc>
          <w:tcPr>
            <w:tcW w:w="0" w:type="dxa"/>
          </w:tcPr>
          <w:p>
            <w:r>
              <w:t xml:space="preserve">Temas:</w:t>
            </w:r>
          </w:p>
        </w:tc>
        <w:tc>
          <w:tcPr>
            <w:tcW w:w="0" w:type="dxa"/>
          </w:tcPr>
          <w:p>
            <w:r>
              <w:t xml:space="preserve">Certificación</w:t>
            </w:r>
          </w:p>
        </w:tc>
      </w:tr>
      <w:tr>
        <w:tc>
          <w:tcPr>
            <w:tcW w:w="4000" w:type="dxa"/>
          </w:tcPr>
          <w:p>
            <w:r>
              <w:t xml:space="preserve">Metodología:</w:t>
            </w:r>
          </w:p>
        </w:tc>
        <w:tc>
          <w:tcPr>
            <w:tcW w:w="6000" w:type="dxa"/>
          </w:tcPr>
          <w:p>
            <w:r>
              <w:t xml:space="preserve">Entrevistas en Profundidad</w:t>
            </w:r>
          </w:p>
        </w:tc>
      </w:tr>
      <w:tr>
        <w:tc>
          <w:tcPr>
            <w:tcW w:w="0" w:type="dxa"/>
          </w:tcPr>
          <w:p>
            <w:r>
              <w:t xml:space="preserve">Segmento:</w:t>
            </w:r>
          </w:p>
        </w:tc>
        <w:tc>
          <w:tcPr>
            <w:tcW w:w="0" w:type="dxa"/>
          </w:tcPr>
          <w:p>
            <w:r>
              <w:t xml:space="preserve">Empleados</w:t>
            </w:r>
          </w:p>
        </w:tc>
      </w:tr>
      <w:tr>
        <w:tc>
          <w:tcPr>
            <w:tcW w:w="0" w:type="dxa"/>
          </w:tcPr>
          <w:p>
            <w:r>
              <w:t xml:space="preserve">Muestra:</w:t>
            </w:r>
          </w:p>
        </w:tc>
        <w:tc>
          <w:tcPr>
            <w:tcW w:w="0" w:type="dxa"/>
          </w:tcPr>
          <w:p>
            <w:r>
              <w:t xml:space="preserve">10</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
            </w:r>
          </w:p>
        </w:tc>
      </w:tr>
      <w:tr>
        <w:tc>
          <w:tcPr>
            <w:tcW w:w="0" w:type="dxa"/>
          </w:tcPr>
          <w:p>
            <w:r>
              <w:t xml:space="preserve">Temas:</w:t>
            </w:r>
          </w:p>
        </w:tc>
        <w:tc>
          <w:tcPr>
            <w:tcW w:w="0" w:type="dxa"/>
          </w:tcPr>
          <w:p>
            <w:r>
              <w:t xml:space="preserve">Hdjd</w:t>
            </w:r>
          </w:p>
        </w:tc>
      </w:tr>
      <w:tr>
        <w:tc>
          <w:tcPr>
            <w:tcW w:w="4000" w:type="dxa"/>
          </w:tcPr>
          <w:p>
            <w:r>
              <w:t xml:space="preserve">Metodología:</w:t>
            </w:r>
          </w:p>
        </w:tc>
        <w:tc>
          <w:tcPr>
            <w:tcW w:w="6000" w:type="dxa"/>
          </w:tcPr>
          <w:p>
            <w:r>
              <w:t xml:space="preserve">Procesos en U</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Encuestas a empleados</w:t>
            </w:r>
          </w:p>
        </w:tc>
      </w:tr>
      <w:tr>
        <w:tc>
          <w:tcPr>
            <w:tcW w:w="0" w:type="dxa"/>
          </w:tcPr>
          <w:p>
            <w:r>
              <w:t xml:space="preserve">Temas:</w:t>
            </w:r>
          </w:p>
        </w:tc>
        <w:tc>
          <w:tcPr>
            <w:tcW w:w="0" w:type="dxa"/>
          </w:tcPr>
          <w:p>
            <w:r>
              <w:t xml:space="preserve">Certificación </w:t>
            </w:r>
          </w:p>
        </w:tc>
      </w:tr>
      <w:tr>
        <w:tc>
          <w:tcPr>
            <w:tcW w:w="4000" w:type="dxa"/>
          </w:tcPr>
          <w:p>
            <w:r>
              <w:t xml:space="preserve">Metodología:</w:t>
            </w:r>
          </w:p>
        </w:tc>
        <w:tc>
          <w:tcPr>
            <w:tcW w:w="6000" w:type="dxa"/>
          </w:tcPr>
          <w:p>
            <w:r>
              <w:t xml:space="preserve">Entrevistas Cara A Cara</w:t>
            </w:r>
          </w:p>
        </w:tc>
      </w:tr>
      <w:tr>
        <w:tc>
          <w:tcPr>
            <w:tcW w:w="0" w:type="dxa"/>
          </w:tcPr>
          <w:p>
            <w:r>
              <w:t xml:space="preserve">Universo:</w:t>
            </w:r>
          </w:p>
        </w:tc>
        <w:tc>
          <w:tcPr>
            <w:tcW w:w="0" w:type="dxa"/>
          </w:tcPr>
          <w:p>
            <w:r>
              <w:t xml:space="preserve">120</w:t>
            </w:r>
          </w:p>
        </w:tc>
      </w:tr>
      <w:tr>
        <w:tc>
          <w:tcPr>
            <w:tcW w:w="0" w:type="dxa"/>
          </w:tcPr>
          <w:p>
            <w:r>
              <w:t xml:space="preserve">Marco estadístico:</w:t>
            </w:r>
          </w:p>
        </w:tc>
        <w:tc>
          <w:tcPr>
            <w:tcW w:w="0" w:type="dxa"/>
          </w:tcPr>
          <w:p>
            <w:r>
              <w:t xml:space="preserve">BBDD empleados CNC</w:t>
            </w:r>
          </w:p>
        </w:tc>
      </w:tr>
      <w:tr>
        <w:tc>
          <w:tcPr>
            <w:tcW w:w="0" w:type="dxa"/>
          </w:tcPr>
          <w:p>
            <w:r>
              <w:t xml:space="preserve">Segmento:</w:t>
            </w:r>
          </w:p>
        </w:tc>
        <w:tc>
          <w:tcPr>
            <w:tcW w:w="0" w:type="dxa"/>
          </w:tcPr>
          <w:p>
            <w:r>
              <w:t xml:space="preserve">Empleados</w:t>
            </w:r>
          </w:p>
        </w:tc>
      </w:tr>
      <w:tr>
        <w:tc>
          <w:tcPr>
            <w:tcW w:w="0" w:type="dxa"/>
          </w:tcPr>
          <w:p>
            <w:r>
              <w:t xml:space="preserve">Universo:</w:t>
            </w:r>
          </w:p>
        </w:tc>
        <w:tc>
          <w:tcPr>
            <w:tcW w:w="0" w:type="dxa"/>
          </w:tcPr>
          <w:p>
            <w:r>
              <w:t xml:space="preserve">120</w:t>
            </w:r>
          </w:p>
        </w:tc>
      </w:tr>
      <w:tr>
        <w:tc>
          <w:tcPr>
            <w:tcW w:w="0" w:type="dxa"/>
          </w:tcPr>
          <w:p>
            <w:r>
              <w:t xml:space="preserve">Muestra:</w:t>
            </w:r>
          </w:p>
        </w:tc>
        <w:tc>
          <w:tcPr>
            <w:tcW w:w="0" w:type="dxa"/>
          </w:tcPr>
          <w:p>
            <w:r>
              <w:t xml:space="preserve">15</w:t>
            </w:r>
          </w:p>
        </w:tc>
      </w:tr>
      <w:tr>
        <w:tc>
          <w:tcPr>
            <w:tcW w:w="0" w:type="dxa"/>
          </w:tcPr>
          <w:p>
            <w:r>
              <w:t xml:space="preserve">Error muestral:</w:t>
            </w:r>
          </w:p>
        </w:tc>
        <w:tc>
          <w:tcPr>
            <w:tcW w:w="0" w:type="dxa"/>
          </w:tcPr>
          <w:p>
            <w:r>
              <w:t xml:space="preserve">25%</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Ana María García Arango</w:t>
      </w:r>
    </w:p>
    <w:p>
      <w:r>
        <w:rPr>
          <w:sz w:val="24"/>
          <w:szCs w:val="24"/>
        </w:rPr>
        <w:t xml:space="preserve">Director del Estudio</w:t>
      </w:r>
    </w:p>
    <w:p>
      <w:r>
        <w:rPr>
          <w:sz w:val="28"/>
          <w:szCs w:val="28"/>
        </w:rPr>
        <w:t xml:space="preserve">Economista con especialización en Finanzas Corporativas y 5 años liderando investigaciones orientadas a medir la lealtad y relaciones con grupos de interés. Ha tenido a su cargo la implementación de las metodologías desarrolladas por  Walker Information Global Network, de la cual el Centro Nacional de Consultoría es representante exclusivo para Colombia, y ha dirigido cuentas como Banco de Occidente, Redeban Multicolor, empresas del Grupo Carvajal, Acepalma, Amarey Nova Medical y empresas del Grupo Manuelita.</w:t>
      </w:r>
    </w:p>
    <w:p>
      <w:pPr>
        <w:jc w:val="left"/>
      </w:pPr>
      <w:r>
        <w:pict>
          <v:shape type="#_x0000_t75" style="width:230px;height:150px">
            <v:imagedata r:id="rId9" o:title=""/>
          </v:shape>
        </w:pict>
      </w:r>
    </w:p>
    <w:p>
      <w:r>
        <w:rPr>
          <w:sz w:val="24"/>
          <w:szCs w:val="24"/>
          <w:b/>
        </w:rPr>
        <w:t xml:space="preserve">Paola Molina</w:t>
      </w:r>
    </w:p>
    <w:p>
      <w:r>
        <w:rPr>
          <w:sz w:val="24"/>
          <w:szCs w:val="24"/>
        </w:rPr>
        <w:t xml:space="preserve">Director de estudios Cualitativos</w:t>
      </w:r>
    </w:p>
    <w:p>
      <w:r>
        <w:rPr>
          <w:sz w:val="28"/>
          <w:szCs w:val="28"/>
        </w:rPr>
        <w:t xml:space="preserve">Obtuvo su título de Psicóloga en la Universidad de los Andes y completó estudios de Psicoterapia Psicoanalítica en la Universidad Complutense (Madrid, España). Recibió su entrenamiento en moderación de sesiones de grupo en The Burke Institute (Cincinnati, EE. UU.), en 1998. A lo largo de estos diez años ha dirigido diversas investigaciones cualitativas entre las que se destacan la Evaluación de Impacto del programa Familias en Acción de la Población Desplazada para el Departamento Nacional de Planeación, El Maltrato y el Estímulo Positivo en la Población Infantil del País para el Instituto Colombiano de Bienestar Familiar y La Vida, Percepciones y Opiniones de los Niños en Colombia para UNICEF.</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$ 7,000,000 </w:t>
            </w:r>
          </w:p>
        </w:tc>
        <w:tc>
          <w:tcPr>
            <w:tcW w:w="2000" w:type="dxa"/>
          </w:tcPr>
          <w:p>
            <w:pPr>
              <w:jc w:val="right"/>
              <w:spacing w:before="100" w:line="240" w:lineRule="auto"/>
            </w:pPr>
            <w:r>
              <w:rPr>
                <w:sz w:val="24"/>
                <w:szCs w:val="24"/>
              </w:rPr>
              <w:t xml:space="preserve">$ 7,000,000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en Profundidad - Empleados</w:t>
            </w:r>
          </w:p>
        </w:tc>
        <w:tc>
          <w:tcPr>
            <w:tcW w:w="2000" w:type="dxa"/>
          </w:tcPr>
          <w:p>
            <w:pPr>
              <w:jc w:val="center"/>
              <w:spacing w:before="100" w:line="240" w:lineRule="auto"/>
            </w:pPr>
            <w:r>
              <w:rPr>
                <w:sz w:val="24"/>
                <w:szCs w:val="24"/>
              </w:rPr>
              <w:t xml:space="preserve">10</w:t>
            </w:r>
          </w:p>
        </w:tc>
        <w:tc>
          <w:tcPr>
            <w:tcW w:w="2000" w:type="dxa"/>
          </w:tcPr>
          <w:p>
            <w:pPr>
              <w:jc w:val="right"/>
              <w:spacing w:before="100" w:line="240" w:lineRule="auto"/>
            </w:pPr>
            <w:r>
              <w:rPr>
                <w:sz w:val="24"/>
                <w:szCs w:val="24"/>
              </w:rPr>
              <w:t xml:space="preserve">$ 450,000</w:t>
            </w:r>
          </w:p>
        </w:tc>
        <w:tc>
          <w:tcPr>
            <w:tcW w:w="2000" w:type="dxa"/>
          </w:tcPr>
          <w:p>
            <w:pPr>
              <w:jc w:val="right"/>
              <w:spacing w:before="100" w:line="240" w:lineRule="auto"/>
            </w:pPr>
            <w:r>
              <w:rPr>
                <w:sz w:val="24"/>
                <w:szCs w:val="24"/>
              </w:rPr>
              <w:t xml:space="preserve">$ 4,500,000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Procesos en U - </w:t>
            </w:r>
          </w:p>
        </w:tc>
        <w:tc>
          <w:tcPr>
            <w:tcW w:w="2000" w:type="dxa"/>
          </w:tcPr>
          <w:p>
            <w:pPr>
              <w:jc w:val="center"/>
              <w:spacing w:before="100" w:line="240" w:lineRule="auto"/>
            </w:pPr>
            <w:r>
              <w:rPr>
                <w:sz w:val="24"/>
                <w:szCs w:val="24"/>
              </w:rPr>
              <w:t xml:space="preserve">0</w:t>
            </w:r>
          </w:p>
        </w:tc>
        <w:tc>
          <w:tcPr>
            <w:tcW w:w="2000" w:type="dxa"/>
          </w:tcPr>
          <w:p>
            <w:pPr>
              <w:jc w:val="right"/>
              <w:spacing w:before="100" w:line="240" w:lineRule="auto"/>
            </w:pPr>
            <w:r>
              <w:rPr>
                <w:sz w:val="24"/>
                <w:szCs w:val="24"/>
              </w:rPr>
              <w:t xml:space="preserve">$ 0</w:t>
            </w:r>
          </w:p>
        </w:tc>
        <w:tc>
          <w:tcPr>
            <w:tcW w:w="2000" w:type="dxa"/>
          </w:tcPr>
          <w:p>
            <w:pPr>
              <w:jc w:val="right"/>
              <w:spacing w:before="100" w:line="240" w:lineRule="auto"/>
            </w:pPr>
            <w:r>
              <w:rPr>
                <w:sz w:val="24"/>
                <w:szCs w:val="24"/>
              </w:rPr>
              <w:t xml:space="preserve">$ 0</w:t>
            </w:r>
          </w:p>
        </w:tc>
      </w:tr>
      <w:tr>
        <w:tc>
          <w:tcPr>
            <w:tcW w:w="300" w:type="dxa"/>
          </w:tcPr>
          <w:p>
            <w:pPr>
              <w:jc w:val="center"/>
              <w:spacing w:before="100" w:line="240" w:lineRule="auto"/>
            </w:pPr>
            <w:r>
              <w:rPr>
                <w:sz w:val="24"/>
                <w:szCs w:val="24"/>
              </w:rPr>
              <w:t xml:space="preserve">4</w:t>
            </w:r>
          </w:p>
        </w:tc>
        <w:tc>
          <w:tcPr>
            <w:tcW w:w="8000" w:type="dxa"/>
          </w:tcPr>
          <w:p>
            <w:pPr>
              <w:jc w:val="left"/>
              <w:spacing w:before="100" w:line="240" w:lineRule="auto"/>
            </w:pPr>
            <w:r>
              <w:rPr>
                <w:sz w:val="24"/>
                <w:szCs w:val="24"/>
              </w:rPr>
              <w:t xml:space="preserve"> Entrevistas Cara A Cara - Empleados</w:t>
            </w:r>
          </w:p>
        </w:tc>
        <w:tc>
          <w:tcPr>
            <w:tcW w:w="2000" w:type="dxa"/>
          </w:tcPr>
          <w:p>
            <w:pPr>
              <w:jc w:val="center"/>
              <w:spacing w:before="100" w:line="240" w:lineRule="auto"/>
            </w:pPr>
            <w:r>
              <w:rPr>
                <w:sz w:val="24"/>
                <w:szCs w:val="24"/>
              </w:rPr>
              <w:t xml:space="preserve">15</w:t>
            </w:r>
          </w:p>
        </w:tc>
        <w:tc>
          <w:tcPr>
            <w:tcW w:w="2000" w:type="dxa"/>
          </w:tcPr>
          <w:p>
            <w:pPr>
              <w:jc w:val="right"/>
              <w:spacing w:before="100" w:line="240" w:lineRule="auto"/>
            </w:pPr>
            <w:r>
              <w:rPr>
                <w:sz w:val="24"/>
                <w:szCs w:val="24"/>
              </w:rPr>
              <w:t xml:space="preserve">$ 110,000</w:t>
            </w:r>
          </w:p>
        </w:tc>
        <w:tc>
          <w:tcPr>
            <w:tcW w:w="2000" w:type="dxa"/>
          </w:tcPr>
          <w:p>
            <w:pPr>
              <w:jc w:val="right"/>
              <w:spacing w:before="100" w:line="240" w:lineRule="auto"/>
            </w:pPr>
            <w:r>
              <w:rPr>
                <w:sz w:val="24"/>
                <w:szCs w:val="24"/>
              </w:rPr>
              <w:t xml:space="preserve">$ 1,650,000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$ 13,150,000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$ 2,104,000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$ 15,254,000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
      </w:r>
    </w:p>
    <w:p>
      <w:pPr>
        <w:numPr>
          <w:ilvl w:val="0"/>
          <w:numId w:val="3"/>
        </w:numPr>
      </w:pPr>
      <w:r>
        <w:rPr>
          <w:sz w:val="28"/>
          <w:szCs w:val="28"/>
        </w:rPr>
        <w:t xml:space="preserve">Guías y/o formularios aprobados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w:t>
      </w:r>
    </w:p>
    <w:p>
      <w:pPr>
        <w:numPr>
          <w:ilvl w:val="0"/>
          <w:numId w:val="3"/>
        </w:numPr>
      </w:pPr>
      <w:r>
        <w:rPr>
          <w:sz w:val="28"/>
          <w:szCs w:val="28"/>
        </w:rPr>
        <w:t xml:space="preserve">Está certificado en las normas ISO 9001:2008 e ISO 20252:2006 por la firma SGS. La propuesta que se presenta atiende los lineamientos establecidos en estas normas.</w:t>
      </w:r>
    </w:p>
    <w:p>
      <w:pPr>
        <w:numPr>
          <w:ilvl w:val="0"/>
          <w:numId w:val="3"/>
        </w:numPr>
      </w:pPr>
      <w:r>
        <w:rPr>
          <w:sz w:val="28"/>
          <w:szCs w:val="28"/>
        </w:rPr>
        <w:t xml:space="preserve">Adhiere al Código Internacional CCI/ESOMAR de Prácticas Legales en Materia de Investigación de Mercados, Social y de Opinión.</w:t>
      </w:r>
    </w:p>
    <w:p>
      <w:pPr>
        <w:numPr>
          <w:ilvl w:val="0"/>
          <w:numId w:val="3"/>
        </w:numPr>
      </w:pPr>
      <w:r>
        <w:rPr>
          <w:sz w:val="28"/>
          <w:szCs w:val="28"/>
        </w:rPr>
        <w:t xml:space="preserve">Incorporará personal externo de reconocida idoneidad en la etapa del estudio que lo requiera, si se considera necesario para el éxito del estudio.</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w:t>
      </w:r>
    </w:p>
    <w:p>
      <w:pPr>
        <w:numPr>
          <w:ilvl w:val="0"/>
          <w:numId w:val="3"/>
        </w:numPr>
      </w:pPr>
      <w:r>
        <w:rPr>
          <w:sz w:val="28"/>
          <w:szCs w:val="28"/>
        </w:rPr>
        <w:t xml:space="preserve">Cuenta con la Vicepresidencia Administrativa y de  Calidad abierta a oír en todo momento cualquier observación que pueda mejorar nuestro servicio.</w:t>
      </w:r>
    </w:p>
    <w:sectPr>
      <w:headerReference w:type="default" r:id="rId10"/>
      <w:footerReference w:type="default" r:id="rId11"/>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b/>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