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Fundación universitaria del area andina</w:t>
      </w:r>
    </w:p>
    <w:p/>
    <w:tbl>
      <w:tblPr>
        <w:tblStyle w:val="myOwnTableStyle"/>
      </w:tblPr>
      <w:tr>
        <w:trPr>
          <w:trHeight w:val="-1"/>
        </w:trPr>
        <w:tc>
          <w:tcPr>
            <w:tcW w:w="9000" w:type="dxa"/>
          </w:tcPr>
          <w:p>
            <w:r>
              <w:t xml:space="preserve"/>
            </w:r>
          </w:p>
        </w:tc>
      </w:tr>
    </w:tbl>
    <w:p>
      <w:r>
        <w:rPr>
          <w:rStyle w:val="titleStyle"/>
        </w:rPr>
        <w:t xml:space="preserve">Fundación universitaria del area andina</w:t>
      </w:r>
    </w:p>
    <w:p/>
    <w:p/>
    <w:tbl>
      <w:tblPr>
        <w:tblStyle w:val="myOwnTableStyle"/>
      </w:tblPr>
      <w:tr>
        <w:trPr>
          <w:trHeight w:val="-1"/>
        </w:trPr>
        <w:tc>
          <w:tcPr>
            <w:tcW w:w="9000" w:type="dxa"/>
          </w:tcPr>
          <w:p>
            <w:r>
              <w:t xml:space="preserve"/>
            </w:r>
          </w:p>
        </w:tc>
      </w:tr>
    </w:tbl>
    <w:tbl>
      <w:tr>
        <w:trPr>
          <w:trHeight w:val="-330"/>
        </w:trPr>
        <w:tc>
          <w:tcPr>
            <w:tcW w:w="6000" w:type="dxa"/>
          </w:tcPr>
          <w:p>
            <w:r>
              <w:t xml:space="preserve">Presentada a:</w:t>
            </w:r>
          </w:p>
        </w:tc>
        <w:tc>
          <w:tcPr>
            <w:tcW w:w="6000" w:type="dxa"/>
          </w:tcPr>
          <w:p>
            <w:r>
              <w:t xml:space="preserve"/>
            </w:r>
          </w:p>
        </w:tc>
      </w:tr>
      <w:tr>
        <w:trPr>
          <w:trHeight w:val="-330"/>
        </w:trPr>
        <w:tc>
          <w:tcPr>
            <w:tcW w:w="6000" w:type="dxa"/>
          </w:tcPr>
          <w:p>
            <w:r>
              <w:t xml:space="preserve">Pedro</w:t>
            </w:r>
          </w:p>
        </w:tc>
        <w:tc>
          <w:tcPr>
            <w:tcW w:w="6000" w:type="dxa"/>
          </w:tcPr>
          <w:p>
            <w:r>
              <w:t xml:space="preserve"/>
            </w:r>
          </w:p>
        </w:tc>
      </w:tr>
      <w:tr>
        <w:trPr>
          <w:trHeight w:val="-330"/>
        </w:trPr>
        <w:tc>
          <w:tcPr>
            <w:tcW w:w="6000" w:type="dxa"/>
          </w:tcPr>
          <w:p>
            <w:r>
              <w:t xml:space="preserve">---</w:t>
            </w:r>
          </w:p>
        </w:tc>
        <w:tc>
          <w:tcPr>
            <w:tcW w:w="6000" w:type="dxa"/>
          </w:tcPr>
          <w:p>
            <w:r>
              <w:t xml:space="preserve"/>
            </w:r>
          </w:p>
        </w:tc>
      </w:tr>
      <w:tr>
        <w:trPr>
          <w:trHeight w:val="-330"/>
        </w:trPr>
        <w:tc>
          <w:tcPr>
            <w:tcW w:w="6000" w:type="dxa"/>
          </w:tcPr>
          <w:p>
            <w:r>
              <w:t xml:space="preserve">---</w:t>
            </w:r>
          </w:p>
        </w:tc>
        <w:tc>
          <w:tcPr>
            <w:tcW w:w="6000" w:type="dxa"/>
          </w:tcPr>
          <w:p>
            <w:r>
              <w:t xml:space="preserve"/>
            </w:r>
          </w:p>
        </w:tc>
      </w:tr>
      <w:tr>
        <w:trPr>
          <w:trHeight w:val="-330"/>
        </w:trPr>
        <w:tc>
          <w:tcPr>
            <w:tcW w:w="6000" w:type="dxa"/>
          </w:tcPr>
          <w:p>
            <w:r>
              <w:t xml:space="preserve">-- - </w:t>
            </w:r>
          </w:p>
        </w:tc>
        <w:tc>
          <w:tcPr>
            <w:tcW w:w="6000" w:type="dxa"/>
          </w:tcPr>
          <w:p>
            <w:r>
              <w:t xml:space="preserve"/>
            </w:r>
          </w:p>
        </w:tc>
      </w:tr>
      <w:tr>
        <w:trPr>
          <w:trHeight w:val="-330"/>
        </w:trPr>
        <w:tc>
          <w:tcPr>
            <w:tcW w:w="6000" w:type="dxa"/>
          </w:tcPr>
          <w:p>
            <w:r>
              <w:t xml:space="preserve"/>
            </w:r>
          </w:p>
        </w:tc>
        <w:tc>
          <w:tcPr>
            <w:tcW w:w="6000" w:type="dxa"/>
          </w:tcPr>
          <w:p>
            <w:r>
              <w:t xml:space="preserve"/>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María Carolina Chacón Vargas</w:t>
            </w:r>
          </w:p>
        </w:tc>
        <w:tc>
          <w:tcPr>
            <w:tcW w:w="6000" w:type="dxa"/>
          </w:tcPr>
          <w:p>
            <w:r>
              <w:t xml:space="preserve">Mónica Lemoine Fandiño</w:t>
            </w:r>
          </w:p>
        </w:tc>
      </w:tr>
      <w:tr>
        <w:trPr>
          <w:trHeight w:val="-330"/>
        </w:trPr>
        <w:tc>
          <w:tcPr>
            <w:tcW w:w="6000" w:type="dxa"/>
          </w:tcPr>
          <w:p>
            <w:r>
              <w:t xml:space="preserve">Directora de Estudios</w:t>
            </w:r>
          </w:p>
        </w:tc>
        <w:tc>
          <w:tcPr>
            <w:tcW w:w="6000" w:type="dxa"/>
          </w:tcPr>
          <w:p>
            <w:r>
              <w:t xml:space="preserve">Vicepresidenta de Lealtad y Relaciones</w:t>
            </w:r>
          </w:p>
        </w:tc>
      </w:tr>
      <w:tr>
        <w:trPr>
          <w:trHeight w:val="-330"/>
        </w:trPr>
        <w:tc>
          <w:tcPr>
            <w:tcW w:w="6000" w:type="dxa"/>
          </w:tcPr>
          <w:p>
            <w:r>
              <w:t xml:space="preserve">cchacon@cnccol.com</w:t>
            </w:r>
          </w:p>
        </w:tc>
        <w:tc>
          <w:tcPr>
            <w:tcW w:w="6000" w:type="dxa"/>
          </w:tcPr>
          <w:p>
            <w:r>
              <w:t xml:space="preserve">mlemoine@cnccol.com</w:t>
            </w:r>
          </w:p>
        </w:tc>
      </w:tr>
      <w:tr>
        <w:trPr>
          <w:trHeight w:val="-330"/>
        </w:trPr>
        <w:tc>
          <w:tcPr>
            <w:tcW w:w="6000" w:type="dxa"/>
          </w:tcPr>
          <w:p>
            <w:r>
              <w:t xml:space="preserve">(57) 1 3394888 Ext. 3394899 / 2215 - 3115321324</w:t>
            </w:r>
          </w:p>
        </w:tc>
        <w:tc>
          <w:tcPr>
            <w:tcW w:w="6000" w:type="dxa"/>
          </w:tcPr>
          <w:p>
            <w:r>
              <w:t xml:space="preserve">(57) 1 3394888 Ext. 3394891 / 2142 - 3115320052</w:t>
            </w:r>
          </w:p>
        </w:tc>
      </w:tr>
    </w:tbl>
    <w:p/>
    <w:p/>
    <w:p/>
    <w:p/>
    <w:p>
      <w:r>
        <w:rPr/>
        <w:t xml:space="preserve">Bogotá, 11 de septiembre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La Fundación Universitaria del Área Andina está creando su área de investigación de mercados por lo que invitado a varias empresas de investigación de mercado a cotizar diferentes estudios.</w:t>
      </w:r>
    </w:p>
    <w:p>
      <w:r>
        <w:rPr>
          <w:sz w:val="28"/>
          <w:szCs w:val="28"/>
        </w:rPr>
        <w:t xml:space="preserve"/>
      </w:r>
    </w:p>
    <w:p>
      <w:r>
        <w:rPr>
          <w:sz w:val="28"/>
          <w:szCs w:val="28"/>
        </w:rPr>
        <w:t xml:space="preserve">El Centro Nacional de Consultoría agradece la oportunidad que se le brinda de presentar la presente propuesta.</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
      </w:r>
    </w:p>
    <w:p/>
    <w:p>
      <w:r>
        <w:rPr>
          <w:sz w:val="28"/>
          <w:szCs w:val="28"/>
          <w:b/>
        </w:rPr>
        <w:t xml:space="preserve">ESPECIFICOS: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
            </w:r>
          </w:p>
        </w:tc>
      </w:tr>
      <w:tr>
        <w:tc>
          <w:tcPr>
            <w:tcW w:w="4000" w:type="dxa"/>
          </w:tcPr>
          <w:p>
            <w:r>
              <w:t xml:space="preserve">Metodología:</w:t>
            </w:r>
          </w:p>
        </w:tc>
        <w:tc>
          <w:tcPr>
            <w:tcW w:w="6000" w:type="dxa"/>
          </w:tcPr>
          <w:p>
            <w:r>
              <w:t xml:space="preserve">Locación Central</w:t>
            </w:r>
          </w:p>
        </w:tc>
      </w:tr>
      <w:tr>
        <w:tc>
          <w:tcPr>
            <w:tcW w:w="0" w:type="dxa"/>
          </w:tcPr>
          <w:p>
            <w:r>
              <w:t xml:space="preserve">Segmento:</w:t>
            </w:r>
          </w:p>
        </w:tc>
        <w:tc>
          <w:tcPr>
            <w:tcW w:w="0" w:type="dxa"/>
          </w:tcPr>
          <w:p>
            <w:r>
              <w:t xml:space="preserve">5</w:t>
            </w:r>
          </w:p>
        </w:tc>
      </w:tr>
      <w:tr>
        <w:tc>
          <w:tcPr>
            <w:tcW w:w="0" w:type="dxa"/>
          </w:tcPr>
          <w:p>
            <w:r>
              <w:t xml:space="preserve">Muestra:</w:t>
            </w:r>
          </w:p>
        </w:tc>
        <w:tc>
          <w:tcPr>
            <w:tcW w:w="0" w:type="dxa"/>
          </w:tcPr>
          <w:p>
            <w:r>
              <w:t xml:space="preserve">5</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
</w:t>
      </w:r>
    </w:p>
    <w:p>
      <w:pPr>
        <w:numPr>
          <w:ilvl w:val="0"/>
          <w:numId w:val="3"/>
        </w:numPr>
      </w:pPr>
      <w:r>
        <w:rPr>
          <w:sz w:val="28"/>
          <w:szCs w:val="28"/>
        </w:rPr>
        <w:t xml:space="preserve">El proceso de planeación en donde se elaboran los formularios, las bases de datos y se revisan los objetivos del proyecto.
</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
</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
</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Francisco Pereira, Ph.D.</w:t>
      </w:r>
    </w:p>
    <w:p>
      <w:r>
        <w:rPr>
          <w:sz w:val="24"/>
          <w:szCs w:val="24"/>
        </w:rPr>
        <w:t xml:space="preserve">Director de estudios Cualitativos</w:t>
      </w:r>
    </w:p>
    <w:p>
      <w:r>
        <w:rPr>
          <w:sz w:val="28"/>
          <w:szCs w:val="28"/>
        </w:rPr>
        <w:t xml:space="preserve">Es un investigador de mercados del área cuantitativa de amplio reconocimiento en Colombia, con más de treinta y cinco años de trabajo en este país. Viene de una larga y distinguida carrera académica.  Es Ingeniero Civil de la Universidad Nacional de Colombia, y posee una maestría y un doctorado en Investigación de Operaciones de Stanford University.</w:t>
      </w:r>
    </w:p>
    <w:p>
      <w:pPr>
        <w:jc w:val="left"/>
      </w:pPr>
      <w:r>
        <w:pict>
          <v:shape type="#_x0000_t75" style="width:230px;height:150px">
            <v:imagedata r:id="rId9" o:title=""/>
          </v:shape>
        </w:pict>
      </w:r>
    </w:p>
    <w:p>
      <w:r>
        <w:rPr>
          <w:sz w:val="24"/>
          <w:szCs w:val="24"/>
          <w:b/>
        </w:rPr>
        <w:t xml:space="preserve">Fabricio Alarcón</w:t>
      </w:r>
    </w:p>
    <w:p>
      <w:r>
        <w:rPr>
          <w:sz w:val="24"/>
          <w:szCs w:val="24"/>
        </w:rPr>
        <w:t xml:space="preserve">Etnógrafo</w:t>
      </w:r>
    </w:p>
    <w:p>
      <w:r>
        <w:rPr>
          <w:sz w:val="28"/>
          <w:szCs w:val="28"/>
        </w:rPr>
        <w:t xml:space="preserve">Tiene más de 10 años de experiencia liderando proyectos en el área de Marca y Medios. Entre otros, ha dirigido el Estudio Continuo de Audiencia de Radio (ECAR), desde su creación en agosto de 2008, y ha estado encargado de más de 10 mediciones del Estudio General de Medios (EGM) como operador de campo. Entre otras cuentas que ha manejado están los estudios de marca y medios para ETB, Cerrejón Coal, Havas Media y Camacol.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$ 7,000,000 </w:t>
            </w:r>
          </w:p>
        </w:tc>
        <w:tc>
          <w:tcPr>
            <w:tcW w:w="2000" w:type="dxa"/>
          </w:tcPr>
          <w:p>
            <w:pPr>
              <w:jc w:val="right"/>
              <w:spacing w:before="100" w:line="240" w:lineRule="auto"/>
            </w:pPr>
            <w:r>
              <w:rPr>
                <w:sz w:val="24"/>
                <w:szCs w:val="24"/>
              </w:rPr>
              <w:t xml:space="preserve">$ 7,000,000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Locación Central - 5</w:t>
            </w:r>
          </w:p>
        </w:tc>
        <w:tc>
          <w:tcPr>
            <w:tcW w:w="2000" w:type="dxa"/>
          </w:tcPr>
          <w:p>
            <w:pPr>
              <w:jc w:val="center"/>
              <w:spacing w:before="100" w:line="240" w:lineRule="auto"/>
            </w:pPr>
            <w:r>
              <w:rPr>
                <w:sz w:val="24"/>
                <w:szCs w:val="24"/>
              </w:rPr>
              <w:t xml:space="preserve">5</w:t>
            </w:r>
          </w:p>
        </w:tc>
        <w:tc>
          <w:tcPr>
            <w:tcW w:w="2000" w:type="dxa"/>
          </w:tcPr>
          <w:p>
            <w:pPr>
              <w:jc w:val="right"/>
              <w:spacing w:before="100" w:line="240" w:lineRule="auto"/>
            </w:pPr>
            <w:r>
              <w:rPr>
                <w:sz w:val="24"/>
                <w:szCs w:val="24"/>
              </w:rPr>
              <w:t xml:space="preserve">$ 36,000</w:t>
            </w:r>
          </w:p>
        </w:tc>
        <w:tc>
          <w:tcPr>
            <w:tcW w:w="2000" w:type="dxa"/>
          </w:tcPr>
          <w:p>
            <w:pPr>
              <w:jc w:val="right"/>
              <w:spacing w:before="100" w:line="240" w:lineRule="auto"/>
            </w:pPr>
            <w:r>
              <w:rPr>
                <w:sz w:val="24"/>
                <w:szCs w:val="24"/>
              </w:rPr>
              <w:t xml:space="preserve">$ 180,000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$ 7,180,000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$ 1,148,800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$ 8,328,800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
      </w:r>
    </w:p>
    <w:p>
      <w:pPr>
        <w:numPr>
          <w:ilvl w:val="0"/>
          <w:numId w:val="3"/>
        </w:numPr>
      </w:pPr>
      <w:r>
        <w:rPr>
          <w:sz w:val="28"/>
          <w:szCs w:val="28"/>
        </w:rPr>
        <w:t xml:space="preserve">Guías y/o formularios aprobados</w:t>
      </w:r>
    </w:p>
    <w:p>
      <w:pPr>
        <w:numPr>
          <w:ilvl w:val="0"/>
          <w:numId w:val="3"/>
        </w:numPr>
      </w:pPr>
      <w:r>
        <w:rPr>
          <w:sz w:val="28"/>
          <w:szCs w:val="28"/>
        </w:rPr>
        <w:t xml:space="preserve">Informe (1 con los hallazgos que lo apoyen)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pedirá al entrevistado su consentimiento para suministrarla. (Norma 20252 numeral 4.3.4 Observación y comprobación de la recogida de datos).</w:t>
      </w:r>
    </w:p>
    <w:p>
      <w:pPr>
        <w:numPr>
          <w:ilvl w:val="0"/>
          <w:numId w:val="3"/>
        </w:numPr>
      </w:pPr>
      <w:r>
        <w:rPr>
          <w:sz w:val="28"/>
          <w:szCs w:val="28"/>
        </w:rPr>
        <w:t xml:space="preserve">Permitirá la observación del trabajo campo siempre y cuando no se afecte la calidad del estudio, caso en el cual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preciso acordarlo con el responsable de la presentación de esta propuesta. (Norma 20252 numeral 4.3.4 Observación y comprobación de la recogida de datos).</w:t>
      </w:r>
    </w:p>
    <w:p>
      <w:pPr>
        <w:numPr>
          <w:ilvl w:val="0"/>
          <w:numId w:val="3"/>
        </w:numPr>
      </w:pPr>
      <w:r>
        <w:rPr>
          <w:sz w:val="28"/>
          <w:szCs w:val="28"/>
        </w:rPr>
        <w:t xml:space="preserve">Confirmará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Acordará con el cliente los detalles técnicos para la revisión, entrega e inversión si se requiere la traducción a otra lengua de documentos del estudio. (Norma 20252 numeral 4.4.2 Traducción de cuestionarios y guías de discusión o cualquier otro documento relacionado con el proyecto).</w:t>
      </w:r>
    </w:p>
    <w:p>
      <w:pPr>
        <w:numPr>
          <w:ilvl w:val="0"/>
          <w:numId w:val="3"/>
        </w:numPr>
      </w:pPr>
      <w:r>
        <w:rPr>
          <w:sz w:val="28"/>
          <w:szCs w:val="28"/>
        </w:rPr>
        <w:t xml:space="preserve">Convendrá modificaciones en tiempos o precios en caso de que se presenten cambios durante la planeación o ejecución del estudio que se desfasen de lo cotizado en esta propuesta. Así mismo, actividades posteriores a la entrega de resultados se acordarán mutuamente. (Norma 20252 numeral 4.1.4 Precio).</w:t>
      </w:r>
    </w:p>
    <w:p>
      <w:pPr>
        <w:numPr>
          <w:ilvl w:val="0"/>
          <w:numId w:val="3"/>
        </w:numPr>
      </w:pPr>
      <w:r>
        <w:rPr>
          <w:sz w:val="28"/>
          <w:szCs w:val="28"/>
        </w:rPr>
        <w:t xml:space="preserve">Atenderá a la mayor brevedad posible las solicitudes de aclaración o precisión de cualquiera de los términos de la presente propuesta. (Norma 20252 numeral 4.1.1 Respuesta a las solicitudes de investigación - Generalidades).</w:t>
      </w:r>
    </w:p>
    <w:p>
      <w:pPr>
        <w:numPr>
          <w:ilvl w:val="0"/>
          <w:numId w:val="3"/>
        </w:numPr>
      </w:pPr>
      <w:r>
        <w:rPr>
          <w:sz w:val="28"/>
          <w:szCs w:val="28"/>
        </w:rPr>
        <w:t xml:space="preserve">Solicita que se le comunique la decisión de publicar los resultados del estudio con el objeto de cumplir con el trámite a que obliga el Consejo Nacional Electoral.</w:t>
      </w:r>
    </w:p>
    <w:sectPr>
      <w:headerReference w:type="default" r:id="rId10"/>
      <w:footerReference w:type="default" r:id="rId11"/>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b/>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header" Target="header1.xml"/>
  <Relationship Id="rId11"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2010-03-12T00:00:00-05:00</dcterms:created>
  <dcterms:modified xsi:type="dcterms:W3CDTF">2010-03-14T00:00:00-05:00</dcterms:modified>
  <dc:title>Propuesta</dc:title>
  <dc:description>Propuesta de valor</dc:description>
  <dc:subject>La propuesta</dc:subject>
  <cp:keywords>my, key, word</cp:keywords>
  <cp:category>Vicepresidencia Comercial</cp:category>
</cp:coreProperties>
</file>