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a</w:t>
      </w:r>
    </w:p>
    <w:p/>
    <w:tbl>
      <w:tblPr>
        <w:tblStyle w:val="myOwnTableStyle"/>
      </w:tblPr>
      <w:tr>
        <w:trPr>
          <w:trHeight w:val="-1"/>
        </w:trPr>
        <w:tc>
          <w:tcPr>
            <w:tcW w:w="9000" w:type="dxa"/>
          </w:tcPr>
          <w:p>
            <w:r>
              <w:t xml:space="preserve"/>
            </w:r>
          </w:p>
        </w:tc>
      </w:tr>
    </w:tbl>
    <w:p>
      <w:r>
        <w:rPr>
          <w:rStyle w:val="titleStyle"/>
        </w:rPr>
        <w:t xml:space="preserve">a</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a</w:t>
            </w:r>
          </w:p>
        </w:tc>
      </w:tr>
      <w:tr>
        <w:trPr>
          <w:trHeight w:val="-330"/>
        </w:trPr>
        <w:tc>
          <w:tcPr>
            <w:tcW w:w="12000" w:type="dxa"/>
          </w:tcPr>
          <w:p>
            <w:r>
              <w:t xml:space="preserve">a</w:t>
            </w:r>
          </w:p>
        </w:tc>
      </w:tr>
      <w:tr>
        <w:trPr>
          <w:trHeight w:val="-330"/>
        </w:trPr>
        <w:tc>
          <w:tcPr>
            <w:tcW w:w="12000" w:type="dxa"/>
          </w:tcPr>
          <w:p>
            <w:r>
              <w:t xml:space="preserve">a</w:t>
            </w:r>
          </w:p>
        </w:tc>
      </w:tr>
      <w:tr>
        <w:trPr>
          <w:trHeight w:val="-330"/>
        </w:trPr>
        <w:tc>
          <w:tcPr>
            <w:tcW w:w="12000" w:type="dxa"/>
          </w:tcPr>
          <w:p>
            <w:r>
              <w:t xml:space="preserve">2 - 2</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Ana María García Arango</w:t>
            </w:r>
          </w:p>
        </w:tc>
      </w:tr>
      <w:tr>
        <w:trPr>
          <w:trHeight w:val="-330"/>
        </w:trPr>
        <w:tc>
          <w:tcPr>
            <w:tcW w:w="6000" w:type="dxa"/>
          </w:tcPr>
          <w:p>
            <w:r>
              <w:t xml:space="preserve">Director de Mercadeo</w:t>
            </w:r>
          </w:p>
        </w:tc>
        <w:tc>
          <w:tcPr>
            <w:tcW w:w="6000" w:type="dxa"/>
          </w:tcPr>
          <w:p>
            <w:r>
              <w:t xml:space="preserve">Directora de Estudios</w:t>
            </w:r>
          </w:p>
        </w:tc>
      </w:tr>
      <w:tr>
        <w:trPr>
          <w:trHeight w:val="-330"/>
        </w:trPr>
        <w:tc>
          <w:tcPr>
            <w:tcW w:w="6000" w:type="dxa"/>
          </w:tcPr>
          <w:p>
            <w:r>
              <w:t xml:space="preserve">fbolivar@cnccol.com</w:t>
            </w:r>
          </w:p>
        </w:tc>
        <w:tc>
          <w:tcPr>
            <w:tcW w:w="6000" w:type="dxa"/>
          </w:tcPr>
          <w:p>
            <w:r>
              <w:t xml:space="preserve">agarcia@cnccol.com</w:t>
            </w:r>
          </w:p>
        </w:tc>
      </w:tr>
      <w:tr>
        <w:trPr>
          <w:trHeight w:val="-330"/>
        </w:trPr>
        <w:tc>
          <w:tcPr>
            <w:tcW w:w="6000" w:type="dxa"/>
          </w:tcPr>
          <w:p>
            <w:r>
              <w:t xml:space="preserve">(57) 1 3394888 Ext. 2207 - 3132264713</w:t>
            </w:r>
          </w:p>
        </w:tc>
        <w:tc>
          <w:tcPr>
            <w:tcW w:w="6000" w:type="dxa"/>
          </w:tcPr>
          <w:p>
            <w:r>
              <w:t xml:space="preserve">(57) 1 3394888 Ext. 2217 - 3113005667</w:t>
            </w:r>
          </w:p>
        </w:tc>
      </w:tr>
    </w:tbl>
    <w:p/>
    <w:p/>
    <w:p/>
    <w:p/>
    <w:p>
      <w:r>
        <w:rPr/>
        <w:t xml:space="preserve">Bogotá, 26 de junio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aa</w:t>
      </w:r>
    </w:p>
    <w:p/>
    <w:p>
      <w:r>
        <w:rPr>
          <w:sz w:val="28"/>
          <w:szCs w:val="28"/>
          <w:b/>
        </w:rPr>
        <w:t xml:space="preserve">ESPECIFICOS:</w:t>
      </w:r>
    </w:p>
    <w:p>
      <w:pPr>
        <w:numPr>
          <w:ilvl w:val="0"/>
          <w:numId w:val="3"/>
        </w:numPr>
      </w:pPr>
      <w:r>
        <w:rPr>
          <w:sz w:val="28"/>
          <w:szCs w:val="28"/>
        </w:rPr>
        <w:t xml:space="preserve">aa</w:t>
      </w:r>
    </w:p>
    <w:p>
      <w:pPr>
        <w:numPr>
          <w:ilvl w:val="0"/>
          <w:numId w:val="3"/>
        </w:numPr>
      </w:pPr>
      <w:r>
        <w:rPr>
          <w:sz w:val="28"/>
          <w:szCs w:val="28"/>
        </w:rPr>
        <w:t xml:space="preserve">bb</w:t>
      </w:r>
    </w:p>
    <w:p>
      <w:pPr>
        <w:numPr>
          <w:ilvl w:val="0"/>
          <w:numId w:val="3"/>
        </w:numPr>
      </w:pPr>
      <w:r>
        <w:rPr>
          <w:sz w:val="28"/>
          <w:szCs w:val="28"/>
        </w:rPr>
        <w:t xml:space="preserve">cc</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FGD</w:t>
            </w:r>
          </w:p>
        </w:tc>
      </w:tr>
      <w:tr>
        <w:tc>
          <w:tcPr>
            <w:tcW w:w="0" w:type="dxa"/>
          </w:tcPr>
          <w:p>
            <w:r>
              <w:t xml:space="preserve">Temas:</w:t>
            </w:r>
          </w:p>
        </w:tc>
        <w:tc>
          <w:tcPr>
            <w:tcW w:w="0" w:type="dxa"/>
          </w:tcPr>
          <w:p>
            <w:r>
              <w:t xml:space="preserve">aaa</w:t>
            </w:r>
          </w:p>
        </w:tc>
      </w:tr>
      <w:tr>
        <w:tc>
          <w:tcPr>
            <w:tcW w:w="4000" w:type="dxa"/>
          </w:tcPr>
          <w:p>
            <w:r>
              <w:t xml:space="preserve">Metodología:</w:t>
            </w:r>
          </w:p>
        </w:tc>
        <w:tc>
          <w:tcPr>
            <w:tcW w:w="6000" w:type="dxa"/>
          </w:tcPr>
          <w:p>
            <w:r>
              <w:t xml:space="preserve">Grupos Focales</w:t>
            </w:r>
          </w:p>
        </w:tc>
      </w:tr>
      <w:tr>
        <w:tc>
          <w:tcPr>
            <w:tcW w:w="0" w:type="dxa"/>
          </w:tcPr>
          <w:p>
            <w:r>
              <w:t xml:space="preserve">Ciudad:</w:t>
            </w:r>
          </w:p>
        </w:tc>
        <w:tc>
          <w:tcPr>
            <w:tcW w:w="0" w:type="dxa"/>
          </w:tcPr>
          <w:p>
            <w:r>
              <w:t xml:space="preserve">AAA</w:t>
            </w:r>
          </w:p>
        </w:tc>
      </w:tr>
      <w:tr>
        <w:tc>
          <w:tcPr>
            <w:tcW w:w="0" w:type="dxa"/>
          </w:tcPr>
          <w:p>
            <w:r>
              <w:t xml:space="preserve">Número de sesiones:</w:t>
            </w:r>
          </w:p>
        </w:tc>
        <w:tc>
          <w:tcPr>
            <w:tcW w:w="0" w:type="dxa"/>
          </w:tcPr>
          <w:p>
            <w:r>
              <w:t xml:space="preserve">4</w:t>
            </w:r>
          </w:p>
        </w:tc>
      </w:tr>
      <w:tr>
        <w:tc>
          <w:tcPr>
            <w:tcW w:w="0" w:type="dxa"/>
          </w:tcPr>
          <w:p>
            <w:r>
              <w:t xml:space="preserve">Lugar donde se va a realizar:</w:t>
            </w:r>
          </w:p>
        </w:tc>
        <w:tc>
          <w:tcPr>
            <w:tcW w:w="0" w:type="dxa"/>
          </w:tcPr>
          <w:p>
            <w:r>
              <w:t xml:space="preserve">Alquiler salón</w:t>
            </w:r>
          </w:p>
        </w:tc>
      </w:tr>
      <w:tr>
        <w:tc>
          <w:tcPr>
            <w:tcW w:w="0" w:type="dxa"/>
          </w:tcPr>
          <w:p>
            <w:r>
              <w:t xml:space="preserve">Duración:</w:t>
            </w:r>
          </w:p>
        </w:tc>
        <w:tc>
          <w:tcPr>
            <w:tcW w:w="0" w:type="dxa"/>
          </w:tcPr>
          <w:p>
            <w:r>
              <w:t xml:space="preserve">90</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bbb</w:t>
            </w:r>
          </w:p>
        </w:tc>
      </w:tr>
      <w:tr>
        <w:tc>
          <w:tcPr>
            <w:tcW w:w="0" w:type="dxa"/>
          </w:tcPr>
          <w:p>
            <w:r>
              <w:t xml:space="preserve">Temas:</w:t>
            </w:r>
          </w:p>
        </w:tc>
        <w:tc>
          <w:tcPr>
            <w:tcW w:w="0" w:type="dxa"/>
          </w:tcPr>
          <w:p>
            <w:r>
              <w:t xml:space="preserve">bbb</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1000</w:t>
            </w:r>
          </w:p>
        </w:tc>
      </w:tr>
      <w:tr>
        <w:tc>
          <w:tcPr>
            <w:tcW w:w="0" w:type="dxa"/>
          </w:tcPr>
          <w:p>
            <w:r>
              <w:t xml:space="preserve">Marco estadístico:</w:t>
            </w:r>
          </w:p>
        </w:tc>
        <w:tc>
          <w:tcPr>
            <w:tcW w:w="0" w:type="dxa"/>
          </w:tcPr>
          <w:p>
            <w:r>
              <w:t xml:space="preserve">BBDD cliente</w:t>
            </w:r>
          </w:p>
        </w:tc>
      </w:tr>
      <w:tr>
        <w:tc>
          <w:tcPr>
            <w:tcW w:w="0" w:type="dxa"/>
          </w:tcPr>
          <w:p>
            <w:r>
              <w:t xml:space="preserve">Segmento:</w:t>
            </w:r>
          </w:p>
        </w:tc>
        <w:tc>
          <w:tcPr>
            <w:tcW w:w="0" w:type="dxa"/>
          </w:tcPr>
          <w:p>
            <w:r>
              <w:t xml:space="preserve">bbb</w:t>
            </w:r>
          </w:p>
        </w:tc>
      </w:tr>
      <w:tr>
        <w:tc>
          <w:tcPr>
            <w:tcW w:w="0" w:type="dxa"/>
          </w:tcPr>
          <w:p>
            <w:r>
              <w:t xml:space="preserve">Universo:</w:t>
            </w:r>
          </w:p>
        </w:tc>
        <w:tc>
          <w:tcPr>
            <w:tcW w:w="0" w:type="dxa"/>
          </w:tcPr>
          <w:p>
            <w:r>
              <w:t xml:space="preserve">2000</w:t>
            </w:r>
          </w:p>
        </w:tc>
      </w:tr>
      <w:tr>
        <w:tc>
          <w:tcPr>
            <w:tcW w:w="0" w:type="dxa"/>
          </w:tcPr>
          <w:p>
            <w:r>
              <w:t xml:space="preserve">Muestra:</w:t>
            </w:r>
          </w:p>
        </w:tc>
        <w:tc>
          <w:tcPr>
            <w:tcW w:w="0" w:type="dxa"/>
          </w:tcPr>
          <w:p>
            <w:r>
              <w:t xml:space="preserve">200</w:t>
            </w:r>
          </w:p>
        </w:tc>
      </w:tr>
      <w:tr>
        <w:tc>
          <w:tcPr>
            <w:tcW w:w="0" w:type="dxa"/>
          </w:tcPr>
          <w:p>
            <w:r>
              <w:t xml:space="preserve">Error muestral:</w:t>
            </w:r>
          </w:p>
        </w:tc>
        <w:tc>
          <w:tcPr>
            <w:tcW w:w="0" w:type="dxa"/>
          </w:tcPr>
          <w:p>
            <w:r>
              <w:t xml:space="preserve">7%</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Ana María García Arango</w:t>
      </w:r>
    </w:p>
    <w:p>
      <w:r>
        <w:rPr>
          <w:sz w:val="24"/>
          <w:szCs w:val="24"/>
        </w:rPr>
        <w:t xml:space="preserve">Director del Estudio</w:t>
      </w:r>
    </w:p>
    <w:p>
      <w:r>
        <w:rPr>
          <w:sz w:val="28"/>
          <w:szCs w:val="28"/>
        </w:rPr>
        <w:t xml:space="preserve">Economista con especialización en Finanzas Corporativas y 5 años liderando investigaciones orientadas a medir la lealtad y relaciones con grupos de interés. Ha tenido a su cargo la implementación de las metodologías desarrolladas por  Walker Information Global Network, de la cual el Centro Nacional de Consultoría es representante exclusivo para Colombia, y ha dirigido cuentas como Banco de Occidente, Redeban Multicolor, empresas del Grupo Carvajal, Acepalma, Amarey Nova Medical y empresas del Grupo Manuelita.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$ 7,000,000 </w:t>
            </w:r>
          </w:p>
        </w:tc>
        <w:tc>
          <w:tcPr>
            <w:tcW w:w="2000" w:type="dxa"/>
          </w:tcPr>
          <w:p>
            <w:pPr>
              <w:jc w:val="right"/>
              <w:spacing w:before="100" w:line="240" w:lineRule="auto"/>
            </w:pPr>
            <w:r>
              <w:rPr>
                <w:sz w:val="24"/>
                <w:szCs w:val="24"/>
              </w:rPr>
              <w:t xml:space="preserve">$ 7,000,000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Grupos Focales - AAA</w:t>
            </w:r>
          </w:p>
        </w:tc>
        <w:tc>
          <w:tcPr>
            <w:tcW w:w="2000" w:type="dxa"/>
          </w:tcPr>
          <w:p>
            <w:pPr>
              <w:jc w:val="center"/>
              <w:spacing w:before="100" w:line="240" w:lineRule="auto"/>
            </w:pPr>
            <w:r>
              <w:rPr>
                <w:sz w:val="24"/>
                <w:szCs w:val="24"/>
              </w:rPr>
              <w:t xml:space="preserve">4</w:t>
            </w:r>
          </w:p>
        </w:tc>
        <w:tc>
          <w:tcPr>
            <w:tcW w:w="2000" w:type="dxa"/>
          </w:tcPr>
          <w:p>
            <w:pPr>
              <w:jc w:val="right"/>
              <w:spacing w:before="100" w:line="240" w:lineRule="auto"/>
            </w:pPr>
            <w:r>
              <w:rPr>
                <w:sz w:val="24"/>
                <w:szCs w:val="24"/>
              </w:rPr>
              <w:t xml:space="preserve">$ 4,300,000</w:t>
            </w:r>
          </w:p>
        </w:tc>
        <w:tc>
          <w:tcPr>
            <w:tcW w:w="2000" w:type="dxa"/>
          </w:tcPr>
          <w:p>
            <w:pPr>
              <w:jc w:val="right"/>
              <w:spacing w:before="100" w:line="240" w:lineRule="auto"/>
            </w:pPr>
            <w:r>
              <w:rPr>
                <w:sz w:val="24"/>
                <w:szCs w:val="24"/>
              </w:rPr>
              <w:t xml:space="preserve">$ 17,200,000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Entrevistas Cara A Cara - bbb</w:t>
            </w:r>
          </w:p>
        </w:tc>
        <w:tc>
          <w:tcPr>
            <w:tcW w:w="2000" w:type="dxa"/>
          </w:tcPr>
          <w:p>
            <w:pPr>
              <w:jc w:val="center"/>
              <w:spacing w:before="100" w:line="240" w:lineRule="auto"/>
            </w:pPr>
            <w:r>
              <w:rPr>
                <w:sz w:val="24"/>
                <w:szCs w:val="24"/>
              </w:rPr>
              <w:t xml:space="preserve">200</w:t>
            </w:r>
          </w:p>
        </w:tc>
        <w:tc>
          <w:tcPr>
            <w:tcW w:w="2000" w:type="dxa"/>
          </w:tcPr>
          <w:p>
            <w:pPr>
              <w:jc w:val="right"/>
              <w:spacing w:before="100" w:line="240" w:lineRule="auto"/>
            </w:pPr>
            <w:r>
              <w:rPr>
                <w:sz w:val="24"/>
                <w:szCs w:val="24"/>
              </w:rPr>
              <w:t xml:space="preserve">$ 48,000</w:t>
            </w:r>
          </w:p>
        </w:tc>
        <w:tc>
          <w:tcPr>
            <w:tcW w:w="2000" w:type="dxa"/>
          </w:tcPr>
          <w:p>
            <w:pPr>
              <w:jc w:val="right"/>
              <w:spacing w:before="100" w:line="240" w:lineRule="auto"/>
            </w:pPr>
            <w:r>
              <w:rPr>
                <w:sz w:val="24"/>
                <w:szCs w:val="24"/>
              </w:rPr>
              <w:t xml:space="preserve">$ 9,600,000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$ 33,800,000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$ 5,408,000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$ 39,208,000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