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Global Seguros</w:t>
      </w:r>
    </w:p>
    <w:p/>
    <w:tbl>
      <w:tblPr>
        <w:tblStyle w:val="myOwnTableStyle"/>
      </w:tblPr>
      <w:tr>
        <w:trPr>
          <w:trHeight w:val="-1"/>
        </w:trPr>
        <w:tc>
          <w:tcPr>
            <w:tcW w:w="9000" w:type="dxa"/>
          </w:tcPr>
          <w:p>
            <w:r>
              <w:t xml:space="preserve"/>
            </w:r>
          </w:p>
        </w:tc>
      </w:tr>
    </w:tbl>
    <w:p>
      <w:r>
        <w:rPr>
          <w:rStyle w:val="titleStyle"/>
        </w:rPr>
        <w:t xml:space="preserve">Conocimiento de Clientes Actuales y Potenciales</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Andrea Espinosa Bleier </w:t>
            </w:r>
          </w:p>
        </w:tc>
      </w:tr>
      <w:tr>
        <w:trPr>
          <w:trHeight w:val="-330"/>
        </w:trPr>
        <w:tc>
          <w:tcPr>
            <w:tcW w:w="12000" w:type="dxa"/>
          </w:tcPr>
          <w:p>
            <w:r>
              <w:t xml:space="preserve">Directora de Mercadeo</w:t>
            </w:r>
          </w:p>
        </w:tc>
      </w:tr>
      <w:tr>
        <w:trPr>
          <w:trHeight w:val="-330"/>
        </w:trPr>
        <w:tc>
          <w:tcPr>
            <w:tcW w:w="12000" w:type="dxa"/>
          </w:tcPr>
          <w:p>
            <w:r>
              <w:t xml:space="preserve">andrea.espinosa@globalseguroscolombia.com</w:t>
            </w:r>
          </w:p>
        </w:tc>
      </w:tr>
      <w:tr>
        <w:trPr>
          <w:trHeight w:val="-330"/>
        </w:trPr>
        <w:tc>
          <w:tcPr>
            <w:tcW w:w="12000" w:type="dxa"/>
          </w:tcPr>
          <w:p>
            <w:r>
              <w:t xml:space="preserve">3139200 - 3212414533</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Ana María García Arango</w:t>
            </w:r>
          </w:p>
        </w:tc>
      </w:tr>
      <w:tr>
        <w:trPr>
          <w:trHeight w:val="-330"/>
        </w:trPr>
        <w:tc>
          <w:tcPr>
            <w:tcW w:w="6000" w:type="dxa"/>
          </w:tcPr>
          <w:p>
            <w:r>
              <w:t xml:space="preserve">Director de Mercadeo</w:t>
            </w:r>
          </w:p>
        </w:tc>
        <w:tc>
          <w:tcPr>
            <w:tcW w:w="6000" w:type="dxa"/>
          </w:tcPr>
          <w:p>
            <w:r>
              <w:t xml:space="preserve">Directora de Estudios</w:t>
            </w:r>
          </w:p>
        </w:tc>
      </w:tr>
      <w:tr>
        <w:trPr>
          <w:trHeight w:val="-330"/>
        </w:trPr>
        <w:tc>
          <w:tcPr>
            <w:tcW w:w="6000" w:type="dxa"/>
          </w:tcPr>
          <w:p>
            <w:r>
              <w:t xml:space="preserve">fbolivar@cnccol.com</w:t>
            </w:r>
          </w:p>
        </w:tc>
        <w:tc>
          <w:tcPr>
            <w:tcW w:w="6000" w:type="dxa"/>
          </w:tcPr>
          <w:p>
            <w:r>
              <w:t xml:space="preserve">agarcia@cnccol.com</w:t>
            </w:r>
          </w:p>
        </w:tc>
      </w:tr>
      <w:tr>
        <w:trPr>
          <w:trHeight w:val="-330"/>
        </w:trPr>
        <w:tc>
          <w:tcPr>
            <w:tcW w:w="6000" w:type="dxa"/>
          </w:tcPr>
          <w:p>
            <w:r>
              <w:t xml:space="preserve">(57) 1 3394888 Ext. 2207 - 3132264713</w:t>
            </w:r>
          </w:p>
        </w:tc>
        <w:tc>
          <w:tcPr>
            <w:tcW w:w="6000" w:type="dxa"/>
          </w:tcPr>
          <w:p>
            <w:r>
              <w:t xml:space="preserve">(57) 1 3394888 Ext. 2217 - 3113005667</w:t>
            </w:r>
          </w:p>
        </w:tc>
      </w:tr>
    </w:tbl>
    <w:p/>
    <w:p/>
    <w:p/>
    <w:p/>
    <w:p>
      <w:r>
        <w:rPr/>
        <w:t xml:space="preserve">Bogotá, 26 de junio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El  conocimiento de los clientes, sus hábitos de vida y de compra, su ámbito social, estilo de vida, actitudes e intereses resulta de vital importancia para la planeación estratégica de las organizaciones; pues de esa manera pueden diseñar su oferta de valor, mejorar su modelo de servicio y ofrecer productos y servicios ajustados a las verdaderas necesidades de sus clientes, así como afinar sus estrategias comerciales y de comunicación.</w:t>
      </w:r>
    </w:p>
    <w:p>
      <w:r>
        <w:rPr>
          <w:sz w:val="28"/>
          <w:szCs w:val="28"/>
        </w:rPr>
        <w:t xml:space="preserve"/>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Caracterizar los perfiles de clientes actuales y clientes potenciales de Global Seguros y comprender sus estilos de vida y hábitos de consumo en productos financieros y seguros personales y familiares
</w:t>
      </w:r>
    </w:p>
    <w:p/>
    <w:p>
      <w:r>
        <w:rPr>
          <w:sz w:val="28"/>
          <w:szCs w:val="28"/>
          <w:b/>
        </w:rPr>
        <w:t xml:space="preserve">ESPECIFICOS:</w:t>
      </w:r>
    </w:p>
    <w:p>
      <w:pPr>
        <w:numPr>
          <w:ilvl w:val="0"/>
          <w:numId w:val="3"/>
        </w:numPr>
      </w:pPr>
      <w:r>
        <w:rPr>
          <w:sz w:val="28"/>
          <w:szCs w:val="28"/>
        </w:rPr>
        <w:t xml:space="preserve">El estudio permitirá:</w:t>
      </w:r>
    </w:p>
    <w:p>
      <w:pPr>
        <w:numPr>
          <w:ilvl w:val="0"/>
          <w:numId w:val="3"/>
        </w:numPr>
      </w:pPr>
      <w:r>
        <w:rPr>
          <w:sz w:val="28"/>
          <w:szCs w:val="28"/>
        </w:rPr>
        <w:t xml:space="preserve">Caracterizar los perfiles sociodemograficos de los clientes actuales y potenciales de Global Seguros</w:t>
      </w:r>
    </w:p>
    <w:p>
      <w:pPr>
        <w:numPr>
          <w:ilvl w:val="0"/>
          <w:numId w:val="3"/>
        </w:numPr>
      </w:pPr>
      <w:r>
        <w:rPr>
          <w:sz w:val="28"/>
          <w:szCs w:val="28"/>
        </w:rPr>
        <w:t xml:space="preserve">Entender los estilos de vida</w:t>
      </w:r>
    </w:p>
    <w:p>
      <w:pPr>
        <w:numPr>
          <w:ilvl w:val="0"/>
          <w:numId w:val="3"/>
        </w:numPr>
      </w:pPr>
      <w:r>
        <w:rPr>
          <w:sz w:val="28"/>
          <w:szCs w:val="28"/>
        </w:rPr>
        <w:t xml:space="preserve">Identificar hábitos de consumo</w:t>
      </w:r>
    </w:p>
    <w:p>
      <w:pPr>
        <w:numPr>
          <w:ilvl w:val="0"/>
          <w:numId w:val="3"/>
        </w:numPr>
      </w:pPr>
      <w:r>
        <w:rPr>
          <w:sz w:val="28"/>
          <w:szCs w:val="28"/>
        </w:rPr>
        <w:t xml:space="preserve">Comprender los hábitos de consumo de productos financieros </w:t>
      </w:r>
    </w:p>
    <w:p>
      <w:pPr>
        <w:numPr>
          <w:ilvl w:val="0"/>
          <w:numId w:val="3"/>
        </w:numPr>
      </w:pPr>
      <w:r>
        <w:rPr>
          <w:sz w:val="28"/>
          <w:szCs w:val="28"/>
        </w:rPr>
        <w:t xml:space="preserve">Identificar las percepciones en relación a seguros personales y familiares</w:t>
      </w:r>
    </w:p>
    <w:p>
      <w:pPr>
        <w:numPr>
          <w:ilvl w:val="0"/>
          <w:numId w:val="3"/>
        </w:numPr>
      </w:pPr>
      <w:r>
        <w:rPr>
          <w:sz w:val="28"/>
          <w:szCs w:val="28"/>
        </w:rPr>
        <w:t xml:space="preserve">Identificar conocimiento y percepciones que existen en torno a seguros para educación</w:t>
      </w:r>
    </w:p>
    <w:p>
      <w:pPr>
        <w:numPr>
          <w:ilvl w:val="0"/>
          <w:numId w:val="3"/>
        </w:numPr>
      </w:pPr>
      <w:r>
        <w:rPr>
          <w:sz w:val="28"/>
          <w:szCs w:val="28"/>
        </w:rPr>
        <w:t xml:space="preserve">Evaluar intención de compra de seguros para la educación de los hijos</w:t>
      </w:r>
    </w:p>
    <w:p>
      <w:pPr>
        <w:numPr>
          <w:ilvl w:val="0"/>
          <w:numId w:val="3"/>
        </w:numPr>
      </w:pPr>
      <w:r>
        <w:rPr>
          <w:sz w:val="28"/>
          <w:szCs w:val="28"/>
        </w:rPr>
        <w:t xml:space="preserve">Hacer estimaciones de los precios que estrían dispuestos a pagar por seguros para la educación de los hijos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Grupos Focales con Clientes Actuales de Global Seguros</w:t>
            </w:r>
          </w:p>
        </w:tc>
      </w:tr>
      <w:tr>
        <w:tc>
          <w:tcPr>
            <w:tcW w:w="0" w:type="dxa"/>
          </w:tcPr>
          <w:p>
            <w:r>
              <w:t xml:space="preserve">Temas:</w:t>
            </w:r>
          </w:p>
        </w:tc>
        <w:tc>
          <w:tcPr>
            <w:tcW w:w="0" w:type="dxa"/>
          </w:tcPr>
          <w:p>
            <w:r>
              <w:t xml:space="preserve">Conocimiento, percepciones y opiniones en torno a seguros personales y familiares y de educación. </w:t>
            </w:r>
          </w:p>
        </w:tc>
      </w:tr>
      <w:tr>
        <w:tc>
          <w:tcPr>
            <w:tcW w:w="4000" w:type="dxa"/>
          </w:tcPr>
          <w:p>
            <w:r>
              <w:t xml:space="preserve">Metodología:</w:t>
            </w:r>
          </w:p>
        </w:tc>
        <w:tc>
          <w:tcPr>
            <w:tcW w:w="6000" w:type="dxa"/>
          </w:tcPr>
          <w:p>
            <w:r>
              <w:t xml:space="preserve">Grupos Focales</w:t>
            </w:r>
          </w:p>
        </w:tc>
      </w:tr>
      <w:tr>
        <w:tc>
          <w:tcPr>
            <w:tcW w:w="0" w:type="dxa"/>
          </w:tcPr>
          <w:p>
            <w:r>
              <w:t xml:space="preserve">Ciudad:</w:t>
            </w:r>
          </w:p>
        </w:tc>
        <w:tc>
          <w:tcPr>
            <w:tcW w:w="0" w:type="dxa"/>
          </w:tcPr>
          <w:p>
            <w:r>
              <w:t xml:space="preserve">Clientes Actuales</w:t>
            </w:r>
          </w:p>
        </w:tc>
      </w:tr>
      <w:tr>
        <w:tc>
          <w:tcPr>
            <w:tcW w:w="0" w:type="dxa"/>
          </w:tcPr>
          <w:p>
            <w:r>
              <w:t xml:space="preserve">Número de sesiones:</w:t>
            </w:r>
          </w:p>
        </w:tc>
        <w:tc>
          <w:tcPr>
            <w:tcW w:w="0" w:type="dxa"/>
          </w:tcPr>
          <w:p>
            <w:r>
              <w:t xml:space="preserve">2</w:t>
            </w:r>
          </w:p>
        </w:tc>
      </w:tr>
      <w:tr>
        <w:tc>
          <w:tcPr>
            <w:tcW w:w="0" w:type="dxa"/>
          </w:tcPr>
          <w:p>
            <w:r>
              <w:t xml:space="preserve">Lugar donde se va a realizar:</w:t>
            </w:r>
          </w:p>
        </w:tc>
        <w:tc>
          <w:tcPr>
            <w:tcW w:w="0" w:type="dxa"/>
          </w:tcPr>
          <w:p>
            <w:r>
              <w:t xml:space="preserve">Sede del CNC</w:t>
            </w:r>
          </w:p>
        </w:tc>
      </w:tr>
      <w:tr>
        <w:tc>
          <w:tcPr>
            <w:tcW w:w="0" w:type="dxa"/>
          </w:tcPr>
          <w:p>
            <w:r>
              <w:t xml:space="preserve">Duración:</w:t>
            </w:r>
          </w:p>
        </w:tc>
        <w:tc>
          <w:tcPr>
            <w:tcW w:w="0" w:type="dxa"/>
          </w:tcPr>
          <w:p>
            <w:r>
              <w:t xml:space="preserve">90 minutos </w:t>
            </w:r>
          </w:p>
        </w:tc>
      </w:tr>
      <w:tr>
        <w:tc>
          <w:tcPr>
            <w:tcW w:w="0" w:type="dxa"/>
          </w:tcPr>
          <w:p>
            <w:r>
              <w:t xml:space="preserve">Ciudad:</w:t>
            </w:r>
          </w:p>
        </w:tc>
        <w:tc>
          <w:tcPr>
            <w:tcW w:w="0" w:type="dxa"/>
          </w:tcPr>
          <w:p>
            <w:r>
              <w:t xml:space="preserve">Clientes Potenciales</w:t>
            </w:r>
          </w:p>
        </w:tc>
      </w:tr>
      <w:tr>
        <w:tc>
          <w:tcPr>
            <w:tcW w:w="0" w:type="dxa"/>
          </w:tcPr>
          <w:p>
            <w:r>
              <w:t xml:space="preserve">Número de sesiones:</w:t>
            </w:r>
          </w:p>
        </w:tc>
        <w:tc>
          <w:tcPr>
            <w:tcW w:w="0" w:type="dxa"/>
          </w:tcPr>
          <w:p>
            <w:r>
              <w:t xml:space="preserve">2</w:t>
            </w:r>
          </w:p>
        </w:tc>
      </w:tr>
      <w:tr>
        <w:tc>
          <w:tcPr>
            <w:tcW w:w="0" w:type="dxa"/>
          </w:tcPr>
          <w:p>
            <w:r>
              <w:t xml:space="preserve">Lugar donde se va a realizar:</w:t>
            </w:r>
          </w:p>
        </w:tc>
        <w:tc>
          <w:tcPr>
            <w:tcW w:w="0" w:type="dxa"/>
          </w:tcPr>
          <w:p>
            <w:r>
              <w:t xml:space="preserve">Sede del CNC</w:t>
            </w:r>
          </w:p>
        </w:tc>
      </w:tr>
      <w:tr>
        <w:tc>
          <w:tcPr>
            <w:tcW w:w="0" w:type="dxa"/>
          </w:tcPr>
          <w:p>
            <w:r>
              <w:t xml:space="preserve">Duración:</w:t>
            </w:r>
          </w:p>
        </w:tc>
        <w:tc>
          <w:tcPr>
            <w:tcW w:w="0" w:type="dxa"/>
          </w:tcPr>
          <w:p>
            <w:r>
              <w:t xml:space="preserve">90 minutos </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Encuestas Multimodal con Clientes Actuales y Potenciales de Global Seguros</w:t>
            </w:r>
          </w:p>
        </w:tc>
      </w:tr>
      <w:tr>
        <w:tc>
          <w:tcPr>
            <w:tcW w:w="0" w:type="dxa"/>
          </w:tcPr>
          <w:p>
            <w:r>
              <w:t xml:space="preserve">Temas:</w:t>
            </w:r>
          </w:p>
        </w:tc>
        <w:tc>
          <w:tcPr>
            <w:tcW w:w="0" w:type="dxa"/>
          </w:tcPr>
          <w:p>
            <w:r>
              <w:t xml:space="preserve">Caracterizar los perfiles de clientes actuales y clientes potenciales de Global Seguros y comprender sus estilos de vida y hábitos de consumo en productos financieros y seguros personales y familiares</w:t>
            </w:r>
          </w:p>
        </w:tc>
      </w:tr>
      <w:tr>
        <w:tc>
          <w:tcPr>
            <w:tcW w:w="4000" w:type="dxa"/>
          </w:tcPr>
          <w:p>
            <w:r>
              <w:t xml:space="preserve">Metodología:</w:t>
            </w:r>
          </w:p>
        </w:tc>
        <w:tc>
          <w:tcPr>
            <w:tcW w:w="6000" w:type="dxa"/>
          </w:tcPr>
          <w:p>
            <w:r>
              <w:t xml:space="preserve">Entrevistas Cara A Cara</w:t>
            </w:r>
          </w:p>
        </w:tc>
      </w:tr>
      <w:tr>
        <w:tc>
          <w:tcPr>
            <w:tcW w:w="0" w:type="dxa"/>
          </w:tcPr>
          <w:p>
            <w:r>
              <w:t xml:space="preserve">Universo:</w:t>
            </w:r>
          </w:p>
        </w:tc>
        <w:tc>
          <w:tcPr>
            <w:tcW w:w="0" w:type="dxa"/>
          </w:tcPr>
          <w:p>
            <w:r>
              <w:t xml:space="preserve">Personas mayores de edad en las ciudades de Bogotá, Medellín, Cali y Barranquilla</w:t>
            </w:r>
          </w:p>
        </w:tc>
      </w:tr>
      <w:tr>
        <w:tc>
          <w:tcPr>
            <w:tcW w:w="0" w:type="dxa"/>
          </w:tcPr>
          <w:p>
            <w:r>
              <w:t xml:space="preserve">Marco estadístico:</w:t>
            </w:r>
          </w:p>
        </w:tc>
        <w:tc>
          <w:tcPr>
            <w:tcW w:w="0" w:type="dxa"/>
          </w:tcPr>
          <w:p>
            <w:r>
              <w:t xml:space="preserve">Clientes Actuales:Bases de Datos del Cliente con la información suficiente para contactar a los informantes / Clientes Potenciales: Listados telefónicos de las ciudades seleccionadas</w:t>
            </w:r>
          </w:p>
        </w:tc>
      </w:tr>
      <w:tr>
        <w:tc>
          <w:tcPr>
            <w:tcW w:w="0" w:type="dxa"/>
          </w:tcPr>
          <w:p>
            <w:r>
              <w:t xml:space="preserve">Segmento:</w:t>
            </w:r>
          </w:p>
        </w:tc>
        <w:tc>
          <w:tcPr>
            <w:tcW w:w="0" w:type="dxa"/>
          </w:tcPr>
          <w:p>
            <w:r>
              <w:t xml:space="preserve">Clientes Actuales</w:t>
            </w:r>
          </w:p>
        </w:tc>
      </w:tr>
      <w:tr>
        <w:tc>
          <w:tcPr>
            <w:tcW w:w="0" w:type="dxa"/>
          </w:tcPr>
          <w:p>
            <w:r>
              <w:t xml:space="preserve">Muestra:</w:t>
            </w:r>
          </w:p>
        </w:tc>
        <w:tc>
          <w:tcPr>
            <w:tcW w:w="0" w:type="dxa"/>
          </w:tcPr>
          <w:p>
            <w:r>
              <w:t xml:space="preserve">400</w:t>
            </w:r>
          </w:p>
        </w:tc>
      </w:tr>
      <w:tr>
        <w:tc>
          <w:tcPr>
            <w:tcW w:w="0" w:type="dxa"/>
          </w:tcPr>
          <w:p>
            <w:r>
              <w:t xml:space="preserve">Error muestral:</w:t>
            </w:r>
          </w:p>
        </w:tc>
        <w:tc>
          <w:tcPr>
            <w:tcW w:w="0" w:type="dxa"/>
          </w:tcPr>
          <w:p>
            <w:r>
              <w:t xml:space="preserve">5%</w:t>
            </w:r>
          </w:p>
        </w:tc>
      </w:tr>
      <w:tr>
        <w:tc>
          <w:tcPr>
            <w:tcW w:w="0" w:type="dxa"/>
          </w:tcPr>
          <w:p>
            <w:r>
              <w:t xml:space="preserve">Segmento:</w:t>
            </w:r>
          </w:p>
        </w:tc>
        <w:tc>
          <w:tcPr>
            <w:tcW w:w="0" w:type="dxa"/>
          </w:tcPr>
          <w:p>
            <w:r>
              <w:t xml:space="preserve">Clientes Potenciales</w:t>
            </w:r>
          </w:p>
        </w:tc>
      </w:tr>
      <w:tr>
        <w:tc>
          <w:tcPr>
            <w:tcW w:w="0" w:type="dxa"/>
          </w:tcPr>
          <w:p>
            <w:r>
              <w:t xml:space="preserve">Muestra:</w:t>
            </w:r>
          </w:p>
        </w:tc>
        <w:tc>
          <w:tcPr>
            <w:tcW w:w="0" w:type="dxa"/>
          </w:tcPr>
          <w:p>
            <w:r>
              <w:t xml:space="preserve">400</w:t>
            </w:r>
          </w:p>
        </w:tc>
      </w:tr>
      <w:tr>
        <w:tc>
          <w:tcPr>
            <w:tcW w:w="0" w:type="dxa"/>
          </w:tcPr>
          <w:p>
            <w:r>
              <w:t xml:space="preserve">Error muestral:</w:t>
            </w:r>
          </w:p>
        </w:tc>
        <w:tc>
          <w:tcPr>
            <w:tcW w:w="0" w:type="dxa"/>
          </w:tcPr>
          <w:p>
            <w:r>
              <w:t xml:space="preserve">5%</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Ana María García Arango</w:t>
      </w:r>
    </w:p>
    <w:p>
      <w:r>
        <w:rPr>
          <w:sz w:val="24"/>
          <w:szCs w:val="24"/>
        </w:rPr>
        <w:t xml:space="preserve">Director del Estudio</w:t>
      </w:r>
    </w:p>
    <w:p>
      <w:r>
        <w:rPr>
          <w:sz w:val="28"/>
          <w:szCs w:val="28"/>
        </w:rPr>
        <w:t xml:space="preserve">Economista con especialización en Finanzas Corporativas y 5 años liderando investigaciones orientadas a medir la lealtad y relaciones con grupos de interés. Ha tenido a su cargo la implementación de las metodologías desarrolladas por  Walker Information Global Network, de la cual el Centro Nacional de Consultoría es representante exclusivo para Colombia, y ha dirigido cuentas como Banco de Occidente, Redeban Multicolor, empresas del Grupo Carvajal, Acepalma, Amarey Nova Medical y empresas del Grupo Manuelita.</w:t>
      </w:r>
    </w:p>
    <w:p>
      <w:pPr>
        <w:jc w:val="left"/>
      </w:pPr>
      <w:r>
        <w:pict>
          <v:shape type="#_x0000_t75" style="width:230px;height:150px">
            <v:imagedata r:id="rId9" o:title=""/>
          </v:shape>
        </w:pict>
      </w:r>
    </w:p>
    <w:p>
      <w:r>
        <w:rPr>
          <w:sz w:val="24"/>
          <w:szCs w:val="24"/>
          <w:b/>
        </w:rPr>
        <w:t xml:space="preserve">René Lemoine, MBA</w:t>
      </w:r>
    </w:p>
    <w:p>
      <w:r>
        <w:rPr>
          <w:sz w:val="24"/>
          <w:szCs w:val="24"/>
        </w:rPr>
        <w:t xml:space="preserve">Asesor Técnico</w:t>
      </w:r>
    </w:p>
    <w:p>
      <w:r>
        <w:rPr>
          <w:sz w:val="28"/>
          <w:szCs w:val="28"/>
        </w:rPr>
        <w:t xml:space="preserve">René Lemoine es un investigador ampliamente reconocido por su efectividad para evaluar y alinear la estrategia de las empresas con sus servicios y productos, con el fin de incrementar la lealtad de sus clientes y demás grupos implicados (Stakeholders). Es ingeniero mecánico de la Universidad de Los Andes, con un MBA del INALDE.</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$ 5,000,000 </w:t>
            </w:r>
          </w:p>
        </w:tc>
        <w:tc>
          <w:tcPr>
            <w:tcW w:w="2000" w:type="dxa"/>
          </w:tcPr>
          <w:p>
            <w:pPr>
              <w:jc w:val="right"/>
              <w:spacing w:before="100" w:line="240" w:lineRule="auto"/>
            </w:pPr>
            <w:r>
              <w:rPr>
                <w:sz w:val="24"/>
                <w:szCs w:val="24"/>
              </w:rPr>
              <w:t xml:space="preserve">$ 5,000,000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Grupos Focales - Clientes Actuales</w:t>
            </w:r>
          </w:p>
        </w:tc>
        <w:tc>
          <w:tcPr>
            <w:tcW w:w="2000" w:type="dxa"/>
          </w:tcPr>
          <w:p>
            <w:pPr>
              <w:jc w:val="center"/>
              <w:spacing w:before="100" w:line="240" w:lineRule="auto"/>
            </w:pPr>
            <w:r>
              <w:rPr>
                <w:sz w:val="24"/>
                <w:szCs w:val="24"/>
              </w:rPr>
              <w:t xml:space="preserve">2</w:t>
            </w:r>
          </w:p>
        </w:tc>
        <w:tc>
          <w:tcPr>
            <w:tcW w:w="2000" w:type="dxa"/>
          </w:tcPr>
          <w:p>
            <w:pPr>
              <w:jc w:val="right"/>
              <w:spacing w:before="100" w:line="240" w:lineRule="auto"/>
            </w:pPr>
            <w:r>
              <w:rPr>
                <w:sz w:val="24"/>
                <w:szCs w:val="24"/>
              </w:rPr>
              <w:t xml:space="preserve">$ 7,600,000</w:t>
            </w:r>
          </w:p>
        </w:tc>
        <w:tc>
          <w:tcPr>
            <w:tcW w:w="2000" w:type="dxa"/>
          </w:tcPr>
          <w:p>
            <w:pPr>
              <w:jc w:val="right"/>
              <w:spacing w:before="100" w:line="240" w:lineRule="auto"/>
            </w:pPr>
            <w:r>
              <w:rPr>
                <w:sz w:val="24"/>
                <w:szCs w:val="24"/>
              </w:rPr>
              <w:t xml:space="preserve">$ 15,200,000</w:t>
            </w:r>
          </w:p>
        </w:tc>
      </w:tr>
      <w:tr>
        <w:tc>
          <w:tcPr>
            <w:tcW w:w="300" w:type="dxa"/>
          </w:tcPr>
          <w:p>
            <w:pPr>
              <w:jc w:val="center"/>
              <w:spacing w:before="100" w:line="240" w:lineRule="auto"/>
            </w:pPr>
            <w:r>
              <w:rPr>
                <w:sz w:val="24"/>
                <w:szCs w:val="24"/>
              </w:rPr>
              <w:t xml:space="preserve">3</w:t>
            </w:r>
          </w:p>
        </w:tc>
        <w:tc>
          <w:tcPr>
            <w:tcW w:w="8000" w:type="dxa"/>
          </w:tcPr>
          <w:p>
            <w:pPr>
              <w:jc w:val="left"/>
              <w:spacing w:before="100" w:line="240" w:lineRule="auto"/>
            </w:pPr>
            <w:r>
              <w:rPr>
                <w:sz w:val="24"/>
                <w:szCs w:val="24"/>
              </w:rPr>
              <w:t xml:space="preserve"> Grupos Focales - Clientes Potenciales</w:t>
            </w:r>
          </w:p>
        </w:tc>
        <w:tc>
          <w:tcPr>
            <w:tcW w:w="2000" w:type="dxa"/>
          </w:tcPr>
          <w:p>
            <w:pPr>
              <w:jc w:val="center"/>
              <w:spacing w:before="100" w:line="240" w:lineRule="auto"/>
            </w:pPr>
            <w:r>
              <w:rPr>
                <w:sz w:val="24"/>
                <w:szCs w:val="24"/>
              </w:rPr>
              <w:t xml:space="preserve">2</w:t>
            </w:r>
          </w:p>
        </w:tc>
        <w:tc>
          <w:tcPr>
            <w:tcW w:w="2000" w:type="dxa"/>
          </w:tcPr>
          <w:p>
            <w:pPr>
              <w:jc w:val="right"/>
              <w:spacing w:before="100" w:line="240" w:lineRule="auto"/>
            </w:pPr>
            <w:r>
              <w:rPr>
                <w:sz w:val="24"/>
                <w:szCs w:val="24"/>
              </w:rPr>
              <w:t xml:space="preserve">$ 9,000,000</w:t>
            </w:r>
          </w:p>
        </w:tc>
        <w:tc>
          <w:tcPr>
            <w:tcW w:w="2000" w:type="dxa"/>
          </w:tcPr>
          <w:p>
            <w:pPr>
              <w:jc w:val="right"/>
              <w:spacing w:before="100" w:line="240" w:lineRule="auto"/>
            </w:pPr>
            <w:r>
              <w:rPr>
                <w:sz w:val="24"/>
                <w:szCs w:val="24"/>
              </w:rPr>
              <w:t xml:space="preserve">$ 18,000,000</w:t>
            </w:r>
          </w:p>
        </w:tc>
      </w:tr>
      <w:tr>
        <w:tc>
          <w:tcPr>
            <w:tcW w:w="300" w:type="dxa"/>
          </w:tcPr>
          <w:p>
            <w:pPr>
              <w:jc w:val="center"/>
              <w:spacing w:before="100" w:line="240" w:lineRule="auto"/>
            </w:pPr>
            <w:r>
              <w:rPr>
                <w:sz w:val="24"/>
                <w:szCs w:val="24"/>
              </w:rPr>
              <w:t xml:space="preserve">4</w:t>
            </w:r>
          </w:p>
        </w:tc>
        <w:tc>
          <w:tcPr>
            <w:tcW w:w="8000" w:type="dxa"/>
          </w:tcPr>
          <w:p>
            <w:pPr>
              <w:jc w:val="left"/>
              <w:spacing w:before="100" w:line="240" w:lineRule="auto"/>
            </w:pPr>
            <w:r>
              <w:rPr>
                <w:sz w:val="24"/>
                <w:szCs w:val="24"/>
              </w:rPr>
              <w:t xml:space="preserve"> Entrevistas Cara A Cara - Clientes Actuales</w:t>
            </w:r>
          </w:p>
        </w:tc>
        <w:tc>
          <w:tcPr>
            <w:tcW w:w="2000" w:type="dxa"/>
          </w:tcPr>
          <w:p>
            <w:pPr>
              <w:jc w:val="center"/>
              <w:spacing w:before="100" w:line="240" w:lineRule="auto"/>
            </w:pPr>
            <w:r>
              <w:rPr>
                <w:sz w:val="24"/>
                <w:szCs w:val="24"/>
              </w:rPr>
              <w:t xml:space="preserve">400</w:t>
            </w:r>
          </w:p>
        </w:tc>
        <w:tc>
          <w:tcPr>
            <w:tcW w:w="2000" w:type="dxa"/>
          </w:tcPr>
          <w:p>
            <w:pPr>
              <w:jc w:val="right"/>
              <w:spacing w:before="100" w:line="240" w:lineRule="auto"/>
            </w:pPr>
            <w:r>
              <w:rPr>
                <w:sz w:val="24"/>
                <w:szCs w:val="24"/>
              </w:rPr>
              <w:t xml:space="preserve">$ 100,000</w:t>
            </w:r>
          </w:p>
        </w:tc>
        <w:tc>
          <w:tcPr>
            <w:tcW w:w="2000" w:type="dxa"/>
          </w:tcPr>
          <w:p>
            <w:pPr>
              <w:jc w:val="right"/>
              <w:spacing w:before="100" w:line="240" w:lineRule="auto"/>
            </w:pPr>
            <w:r>
              <w:rPr>
                <w:sz w:val="24"/>
                <w:szCs w:val="24"/>
              </w:rPr>
              <w:t xml:space="preserve">$ 40,000,000</w:t>
            </w:r>
          </w:p>
        </w:tc>
      </w:tr>
      <w:tr>
        <w:tc>
          <w:tcPr>
            <w:tcW w:w="300" w:type="dxa"/>
          </w:tcPr>
          <w:p>
            <w:pPr>
              <w:jc w:val="center"/>
              <w:spacing w:before="100" w:line="240" w:lineRule="auto"/>
            </w:pPr>
            <w:r>
              <w:rPr>
                <w:sz w:val="24"/>
                <w:szCs w:val="24"/>
              </w:rPr>
              <w:t xml:space="preserve">5</w:t>
            </w:r>
          </w:p>
        </w:tc>
        <w:tc>
          <w:tcPr>
            <w:tcW w:w="8000" w:type="dxa"/>
          </w:tcPr>
          <w:p>
            <w:pPr>
              <w:jc w:val="left"/>
              <w:spacing w:before="100" w:line="240" w:lineRule="auto"/>
            </w:pPr>
            <w:r>
              <w:rPr>
                <w:sz w:val="24"/>
                <w:szCs w:val="24"/>
              </w:rPr>
              <w:t xml:space="preserve"> Entrevistas Cara A Cara - Clientes Potenciales</w:t>
            </w:r>
          </w:p>
        </w:tc>
        <w:tc>
          <w:tcPr>
            <w:tcW w:w="2000" w:type="dxa"/>
          </w:tcPr>
          <w:p>
            <w:pPr>
              <w:jc w:val="center"/>
              <w:spacing w:before="100" w:line="240" w:lineRule="auto"/>
            </w:pPr>
            <w:r>
              <w:rPr>
                <w:sz w:val="24"/>
                <w:szCs w:val="24"/>
              </w:rPr>
              <w:t xml:space="preserve">400</w:t>
            </w:r>
          </w:p>
        </w:tc>
        <w:tc>
          <w:tcPr>
            <w:tcW w:w="2000" w:type="dxa"/>
          </w:tcPr>
          <w:p>
            <w:pPr>
              <w:jc w:val="right"/>
              <w:spacing w:before="100" w:line="240" w:lineRule="auto"/>
            </w:pPr>
            <w:r>
              <w:rPr>
                <w:sz w:val="24"/>
                <w:szCs w:val="24"/>
              </w:rPr>
              <w:t xml:space="preserve">$ 114,000</w:t>
            </w:r>
          </w:p>
        </w:tc>
        <w:tc>
          <w:tcPr>
            <w:tcW w:w="2000" w:type="dxa"/>
          </w:tcPr>
          <w:p>
            <w:pPr>
              <w:jc w:val="right"/>
              <w:spacing w:before="100" w:line="240" w:lineRule="auto"/>
            </w:pPr>
            <w:r>
              <w:rPr>
                <w:sz w:val="24"/>
                <w:szCs w:val="24"/>
              </w:rPr>
              <w:t xml:space="preserve">$ 45,600,000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$ 123,800,000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$ 19,808,000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$ 143,608,000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10"/>
      <w:footerReference w:type="default" r:id="rId11"/>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b/>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header" Target="header1.xml"/>
  <Relationship Id="rId11"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