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Carvajal</w:t>
      </w:r>
    </w:p>
    <w:p/>
    <w:tbl>
      <w:tblPr>
        <w:tblStyle w:val="myOwnTableStyle"/>
      </w:tblPr>
      <w:tr>
        <w:trPr>
          <w:trHeight w:val="-1"/>
        </w:trPr>
        <w:tc>
          <w:tcPr>
            <w:tcW w:w="9000" w:type="dxa"/>
          </w:tcPr>
          <w:p>
            <w:r>
              <w:t xml:space="preserve"/>
            </w:r>
          </w:p>
        </w:tc>
      </w:tr>
    </w:tbl>
    <w:p>
      <w:r>
        <w:rPr>
          <w:rStyle w:val="titleStyle"/>
        </w:rPr>
        <w:t xml:space="preserve">ESTUDIO PARA LA NUEVA SERIE UPPER PRIMARY</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Liliana Herrera G.</w:t>
            </w:r>
          </w:p>
        </w:tc>
      </w:tr>
      <w:tr>
        <w:trPr>
          <w:trHeight w:val="-330"/>
        </w:trPr>
        <w:tc>
          <w:tcPr>
            <w:tcW w:w="12000" w:type="dxa"/>
          </w:tcPr>
          <w:p>
            <w:r>
              <w:t xml:space="preserve">Coordinadora Global Investigaciones de mercado</w:t>
            </w:r>
          </w:p>
        </w:tc>
      </w:tr>
      <w:tr>
        <w:trPr>
          <w:trHeight w:val="-330"/>
        </w:trPr>
        <w:tc>
          <w:tcPr>
            <w:tcW w:w="12000" w:type="dxa"/>
          </w:tcPr>
          <w:p>
            <w:r>
              <w:t xml:space="preserve">liliana.herrera@carvajal.com</w:t>
            </w:r>
          </w:p>
        </w:tc>
      </w:tr>
      <w:tr>
        <w:trPr>
          <w:trHeight w:val="-330"/>
        </w:trPr>
        <w:tc>
          <w:tcPr>
            <w:tcW w:w="12000" w:type="dxa"/>
          </w:tcPr>
          <w:p>
            <w:r>
              <w:t xml:space="preserve">+ 57 (2) 666 8300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Definir criterios para la creación de la nueva serie de primaria nivel intermedio. 
Validar la posibilidad de que ésta sea una blended series ( una mezcla entre impreso y digital que conviven en el cotidiano).
</w:t>
      </w:r>
    </w:p>
    <w:p/>
    <w:p>
      <w:r>
        <w:rPr>
          <w:sz w:val="28"/>
          <w:szCs w:val="28"/>
          <w:b/>
        </w:rPr>
        <w:t xml:space="preserve">ESPECIFICOS:</w:t>
      </w:r>
    </w:p>
    <w:p>
      <w:pPr>
        <w:numPr>
          <w:ilvl w:val="0"/>
          <w:numId w:val="3"/>
        </w:numPr>
      </w:pPr>
      <w:r>
        <w:rPr>
          <w:sz w:val="28"/>
          <w:szCs w:val="28"/>
        </w:rPr>
        <w:t xml:space="preserve">El estudio identificará:</w:t>
      </w:r>
    </w:p>
    <w:p>
      <w:pPr>
        <w:numPr>
          <w:ilvl w:val="0"/>
          <w:numId w:val="3"/>
        </w:numPr>
      </w:pPr>
      <w:r>
        <w:rPr>
          <w:sz w:val="28"/>
          <w:szCs w:val="28"/>
        </w:rPr>
        <w:t xml:space="preserve">Características de enseñanza de ingles en primaria colegios privados de Bogotá</w:t>
      </w:r>
    </w:p>
    <w:p>
      <w:pPr>
        <w:numPr>
          <w:ilvl w:val="0"/>
          <w:numId w:val="3"/>
        </w:numPr>
      </w:pPr>
      <w:r>
        <w:rPr>
          <w:sz w:val="28"/>
          <w:szCs w:val="28"/>
        </w:rPr>
        <w:t xml:space="preserve">Técnicas Utilizadas para la enseñanza del ingles</w:t>
      </w:r>
    </w:p>
    <w:p>
      <w:pPr>
        <w:numPr>
          <w:ilvl w:val="0"/>
          <w:numId w:val="3"/>
        </w:numPr>
      </w:pPr>
      <w:r>
        <w:rPr>
          <w:sz w:val="28"/>
          <w:szCs w:val="28"/>
        </w:rPr>
        <w:t xml:space="preserve">Recursos Tecnológicos para la enseñanza del ingles</w:t>
      </w:r>
    </w:p>
    <w:p>
      <w:pPr>
        <w:numPr>
          <w:ilvl w:val="0"/>
          <w:numId w:val="3"/>
        </w:numPr>
      </w:pPr>
      <w:r>
        <w:rPr>
          <w:sz w:val="28"/>
          <w:szCs w:val="28"/>
        </w:rPr>
        <w:t xml:space="preserve">Metodologías implementadas en las clases de ingles</w:t>
      </w:r>
    </w:p>
    <w:p>
      <w:pPr>
        <w:numPr>
          <w:ilvl w:val="0"/>
          <w:numId w:val="3"/>
        </w:numPr>
      </w:pPr>
      <w:r>
        <w:rPr>
          <w:sz w:val="28"/>
          <w:szCs w:val="28"/>
        </w:rPr>
        <w:t xml:space="preserve">Disposición a implementar diferentes recursos físicos y/o tecnológicos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w:t>
            </w:r>
          </w:p>
        </w:tc>
      </w:tr>
      <w:tr>
        <w:tc>
          <w:tcPr>
            <w:tcW w:w="0" w:type="dxa"/>
          </w:tcPr>
          <w:p>
            <w:r>
              <w:t xml:space="preserve">Temas:</w:t>
            </w:r>
          </w:p>
        </w:tc>
        <w:tc>
          <w:tcPr>
            <w:tcW w:w="0" w:type="dxa"/>
          </w:tcPr>
          <w:p>
            <w:r>
              <w:t xml:space="preserve">Características de enseñanza de ingles en primaria colegios privados de Bogotá</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Profesores de primaria en colegios privados en Bogotá</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Entrevistas en Profundidad </w:t>
            </w:r>
          </w:p>
        </w:tc>
      </w:tr>
      <w:tr>
        <w:tc>
          <w:tcPr>
            <w:tcW w:w="0" w:type="dxa"/>
          </w:tcPr>
          <w:p>
            <w:r>
              <w:t xml:space="preserve">Temas:</w:t>
            </w:r>
          </w:p>
        </w:tc>
        <w:tc>
          <w:tcPr>
            <w:tcW w:w="0" w:type="dxa"/>
          </w:tcPr>
          <w:p>
            <w:r>
              <w:t xml:space="preserve">Características de enseñanza de ingles en primaria colegios privados de Bogotá</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Profesores de primaria en colegios privados en Bogotá</w:t>
            </w:r>
          </w:p>
        </w:tc>
      </w:tr>
      <w:tr>
        <w:tc>
          <w:tcPr>
            <w:tcW w:w="0" w:type="dxa"/>
          </w:tcPr>
          <w:p>
            <w:r>
              <w:t xml:space="preserve">Muestra:</w:t>
            </w:r>
          </w:p>
        </w:tc>
        <w:tc>
          <w:tcPr>
            <w:tcW w:w="0" w:type="dxa"/>
          </w:tcPr>
          <w:p>
            <w:r>
              <w:t xml:space="preserve">20</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Profesores de primaria en colegios privados en Bogotá</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$ 8,600,000</w:t>
            </w:r>
          </w:p>
        </w:tc>
        <w:tc>
          <w:tcPr>
            <w:tcW w:w="2000" w:type="dxa"/>
          </w:tcPr>
          <w:p>
            <w:pPr>
              <w:jc w:val="right"/>
              <w:spacing w:before="100" w:line="240" w:lineRule="auto"/>
            </w:pPr>
            <w:r>
              <w:rPr>
                <w:sz w:val="24"/>
                <w:szCs w:val="24"/>
              </w:rPr>
              <w:t xml:space="preserve">$ 17,200,000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Profesores de primaria en colegios privados en Bogotá</w:t>
            </w:r>
          </w:p>
        </w:tc>
        <w:tc>
          <w:tcPr>
            <w:tcW w:w="2000" w:type="dxa"/>
          </w:tcPr>
          <w:p>
            <w:pPr>
              <w:jc w:val="center"/>
              <w:spacing w:before="100" w:line="240" w:lineRule="auto"/>
            </w:pPr>
            <w:r>
              <w:rPr>
                <w:sz w:val="24"/>
                <w:szCs w:val="24"/>
              </w:rPr>
              <w:t xml:space="preserve">20</w:t>
            </w:r>
          </w:p>
        </w:tc>
        <w:tc>
          <w:tcPr>
            <w:tcW w:w="2000" w:type="dxa"/>
          </w:tcPr>
          <w:p>
            <w:pPr>
              <w:jc w:val="right"/>
              <w:spacing w:before="100" w:line="240" w:lineRule="auto"/>
            </w:pPr>
            <w:r>
              <w:rPr>
                <w:sz w:val="24"/>
                <w:szCs w:val="24"/>
              </w:rPr>
              <w:t xml:space="preserve">$ 430,000</w:t>
            </w:r>
          </w:p>
        </w:tc>
        <w:tc>
          <w:tcPr>
            <w:tcW w:w="2000" w:type="dxa"/>
          </w:tcPr>
          <w:p>
            <w:pPr>
              <w:jc w:val="right"/>
              <w:spacing w:before="100" w:line="240" w:lineRule="auto"/>
            </w:pPr>
            <w:r>
              <w:rPr>
                <w:sz w:val="24"/>
                <w:szCs w:val="24"/>
              </w:rPr>
              <w:t xml:space="preserve">$ 8,600,000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$ 30,800,000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$ 4,928,000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$ 35,728,000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