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MovilRed</w:t>
      </w:r>
    </w:p>
    <w:p/>
    <w:tbl>
      <w:tblPr>
        <w:tblStyle w:val="myOwnTableStyle"/>
      </w:tblPr>
      <w:tr>
        <w:trPr>
          <w:trHeight w:val="-1"/>
        </w:trPr>
        <w:tc>
          <w:tcPr>
            <w:tcW w:w="9000" w:type="dxa"/>
          </w:tcPr>
          <w:p>
            <w:r>
              <w:t xml:space="preserve"/>
            </w:r>
          </w:p>
        </w:tc>
      </w:tr>
    </w:tbl>
    <w:p>
      <w:r>
        <w:rPr>
          <w:rStyle w:val="titleStyle"/>
        </w:rPr>
        <w:t xml:space="preserve">PROBLEMÁTICA RED DE RECARGA </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GABRIEL NOVA</w:t>
            </w:r>
          </w:p>
        </w:tc>
      </w:tr>
      <w:tr>
        <w:trPr>
          <w:trHeight w:val="-330"/>
        </w:trPr>
        <w:tc>
          <w:tcPr>
            <w:tcW w:w="12000" w:type="dxa"/>
          </w:tcPr>
          <w:p>
            <w:r>
              <w:t xml:space="preserve">Director de Mercadeo</w:t>
            </w:r>
          </w:p>
        </w:tc>
      </w:tr>
      <w:tr>
        <w:trPr>
          <w:trHeight w:val="-330"/>
        </w:trPr>
        <w:tc>
          <w:tcPr>
            <w:tcW w:w="12000" w:type="dxa"/>
          </w:tcPr>
          <w:p>
            <w:r>
              <w:t xml:space="preserve">gabriel.nova@movilred.co </w:t>
            </w:r>
          </w:p>
        </w:tc>
      </w:tr>
      <w:tr>
        <w:trPr>
          <w:trHeight w:val="-330"/>
        </w:trPr>
        <w:tc>
          <w:tcPr>
            <w:tcW w:w="12000" w:type="dxa"/>
          </w:tcPr>
          <w:p>
            <w:r>
              <w:t xml:space="preserve">589 5959 Ext. 4444.   - 321 4714363</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Óskar Fletscher Moreno</w:t>
            </w:r>
          </w:p>
        </w:tc>
      </w:tr>
      <w:tr>
        <w:trPr>
          <w:trHeight w:val="-330"/>
        </w:trPr>
        <w:tc>
          <w:tcPr>
            <w:tcW w:w="6000" w:type="dxa"/>
          </w:tcPr>
          <w:p>
            <w:r>
              <w:t xml:space="preserve">Director de Mercadeo</w:t>
            </w:r>
          </w:p>
        </w:tc>
        <w:tc>
          <w:tcPr>
            <w:tcW w:w="6000" w:type="dxa"/>
          </w:tcPr>
          <w:p>
            <w:r>
              <w:t xml:space="preserve">Director de Estudios</w:t>
            </w:r>
          </w:p>
        </w:tc>
      </w:tr>
      <w:tr>
        <w:trPr>
          <w:trHeight w:val="-330"/>
        </w:trPr>
        <w:tc>
          <w:tcPr>
            <w:tcW w:w="6000" w:type="dxa"/>
          </w:tcPr>
          <w:p>
            <w:r>
              <w:t xml:space="preserve">fbolivar@cnccol.com</w:t>
            </w:r>
          </w:p>
        </w:tc>
        <w:tc>
          <w:tcPr>
            <w:tcW w:w="6000" w:type="dxa"/>
          </w:tcPr>
          <w:p>
            <w:r>
              <w:t xml:space="preserve">ofletscher@cnccol.com</w:t>
            </w:r>
          </w:p>
        </w:tc>
      </w:tr>
      <w:tr>
        <w:trPr>
          <w:trHeight w:val="-330"/>
        </w:trPr>
        <w:tc>
          <w:tcPr>
            <w:tcW w:w="6000" w:type="dxa"/>
          </w:tcPr>
          <w:p>
            <w:r>
              <w:t xml:space="preserve">(57) 1 3394888 Ext. 2207 - 3132264713</w:t>
            </w:r>
          </w:p>
        </w:tc>
        <w:tc>
          <w:tcPr>
            <w:tcW w:w="6000" w:type="dxa"/>
          </w:tcPr>
          <w:p>
            <w:r>
              <w:t xml:space="preserve">(57) 1 3394888 Ext. 2225 - 3108833707</w:t>
            </w:r>
          </w:p>
        </w:tc>
      </w:tr>
    </w:tbl>
    <w:p/>
    <w:p/>
    <w:p/>
    <w:p/>
    <w:p>
      <w:r>
        <w:rPr/>
        <w:t xml:space="preserve">Bogotá, 15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La red de recarga es la red de puntos de venta de tarjetas y recarga de las mismas, mantenida, controlada y operada por Recaudo Bogotá S.A.S. a través de Movilred,  en la que se dispensan y recargan los medios de pago para utilizar en el SITP y que facilita a los usuarios la adquisición y carga del medio de pago. En estos puntos, se realiza la distribución y venta de los medios de pago, el recaudo de los dineros provenientes de la venta y carga del medio de pago y consulta del saldo en la tarjeta.</w:t>
      </w:r>
    </w:p>
    <w:p>
      <w:r>
        <w:rPr>
          <w:sz w:val="28"/>
          <w:szCs w:val="28"/>
        </w:rPr>
        <w:t xml:space="preserve"/>
      </w:r>
    </w:p>
    <w:p>
      <w:r>
        <w:rPr>
          <w:sz w:val="28"/>
          <w:szCs w:val="28"/>
        </w:rPr>
        <w:t xml:space="preserve">Como producto de entrada en Funcionamiento de la Red de Recarga se han identificado una serie de problemáticas, para lo cual se quiere llevar a cabo un estudio cualitativo para indagar sobre las posibles razones y causas de dicha problemática.</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Profundizar en las percepciones existentes entre los tenderos y usuarios de la Red de Recarga, validando la problemática identificada por MovilRed e identificando las principales variables de posicionamiento de marca. </w:t>
      </w:r>
    </w:p>
    <w:p/>
    <w:p>
      <w:r>
        <w:rPr>
          <w:sz w:val="28"/>
          <w:szCs w:val="28"/>
          <w:b/>
        </w:rPr>
        <w:t xml:space="preserve">ESPECIFICOS: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Grupos Focales con Tenderos</w:t>
            </w:r>
          </w:p>
        </w:tc>
      </w:tr>
      <w:tr>
        <w:tc>
          <w:tcPr>
            <w:tcW w:w="0" w:type="dxa"/>
          </w:tcPr>
          <w:p>
            <w:r>
              <w:t xml:space="preserve">Temas:</w:t>
            </w:r>
          </w:p>
        </w:tc>
        <w:tc>
          <w:tcPr>
            <w:tcW w:w="0" w:type="dxa"/>
          </w:tcPr>
          <w:p>
            <w:r>
              <w:t xml:space="preserve">Percepciones acerca del funcionamiento de la Red de Recarga</w:t>
            </w:r>
          </w:p>
        </w:tc>
      </w:tr>
      <w:tr>
        <w:tc>
          <w:tcPr>
            <w:tcW w:w="4000" w:type="dxa"/>
          </w:tcPr>
          <w:p>
            <w:r>
              <w:t xml:space="preserve">Metodología:</w:t>
            </w:r>
          </w:p>
        </w:tc>
        <w:tc>
          <w:tcPr>
            <w:tcW w:w="6000" w:type="dxa"/>
          </w:tcPr>
          <w:p>
            <w:r>
              <w:t xml:space="preserve">Grupos Focales</w:t>
            </w:r>
          </w:p>
        </w:tc>
      </w:tr>
      <w:tr>
        <w:tc>
          <w:tcPr>
            <w:tcW w:w="0" w:type="dxa"/>
          </w:tcPr>
          <w:p>
            <w:r>
              <w:t xml:space="preserve">Ciudad:</w:t>
            </w:r>
          </w:p>
        </w:tc>
        <w:tc>
          <w:tcPr>
            <w:tcW w:w="0" w:type="dxa"/>
          </w:tcPr>
          <w:p>
            <w:r>
              <w:t xml:space="preserve">Tenderos</w:t>
            </w:r>
          </w:p>
        </w:tc>
      </w:tr>
      <w:tr>
        <w:tc>
          <w:tcPr>
            <w:tcW w:w="0" w:type="dxa"/>
          </w:tcPr>
          <w:p>
            <w:r>
              <w:t xml:space="preserve">Número de sesiones:</w:t>
            </w:r>
          </w:p>
        </w:tc>
        <w:tc>
          <w:tcPr>
            <w:tcW w:w="0" w:type="dxa"/>
          </w:tcPr>
          <w:p>
            <w:r>
              <w:t xml:space="preserve">4</w:t>
            </w:r>
          </w:p>
        </w:tc>
      </w:tr>
      <w:tr>
        <w:tc>
          <w:tcPr>
            <w:tcW w:w="0" w:type="dxa"/>
          </w:tcPr>
          <w:p>
            <w:r>
              <w:t xml:space="preserve">Lugar donde se va a realizar:</w:t>
            </w:r>
          </w:p>
        </w:tc>
        <w:tc>
          <w:tcPr>
            <w:tcW w:w="0" w:type="dxa"/>
          </w:tcPr>
          <w:p>
            <w:r>
              <w:t xml:space="preserve">Sede del CNC</w:t>
            </w:r>
          </w:p>
        </w:tc>
      </w:tr>
      <w:tr>
        <w:tc>
          <w:tcPr>
            <w:tcW w:w="0" w:type="dxa"/>
          </w:tcPr>
          <w:p>
            <w:r>
              <w:t xml:space="preserve">Duración:</w:t>
            </w:r>
          </w:p>
        </w:tc>
        <w:tc>
          <w:tcPr>
            <w:tcW w:w="0" w:type="dxa"/>
          </w:tcPr>
          <w:p>
            <w:r>
              <w:t xml:space="preserve">90 minutos </w:t>
            </w:r>
          </w:p>
        </w:tc>
      </w:tr>
      <w:tr>
        <w:tc>
          <w:tcPr>
            <w:tcW w:w="0" w:type="dxa"/>
          </w:tcPr>
          <w:p>
            <w:r>
              <w:t xml:space="preserve">Ciudad:</w:t>
            </w:r>
          </w:p>
        </w:tc>
        <w:tc>
          <w:tcPr>
            <w:tcW w:w="0" w:type="dxa"/>
          </w:tcPr>
          <w:p>
            <w:r>
              <w:t xml:space="preserve">Usuarios</w:t>
            </w:r>
          </w:p>
        </w:tc>
      </w:tr>
      <w:tr>
        <w:tc>
          <w:tcPr>
            <w:tcW w:w="0" w:type="dxa"/>
          </w:tcPr>
          <w:p>
            <w:r>
              <w:t xml:space="preserve">Número de sesiones:</w:t>
            </w:r>
          </w:p>
        </w:tc>
        <w:tc>
          <w:tcPr>
            <w:tcW w:w="0" w:type="dxa"/>
          </w:tcPr>
          <w:p>
            <w:r>
              <w:t xml:space="preserve">4</w:t>
            </w:r>
          </w:p>
        </w:tc>
      </w:tr>
      <w:tr>
        <w:tc>
          <w:tcPr>
            <w:tcW w:w="0" w:type="dxa"/>
          </w:tcPr>
          <w:p>
            <w:r>
              <w:t xml:space="preserve">Duración:</w:t>
            </w:r>
          </w:p>
        </w:tc>
        <w:tc>
          <w:tcPr>
            <w:tcW w:w="0" w:type="dxa"/>
          </w:tcPr>
          <w:p>
            <w:r>
              <w:t xml:space="preserve">90 minutos </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Encuestas Telefónicas con Usuarios y Tenderos</w:t>
            </w:r>
          </w:p>
        </w:tc>
      </w:tr>
      <w:tr>
        <w:tc>
          <w:tcPr>
            <w:tcW w:w="0" w:type="dxa"/>
          </w:tcPr>
          <w:p>
            <w:r>
              <w:t xml:space="preserve">Temas:</w:t>
            </w:r>
          </w:p>
        </w:tc>
        <w:tc>
          <w:tcPr>
            <w:tcW w:w="0" w:type="dxa"/>
          </w:tcPr>
          <w:p>
            <w:r>
              <w:t xml:space="preserve">Percepciones de Marca de MovilRed y del funcionamiento de la Red de recarga</w:t>
            </w:r>
          </w:p>
        </w:tc>
      </w:tr>
      <w:tr>
        <w:tc>
          <w:tcPr>
            <w:tcW w:w="4000" w:type="dxa"/>
          </w:tcPr>
          <w:p>
            <w:r>
              <w:t xml:space="preserve">Metodología:</w:t>
            </w:r>
          </w:p>
        </w:tc>
        <w:tc>
          <w:tcPr>
            <w:tcW w:w="6000" w:type="dxa"/>
          </w:tcPr>
          <w:p>
            <w:r>
              <w:t xml:space="preserve">Entrevistas Telefónicas</w:t>
            </w:r>
          </w:p>
        </w:tc>
      </w:tr>
      <w:tr>
        <w:tc>
          <w:tcPr>
            <w:tcW w:w="0" w:type="dxa"/>
          </w:tcPr>
          <w:p>
            <w:r>
              <w:t xml:space="preserve">Universo:</w:t>
            </w:r>
          </w:p>
        </w:tc>
        <w:tc>
          <w:tcPr>
            <w:tcW w:w="0" w:type="dxa"/>
          </w:tcPr>
          <w:p>
            <w:r>
              <w:t xml:space="preserve">Personas mayores de 18 años en la ciudad de Bogotá</w:t>
            </w:r>
          </w:p>
        </w:tc>
      </w:tr>
      <w:tr>
        <w:tc>
          <w:tcPr>
            <w:tcW w:w="0" w:type="dxa"/>
          </w:tcPr>
          <w:p>
            <w:r>
              <w:t xml:space="preserve">Marco estadístico:</w:t>
            </w:r>
          </w:p>
        </w:tc>
        <w:tc>
          <w:tcPr>
            <w:tcW w:w="0" w:type="dxa"/>
          </w:tcPr>
          <w:p>
            <w:r>
              <w:t xml:space="preserve">Listados telefónicos de la ciudad de Bogotá </w:t>
            </w:r>
          </w:p>
        </w:tc>
      </w:tr>
      <w:tr>
        <w:tc>
          <w:tcPr>
            <w:tcW w:w="0" w:type="dxa"/>
          </w:tcPr>
          <w:p>
            <w:r>
              <w:t xml:space="preserve">Segmento:</w:t>
            </w:r>
          </w:p>
        </w:tc>
        <w:tc>
          <w:tcPr>
            <w:tcW w:w="0" w:type="dxa"/>
          </w:tcPr>
          <w:p>
            <w:r>
              <w:t xml:space="preserve">Tenderos</w:t>
            </w:r>
          </w:p>
        </w:tc>
      </w:tr>
      <w:tr>
        <w:tc>
          <w:tcPr>
            <w:tcW w:w="0" w:type="dxa"/>
          </w:tcPr>
          <w:p>
            <w:r>
              <w:t xml:space="preserve">Universo:</w:t>
            </w:r>
          </w:p>
        </w:tc>
        <w:tc>
          <w:tcPr>
            <w:tcW w:w="0" w:type="dxa"/>
          </w:tcPr>
          <w:p>
            <w:r>
              <w:t xml:space="preserve">1933</w:t>
            </w:r>
          </w:p>
        </w:tc>
      </w:tr>
      <w:tr>
        <w:tc>
          <w:tcPr>
            <w:tcW w:w="0" w:type="dxa"/>
          </w:tcPr>
          <w:p>
            <w:r>
              <w:t xml:space="preserve">Muestra:</w:t>
            </w:r>
          </w:p>
        </w:tc>
        <w:tc>
          <w:tcPr>
            <w:tcW w:w="0" w:type="dxa"/>
          </w:tcPr>
          <w:p>
            <w:r>
              <w:t xml:space="preserve">250</w:t>
            </w:r>
          </w:p>
        </w:tc>
      </w:tr>
      <w:tr>
        <w:tc>
          <w:tcPr>
            <w:tcW w:w="0" w:type="dxa"/>
          </w:tcPr>
          <w:p>
            <w:r>
              <w:t xml:space="preserve">Error muestral:</w:t>
            </w:r>
          </w:p>
        </w:tc>
        <w:tc>
          <w:tcPr>
            <w:tcW w:w="0" w:type="dxa"/>
          </w:tcPr>
          <w:p>
            <w:r>
              <w:t xml:space="preserve">6%</w:t>
            </w:r>
          </w:p>
        </w:tc>
      </w:tr>
      <w:tr>
        <w:tc>
          <w:tcPr>
            <w:tcW w:w="0" w:type="dxa"/>
          </w:tcPr>
          <w:p>
            <w:r>
              <w:t xml:space="preserve">Segmento:</w:t>
            </w:r>
          </w:p>
        </w:tc>
        <w:tc>
          <w:tcPr>
            <w:tcW w:w="0" w:type="dxa"/>
          </w:tcPr>
          <w:p>
            <w:r>
              <w:t xml:space="preserve">Usuarios</w:t>
            </w:r>
          </w:p>
        </w:tc>
      </w:tr>
      <w:tr>
        <w:tc>
          <w:tcPr>
            <w:tcW w:w="0" w:type="dxa"/>
          </w:tcPr>
          <w:p>
            <w:r>
              <w:t xml:space="preserve">Muestra:</w:t>
            </w:r>
          </w:p>
        </w:tc>
        <w:tc>
          <w:tcPr>
            <w:tcW w:w="0" w:type="dxa"/>
          </w:tcPr>
          <w:p>
            <w:r>
              <w:t xml:space="preserve">350</w:t>
            </w:r>
          </w:p>
        </w:tc>
      </w:tr>
      <w:tr>
        <w:tc>
          <w:tcPr>
            <w:tcW w:w="0" w:type="dxa"/>
          </w:tcPr>
          <w:p>
            <w:r>
              <w:t xml:space="preserve">Error muestral:</w:t>
            </w:r>
          </w:p>
        </w:tc>
        <w:tc>
          <w:tcPr>
            <w:tcW w:w="0" w:type="dxa"/>
          </w:tcPr>
          <w:p>
            <w:r>
              <w:t xml:space="preserve">5%</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c>
          <w:tcPr>
            <w:tcW w:w="500" w:type="dxa"/>
            <w:vAlign w:val="center"/>
          </w:tcPr>
          <w:p>
            <w:pPr>
              <w:jc w:val="center"/>
              <w:spacing w:before="20" w:line="270" w:lineRule="auto"/>
            </w:pPr>
            <w:r>
              <w:rPr>
                <w:sz w:val="22"/>
                <w:szCs w:val="22"/>
                <w:b/>
              </w:rPr>
              <w:t xml:space="preserve">9</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Oskar Fletscher</w:t>
      </w:r>
    </w:p>
    <w:p>
      <w:r>
        <w:rPr>
          <w:sz w:val="24"/>
          <w:szCs w:val="24"/>
        </w:rPr>
        <w:t xml:space="preserve">Director del Estudio</w:t>
      </w:r>
    </w:p>
    <w:p>
      <w:r>
        <w:rPr>
          <w:sz w:val="28"/>
          <w:szCs w:val="28"/>
        </w:rPr>
        <w:t xml:space="preserve">Es ingeniero de sistemas  con especialización en Mercadeo y más de 8 años de experiencia en investigación de mercados. Ha estado a cargo de  numerosas investigaciones, en particular de coordinar las agendas de investigación con clientes del sector de telecomunicaciones (ETB, Telebucaramanga), servicios (Gestarsalud, Prieto &amp; Carrizosa, Sanofi Aventis),  consumo masivo (Nokia, Hyundai, Petrobras), grandes superficies (Homecenter, Falabella y Carrefour) y servicios públicos (Codensa, Gas Natural y Emcali).</w:t>
      </w:r>
    </w:p>
    <w:p>
      <w:pPr>
        <w:jc w:val="left"/>
      </w:pPr>
      <w:r>
        <w:pict>
          <v:shape type="#_x0000_t75" style="width:230px;height:150px">
            <v:imagedata r:id="rId9" o:title=""/>
          </v:shape>
        </w:pict>
      </w:r>
    </w:p>
    <w:p>
      <w:r>
        <w:rPr>
          <w:sz w:val="24"/>
          <w:szCs w:val="24"/>
          <w:b/>
        </w:rPr>
        <w:t xml:space="preserve">Fabricio Alarcón</w:t>
      </w:r>
    </w:p>
    <w:p>
      <w:r>
        <w:rPr>
          <w:sz w:val="24"/>
          <w:szCs w:val="24"/>
        </w:rPr>
        <w:t xml:space="preserve">Asesor Técnico</w:t>
      </w:r>
    </w:p>
    <w:p>
      <w:r>
        <w:rPr>
          <w:sz w:val="28"/>
          <w:szCs w:val="28"/>
        </w:rPr>
        <w:t xml:space="preserve">Tiene más de 10 años de experiencia liderando proyectos en el área de Marca y Medios. Entre otros, ha dirigido el Estudio Continuo de Audiencia de Radio (ECAR), desde su creación en agosto de 2008, y ha estado encargado de más de 10 mediciones del Estudio General de Medios (EGM) como operador de campo. Entre otras cuentas que ha manejado están los estudios de marca y medios para ETB, Cerrejón Coal, Havas Media y Camacol.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$ 0 </w:t>
            </w:r>
          </w:p>
        </w:tc>
        <w:tc>
          <w:tcPr>
            <w:tcW w:w="2000" w:type="dxa"/>
          </w:tcPr>
          <w:p>
            <w:pPr>
              <w:jc w:val="right"/>
              <w:spacing w:before="100" w:line="240" w:lineRule="auto"/>
            </w:pPr>
            <w:r>
              <w:rPr>
                <w:sz w:val="24"/>
                <w:szCs w:val="24"/>
              </w:rPr>
              <w:t xml:space="preserve">$ 0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Grupos Focales - Tenderos</w:t>
            </w:r>
          </w:p>
        </w:tc>
        <w:tc>
          <w:tcPr>
            <w:tcW w:w="2000" w:type="dxa"/>
          </w:tcPr>
          <w:p>
            <w:pPr>
              <w:jc w:val="center"/>
              <w:spacing w:before="100" w:line="240" w:lineRule="auto"/>
            </w:pPr>
            <w:r>
              <w:rPr>
                <w:sz w:val="24"/>
                <w:szCs w:val="24"/>
              </w:rPr>
              <w:t xml:space="preserve">4</w:t>
            </w:r>
          </w:p>
        </w:tc>
        <w:tc>
          <w:tcPr>
            <w:tcW w:w="2000" w:type="dxa"/>
          </w:tcPr>
          <w:p>
            <w:pPr>
              <w:jc w:val="right"/>
              <w:spacing w:before="100" w:line="240" w:lineRule="auto"/>
            </w:pPr>
            <w:r>
              <w:rPr>
                <w:sz w:val="24"/>
                <w:szCs w:val="24"/>
              </w:rPr>
              <w:t xml:space="preserve">$ 3,500,000</w:t>
            </w:r>
          </w:p>
        </w:tc>
        <w:tc>
          <w:tcPr>
            <w:tcW w:w="2000" w:type="dxa"/>
          </w:tcPr>
          <w:p>
            <w:pPr>
              <w:jc w:val="right"/>
              <w:spacing w:before="100" w:line="240" w:lineRule="auto"/>
            </w:pPr>
            <w:r>
              <w:rPr>
                <w:sz w:val="24"/>
                <w:szCs w:val="24"/>
              </w:rPr>
              <w:t xml:space="preserve">$ 14,000,000</w:t>
            </w:r>
          </w:p>
        </w:tc>
      </w:tr>
      <w:tr>
        <w:tc>
          <w:tcPr>
            <w:tcW w:w="300" w:type="dxa"/>
          </w:tcPr>
          <w:p>
            <w:pPr>
              <w:jc w:val="center"/>
              <w:spacing w:before="100" w:line="240" w:lineRule="auto"/>
            </w:pPr>
            <w:r>
              <w:rPr>
                <w:sz w:val="24"/>
                <w:szCs w:val="24"/>
              </w:rPr>
              <w:t xml:space="preserve">3</w:t>
            </w:r>
          </w:p>
        </w:tc>
        <w:tc>
          <w:tcPr>
            <w:tcW w:w="8000" w:type="dxa"/>
          </w:tcPr>
          <w:p>
            <w:pPr>
              <w:jc w:val="left"/>
              <w:spacing w:before="100" w:line="240" w:lineRule="auto"/>
            </w:pPr>
            <w:r>
              <w:rPr>
                <w:sz w:val="24"/>
                <w:szCs w:val="24"/>
              </w:rPr>
              <w:t xml:space="preserve"> Grupos Focales - Usuarios</w:t>
            </w:r>
          </w:p>
        </w:tc>
        <w:tc>
          <w:tcPr>
            <w:tcW w:w="2000" w:type="dxa"/>
          </w:tcPr>
          <w:p>
            <w:pPr>
              <w:jc w:val="center"/>
              <w:spacing w:before="100" w:line="240" w:lineRule="auto"/>
            </w:pPr>
            <w:r>
              <w:rPr>
                <w:sz w:val="24"/>
                <w:szCs w:val="24"/>
              </w:rPr>
              <w:t xml:space="preserve">4</w:t>
            </w:r>
          </w:p>
        </w:tc>
        <w:tc>
          <w:tcPr>
            <w:tcW w:w="2000" w:type="dxa"/>
          </w:tcPr>
          <w:p>
            <w:pPr>
              <w:jc w:val="right"/>
              <w:spacing w:before="100" w:line="240" w:lineRule="auto"/>
            </w:pPr>
            <w:r>
              <w:rPr>
                <w:sz w:val="24"/>
                <w:szCs w:val="24"/>
              </w:rPr>
              <w:t xml:space="preserve">$ 4,000,000</w:t>
            </w:r>
          </w:p>
        </w:tc>
        <w:tc>
          <w:tcPr>
            <w:tcW w:w="2000" w:type="dxa"/>
          </w:tcPr>
          <w:p>
            <w:pPr>
              <w:jc w:val="right"/>
              <w:spacing w:before="100" w:line="240" w:lineRule="auto"/>
            </w:pPr>
            <w:r>
              <w:rPr>
                <w:sz w:val="24"/>
                <w:szCs w:val="24"/>
              </w:rPr>
              <w:t xml:space="preserve">$ 16,000,000</w:t>
            </w:r>
          </w:p>
        </w:tc>
      </w:tr>
      <w:tr>
        <w:tc>
          <w:tcPr>
            <w:tcW w:w="300" w:type="dxa"/>
          </w:tcPr>
          <w:p>
            <w:pPr>
              <w:jc w:val="center"/>
              <w:spacing w:before="100" w:line="240" w:lineRule="auto"/>
            </w:pPr>
            <w:r>
              <w:rPr>
                <w:sz w:val="24"/>
                <w:szCs w:val="24"/>
              </w:rPr>
              <w:t xml:space="preserve">4</w:t>
            </w:r>
          </w:p>
        </w:tc>
        <w:tc>
          <w:tcPr>
            <w:tcW w:w="8000" w:type="dxa"/>
          </w:tcPr>
          <w:p>
            <w:pPr>
              <w:jc w:val="left"/>
              <w:spacing w:before="100" w:line="240" w:lineRule="auto"/>
            </w:pPr>
            <w:r>
              <w:rPr>
                <w:sz w:val="24"/>
                <w:szCs w:val="24"/>
              </w:rPr>
              <w:t xml:space="preserve"> Entrevistas Telefónicas - Tenderos</w:t>
            </w:r>
          </w:p>
        </w:tc>
        <w:tc>
          <w:tcPr>
            <w:tcW w:w="2000" w:type="dxa"/>
          </w:tcPr>
          <w:p>
            <w:pPr>
              <w:jc w:val="center"/>
              <w:spacing w:before="100" w:line="240" w:lineRule="auto"/>
            </w:pPr>
            <w:r>
              <w:rPr>
                <w:sz w:val="24"/>
                <w:szCs w:val="24"/>
              </w:rPr>
              <w:t xml:space="preserve">250</w:t>
            </w:r>
          </w:p>
        </w:tc>
        <w:tc>
          <w:tcPr>
            <w:tcW w:w="2000" w:type="dxa"/>
          </w:tcPr>
          <w:p>
            <w:pPr>
              <w:jc w:val="right"/>
              <w:spacing w:before="100" w:line="240" w:lineRule="auto"/>
            </w:pPr>
            <w:r>
              <w:rPr>
                <w:sz w:val="24"/>
                <w:szCs w:val="24"/>
              </w:rPr>
              <w:t xml:space="preserve">$ 37,000</w:t>
            </w:r>
          </w:p>
        </w:tc>
        <w:tc>
          <w:tcPr>
            <w:tcW w:w="2000" w:type="dxa"/>
          </w:tcPr>
          <w:p>
            <w:pPr>
              <w:jc w:val="right"/>
              <w:spacing w:before="100" w:line="240" w:lineRule="auto"/>
            </w:pPr>
            <w:r>
              <w:rPr>
                <w:sz w:val="24"/>
                <w:szCs w:val="24"/>
              </w:rPr>
              <w:t xml:space="preserve">$ 9,250,000</w:t>
            </w:r>
          </w:p>
        </w:tc>
      </w:tr>
      <w:tr>
        <w:tc>
          <w:tcPr>
            <w:tcW w:w="300" w:type="dxa"/>
          </w:tcPr>
          <w:p>
            <w:pPr>
              <w:jc w:val="center"/>
              <w:spacing w:before="100" w:line="240" w:lineRule="auto"/>
            </w:pPr>
            <w:r>
              <w:rPr>
                <w:sz w:val="24"/>
                <w:szCs w:val="24"/>
              </w:rPr>
              <w:t xml:space="preserve">5</w:t>
            </w:r>
          </w:p>
        </w:tc>
        <w:tc>
          <w:tcPr>
            <w:tcW w:w="8000" w:type="dxa"/>
          </w:tcPr>
          <w:p>
            <w:pPr>
              <w:jc w:val="left"/>
              <w:spacing w:before="100" w:line="240" w:lineRule="auto"/>
            </w:pPr>
            <w:r>
              <w:rPr>
                <w:sz w:val="24"/>
                <w:szCs w:val="24"/>
              </w:rPr>
              <w:t xml:space="preserve"> Entrevistas Telefónicas - Usuarios</w:t>
            </w:r>
          </w:p>
        </w:tc>
        <w:tc>
          <w:tcPr>
            <w:tcW w:w="2000" w:type="dxa"/>
          </w:tcPr>
          <w:p>
            <w:pPr>
              <w:jc w:val="center"/>
              <w:spacing w:before="100" w:line="240" w:lineRule="auto"/>
            </w:pPr>
            <w:r>
              <w:rPr>
                <w:sz w:val="24"/>
                <w:szCs w:val="24"/>
              </w:rPr>
              <w:t xml:space="preserve">350</w:t>
            </w:r>
          </w:p>
        </w:tc>
        <w:tc>
          <w:tcPr>
            <w:tcW w:w="2000" w:type="dxa"/>
          </w:tcPr>
          <w:p>
            <w:pPr>
              <w:jc w:val="right"/>
              <w:spacing w:before="100" w:line="240" w:lineRule="auto"/>
            </w:pPr>
            <w:r>
              <w:rPr>
                <w:sz w:val="24"/>
                <w:szCs w:val="24"/>
              </w:rPr>
              <w:t xml:space="preserve">$ 27,000</w:t>
            </w:r>
          </w:p>
        </w:tc>
        <w:tc>
          <w:tcPr>
            <w:tcW w:w="2000" w:type="dxa"/>
          </w:tcPr>
          <w:p>
            <w:pPr>
              <w:jc w:val="right"/>
              <w:spacing w:before="100" w:line="240" w:lineRule="auto"/>
            </w:pPr>
            <w:r>
              <w:rPr>
                <w:sz w:val="24"/>
                <w:szCs w:val="24"/>
              </w:rPr>
              <w:t xml:space="preserve">$ 9,450,000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$ 48,700,000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$ 7,792,000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$ 56,492,000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10"/>
      <w:footerReference w:type="default" r:id="rId11"/>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b/>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header" Target="header1.xml"/>
  <Relationship Id="rId11"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