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Nueva EPS</w:t>
      </w:r>
    </w:p>
    <w:p/>
    <w:tbl>
      <w:tblPr>
        <w:tblStyle w:val="myOwnTableStyle"/>
      </w:tblPr>
      <w:tr>
        <w:trPr>
          <w:trHeight w:val="-1"/>
        </w:trPr>
        <w:tc>
          <w:tcPr>
            <w:tcW w:w="9000" w:type="dxa"/>
          </w:tcPr>
          <w:p>
            <w:r>
              <w:t xml:space="preserve"/>
            </w:r>
          </w:p>
        </w:tc>
      </w:tr>
    </w:tbl>
    <w:p>
      <w:r>
        <w:rPr>
          <w:rStyle w:val="titleStyle"/>
        </w:rPr>
        <w:t xml:space="preserve">Panorama Competitivo de Nueva EPS</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Juan Nicolás Acevedo</w:t>
            </w:r>
          </w:p>
        </w:tc>
      </w:tr>
      <w:tr>
        <w:trPr>
          <w:trHeight w:val="-330"/>
        </w:trPr>
        <w:tc>
          <w:tcPr>
            <w:tcW w:w="12000" w:type="dxa"/>
          </w:tcPr>
          <w:p>
            <w:r>
              <w:t xml:space="preserve">Negociador de Bienes y Servicios</w:t>
            </w:r>
          </w:p>
        </w:tc>
      </w:tr>
      <w:tr>
        <w:trPr>
          <w:trHeight w:val="-330"/>
        </w:trPr>
        <w:tc>
          <w:tcPr>
            <w:tcW w:w="12000" w:type="dxa"/>
          </w:tcPr>
          <w:p>
            <w:r>
              <w:t xml:space="preserve">juan.acevedo@nuevaeps.com.co</w:t>
            </w:r>
          </w:p>
        </w:tc>
      </w:tr>
      <w:tr>
        <w:trPr>
          <w:trHeight w:val="-330"/>
        </w:trPr>
        <w:tc>
          <w:tcPr>
            <w:tcW w:w="12000" w:type="dxa"/>
          </w:tcPr>
          <w:p>
            <w:r>
              <w:t xml:space="preserve">(1) 419 3000  ext. 10245 -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Ana María García Arango</w:t>
            </w:r>
          </w:p>
        </w:tc>
      </w:tr>
      <w:tr>
        <w:trPr>
          <w:trHeight w:val="-330"/>
        </w:trPr>
        <w:tc>
          <w:tcPr>
            <w:tcW w:w="6000" w:type="dxa"/>
          </w:tcPr>
          <w:p>
            <w:r>
              <w:t xml:space="preserve">Director de Mercadeo</w:t>
            </w:r>
          </w:p>
        </w:tc>
        <w:tc>
          <w:tcPr>
            <w:tcW w:w="6000" w:type="dxa"/>
          </w:tcPr>
          <w:p>
            <w:r>
              <w:t xml:space="preserve">Directora de Estudios</w:t>
            </w:r>
          </w:p>
        </w:tc>
      </w:tr>
      <w:tr>
        <w:trPr>
          <w:trHeight w:val="-330"/>
        </w:trPr>
        <w:tc>
          <w:tcPr>
            <w:tcW w:w="6000" w:type="dxa"/>
          </w:tcPr>
          <w:p>
            <w:r>
              <w:t xml:space="preserve">fbolivar@cnccol.com</w:t>
            </w:r>
          </w:p>
        </w:tc>
        <w:tc>
          <w:tcPr>
            <w:tcW w:w="6000" w:type="dxa"/>
          </w:tcPr>
          <w:p>
            <w:r>
              <w:t xml:space="preserve">agarcia@cnccol.com</w:t>
            </w:r>
          </w:p>
        </w:tc>
      </w:tr>
      <w:tr>
        <w:trPr>
          <w:trHeight w:val="-330"/>
        </w:trPr>
        <w:tc>
          <w:tcPr>
            <w:tcW w:w="6000" w:type="dxa"/>
          </w:tcPr>
          <w:p>
            <w:r>
              <w:t xml:space="preserve">(57) 1 3394888 Ext. 2207 - 3132264713</w:t>
            </w:r>
          </w:p>
        </w:tc>
        <w:tc>
          <w:tcPr>
            <w:tcW w:w="6000" w:type="dxa"/>
          </w:tcPr>
          <w:p>
            <w:r>
              <w:t xml:space="preserve">(57) 1 3394888 Ext. 2217 - 3113005667</w:t>
            </w:r>
          </w:p>
        </w:tc>
      </w:tr>
    </w:tbl>
    <w:p/>
    <w:p/>
    <w:p/>
    <w:p/>
    <w:p>
      <w:r>
        <w:rPr/>
        <w:t xml:space="preserve">Bogotá, 18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Para la Nueva EPS resulta de vital importancia hacer un análisis de su entorno competitivo teniendo en cuenta la coyuntura tan dinámica en la que se encuentra tanto al interior de la compañía y su sector, las cuales se describen a continuación:</w:t>
      </w:r>
    </w:p>
    <w:p>
      <w:r>
        <w:rPr>
          <w:sz w:val="28"/>
          <w:szCs w:val="28"/>
        </w:rPr>
        <w:t xml:space="preserve"/>
      </w:r>
    </w:p>
    <w:p>
      <w:r>
        <w:rPr>
          <w:sz w:val="28"/>
          <w:szCs w:val="28"/>
        </w:rPr>
        <w:t xml:space="preserve">Entorno:</w:t>
      </w:r>
    </w:p>
    <w:p>
      <w:pPr>
        <w:numPr>
          <w:ilvl w:val="0"/>
          <w:numId w:val="3"/>
        </w:numPr>
      </w:pPr>
      <w:r>
        <w:rPr>
          <w:sz w:val="28"/>
          <w:szCs w:val="28"/>
        </w:rPr>
        <w:t xml:space="preserve">La Propuesta de reforma de salud presentada por el gobierno en Marzo de 2013.</w:t>
      </w:r>
    </w:p>
    <w:p>
      <w:pPr>
        <w:numPr>
          <w:ilvl w:val="0"/>
          <w:numId w:val="3"/>
        </w:numPr>
      </w:pPr>
      <w:r>
        <w:rPr>
          <w:sz w:val="28"/>
          <w:szCs w:val="28"/>
        </w:rPr>
        <w:t xml:space="preserve">La crisis reputacional y de desprestigio que actualmente se encuentra el Sistema general de salud en Colombia debido a los fraudes y sobre costos del POS.</w:t>
      </w:r>
    </w:p>
    <w:p>
      <w:pPr>
        <w:numPr>
          <w:ilvl w:val="0"/>
          <w:numId w:val="3"/>
        </w:numPr>
      </w:pPr>
      <w:r>
        <w:rPr>
          <w:sz w:val="28"/>
          <w:szCs w:val="28"/>
        </w:rPr>
        <w:t xml:space="preserve">El respaldo de grupos empresariales y multinacionales que tienen dentro de su portafolio una EPS y Planes Adicionales de Salud, como es el caso del Grupo Suramericana y Grupo Sanitas.</w:t>
      </w:r>
    </w:p>
    <w:p>
      <w:pPr>
        <w:numPr>
          <w:ilvl w:val="0"/>
          <w:numId w:val="3"/>
        </w:numPr>
      </w:pPr>
      <w:r>
        <w:rPr>
          <w:sz w:val="28"/>
          <w:szCs w:val="28"/>
        </w:rPr>
        <w:t xml:space="preserve">Una categoría atomizada en la recordación de marca. No han desarrollado estrategias de diferenciación y se resguardan en ser comodities desaprovechando una gran oportunidad de posicionamiento y relevancia para la marca</w:t>
      </w:r>
    </w:p>
    <w:p>
      <w:r>
        <w:rPr>
          <w:sz w:val="28"/>
          <w:szCs w:val="28"/>
        </w:rPr>
        <w:t xml:space="preserve"/>
      </w:r>
    </w:p>
    <w:p>
      <w:r>
        <w:rPr>
          <w:sz w:val="28"/>
          <w:szCs w:val="28"/>
        </w:rPr>
        <w:t xml:space="preserve">Nueva EPS:</w:t>
      </w:r>
    </w:p>
    <w:p>
      <w:pPr>
        <w:numPr>
          <w:ilvl w:val="0"/>
          <w:numId w:val="3"/>
        </w:numPr>
      </w:pPr>
      <w:r>
        <w:rPr>
          <w:sz w:val="28"/>
          <w:szCs w:val="28"/>
        </w:rPr>
        <w:t xml:space="preserve">El lanzamiento y comercialización de los Planes de Atención Complementaria EN CASA , INTEGRAL.</w:t>
      </w:r>
    </w:p>
    <w:p>
      <w:pPr>
        <w:numPr>
          <w:ilvl w:val="0"/>
          <w:numId w:val="3"/>
        </w:numPr>
      </w:pPr>
      <w:r>
        <w:rPr>
          <w:sz w:val="28"/>
          <w:szCs w:val="28"/>
        </w:rPr>
        <w:t xml:space="preserve">Alto nivel de satisfacción del servicio comercial por parte de las empresas del panel postventa.</w:t>
      </w:r>
    </w:p>
    <w:p>
      <w:pPr>
        <w:numPr>
          <w:ilvl w:val="0"/>
          <w:numId w:val="3"/>
        </w:numPr>
      </w:pPr>
      <w:r>
        <w:rPr>
          <w:sz w:val="28"/>
          <w:szCs w:val="28"/>
        </w:rPr>
        <w:t xml:space="preserve">Sostenimiento del indicador de satisfacción por parte de los usuarios.</w:t>
      </w:r>
    </w:p>
    <w:p>
      <w:pPr>
        <w:numPr>
          <w:ilvl w:val="0"/>
          <w:numId w:val="3"/>
        </w:numPr>
      </w:pPr>
      <w:r>
        <w:rPr>
          <w:sz w:val="28"/>
          <w:szCs w:val="28"/>
        </w:rPr>
        <w:t xml:space="preserve">NUEVA EPS dentro de las empresas mas grandes y sólidas del país. (Revista Semana  Mayo 2013)</w:t>
      </w:r>
    </w:p>
    <w:p>
      <w:pPr>
        <w:numPr>
          <w:ilvl w:val="0"/>
          <w:numId w:val="3"/>
        </w:numPr>
      </w:pPr>
      <w:r>
        <w:rPr>
          <w:sz w:val="28"/>
          <w:szCs w:val="28"/>
        </w:rPr>
        <w:t xml:space="preserve">Lineamientos estratégicos encaminados a fortalecer la prestación del servicio y relacionamiento con sus aliados (IPS y proveedores)</w:t>
      </w:r>
    </w:p>
    <w:p>
      <w:pPr>
        <w:numPr>
          <w:ilvl w:val="0"/>
          <w:numId w:val="3"/>
        </w:numPr>
      </w:pPr>
      <w:r>
        <w:rPr>
          <w:sz w:val="28"/>
          <w:szCs w:val="28"/>
        </w:rPr>
        <w:t xml:space="preserve">Mayor penetración y cobertura en mercado empresarial y desarrollo de valores agregados de servicio que complementen la oferta comercial actual.</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Hacer un pronóstico del panorama competitivo de NUEVA EPS a través del análisis general del sistema de salud, competidores, clientes y servicios complementarios; con el fin de generar estrategias de posicionamiento y nuevos valores agregados en el servicio.</w:t>
      </w:r>
    </w:p>
    <w:p/>
    <w:p>
      <w:r>
        <w:rPr>
          <w:sz w:val="28"/>
          <w:szCs w:val="28"/>
          <w:b/>
        </w:rPr>
        <w:t xml:space="preserve">ESPECIFICOS:</w:t>
      </w:r>
    </w:p>
    <w:p>
      <w:pPr>
        <w:numPr>
          <w:ilvl w:val="0"/>
          <w:numId w:val="3"/>
        </w:numPr>
      </w:pPr>
      <w:r>
        <w:rPr>
          <w:sz w:val="28"/>
          <w:szCs w:val="28"/>
        </w:rPr>
        <w:t xml:space="preserve">Conocer y analizar casos de éxito de sistemas de salud internacionales.</w:t>
      </w:r>
    </w:p>
    <w:p>
      <w:pPr>
        <w:numPr>
          <w:ilvl w:val="0"/>
          <w:numId w:val="3"/>
        </w:numPr>
      </w:pPr>
      <w:r>
        <w:rPr>
          <w:sz w:val="28"/>
          <w:szCs w:val="28"/>
        </w:rPr>
        <w:t xml:space="preserve">Identificar tendencias de marketing de salud de alto impacto.</w:t>
      </w:r>
    </w:p>
    <w:p>
      <w:pPr>
        <w:numPr>
          <w:ilvl w:val="0"/>
          <w:numId w:val="3"/>
        </w:numPr>
      </w:pPr>
      <w:r>
        <w:rPr>
          <w:sz w:val="28"/>
          <w:szCs w:val="28"/>
        </w:rPr>
        <w:t xml:space="preserve">Generar un análisis competitivo de NUEVA EPS con la propuesta de reforma de salud</w:t>
      </w:r>
    </w:p>
    <w:p>
      <w:pPr>
        <w:numPr>
          <w:ilvl w:val="0"/>
          <w:numId w:val="3"/>
        </w:numPr>
      </w:pPr>
      <w:r>
        <w:rPr>
          <w:sz w:val="28"/>
          <w:szCs w:val="28"/>
        </w:rPr>
        <w:t xml:space="preserve">Realizar semestralmente un monitoreo del mercado y sus oferentes, con el objetivo de reconocer nuevos competidores, que productos o servicios se ofrecen, novedades; identificar estrategia de precio y publicidad.</w:t>
      </w:r>
    </w:p>
    <w:p>
      <w:pPr>
        <w:numPr>
          <w:ilvl w:val="0"/>
          <w:numId w:val="3"/>
        </w:numPr>
      </w:pPr>
      <w:r>
        <w:rPr>
          <w:sz w:val="28"/>
          <w:szCs w:val="28"/>
        </w:rPr>
        <w:t xml:space="preserve">Reconocer las mejores prácticas comerciales, dentro de NUEVA EPS, para generar el mayor valor a la actividad comercial actual y eliminar actividades que no generen valor.</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Para el cumplimiento de los objetivos, La Nueva EPS sugiere la implementación de diversas técnicas de investigación cualitativas complementarias con sus principales grupos de interés tal y como se describe a continuación:</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c>
          <w:tcPr>
            <w:tcW w:w="500" w:type="dxa"/>
            <w:vAlign w:val="center"/>
          </w:tcPr>
          <w:p>
            <w:pPr>
              <w:jc w:val="center"/>
              <w:spacing w:before="20" w:line="270" w:lineRule="auto"/>
            </w:pPr>
            <w:r>
              <w:rPr>
                <w:sz w:val="22"/>
                <w:szCs w:val="22"/>
                <w:b/>
              </w:rPr>
              <w:t xml:space="preserve">11</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pPr>
        <w:jc w:val="left"/>
      </w:pPr>
      <w:r>
        <w:pict>
          <v:shape type="#_x0000_t75" style="width:230px;height:150px">
            <v:imagedata r:id="rId9" o:title=""/>
          </v:shape>
        </w:pict>
      </w:r>
    </w:p>
    <w:p>
      <w:r>
        <w:rPr>
          <w:sz w:val="24"/>
          <w:szCs w:val="24"/>
          <w:b/>
        </w:rPr>
        <w:t xml:space="preserve">René Lemoine, MBA</w:t>
      </w:r>
    </w:p>
    <w:p>
      <w:r>
        <w:rPr>
          <w:sz w:val="24"/>
          <w:szCs w:val="24"/>
        </w:rPr>
        <w:t xml:space="preserve">Asesor Técnico</w:t>
      </w:r>
    </w:p>
    <w:p>
      <w:r>
        <w:rPr>
          <w:sz w:val="28"/>
          <w:szCs w:val="28"/>
        </w:rPr>
        <w:t xml:space="preserve">René Lemoine es un investigador ampliamente reconocido por su efectividad para evaluar y alinear la estrategia de las empresas con sus servicios y productos, con el fin de incrementar la lealtad de sus clientes y demás grupos implicados (Stakeholders). Es ingeniero mecánico de la Universidad de Los Andes, con un MBA del INALDE.</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$ 800,000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$ 5,800,000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