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North Compass Banca de Inversión</w:t>
      </w:r>
    </w:p>
    <w:p/>
    <w:tbl>
      <w:tblPr>
        <w:tblStyle w:val="myOwnTableStyle"/>
      </w:tblPr>
      <w:tr>
        <w:trPr>
          <w:trHeight w:val="-1"/>
        </w:trPr>
        <w:tc>
          <w:tcPr>
            <w:tcW w:w="9000" w:type="dxa"/>
          </w:tcPr>
          <w:p>
            <w:r>
              <w:t xml:space="preserve"/>
            </w:r>
          </w:p>
        </w:tc>
      </w:tr>
    </w:tbl>
    <w:p>
      <w:r>
        <w:rPr>
          <w:rStyle w:val="titleStyle"/>
        </w:rPr>
        <w:t xml:space="preserve">Consumo de Agua Embotellada en Bucaramanga</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Silvia Juliana Saaibi</w:t>
            </w:r>
          </w:p>
        </w:tc>
      </w:tr>
      <w:tr>
        <w:trPr>
          <w:trHeight w:val="-330"/>
        </w:trPr>
        <w:tc>
          <w:tcPr>
            <w:tcW w:w="12000" w:type="dxa"/>
          </w:tcPr>
          <w:p>
            <w:r>
              <w:t xml:space="preserve"/>
            </w:r>
          </w:p>
        </w:tc>
      </w:tr>
      <w:tr>
        <w:trPr>
          <w:trHeight w:val="-330"/>
        </w:trPr>
        <w:tc>
          <w:tcPr>
            <w:tcW w:w="12000" w:type="dxa"/>
          </w:tcPr>
          <w:p>
            <w:r>
              <w:t xml:space="preserve">silviasaaibi@northcompass.co</w:t>
            </w:r>
          </w:p>
        </w:tc>
      </w:tr>
      <w:tr>
        <w:trPr>
          <w:trHeight w:val="-330"/>
        </w:trPr>
        <w:tc>
          <w:tcPr>
            <w:tcW w:w="12000" w:type="dxa"/>
          </w:tcPr>
          <w:p>
            <w:r>
              <w:t xml:space="preserve"> - (57) 310-778-5343</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Óskar Fletscher Moreno</w:t>
            </w:r>
          </w:p>
        </w:tc>
      </w:tr>
      <w:tr>
        <w:trPr>
          <w:trHeight w:val="-330"/>
        </w:trPr>
        <w:tc>
          <w:tcPr>
            <w:tcW w:w="6000" w:type="dxa"/>
          </w:tcPr>
          <w:p>
            <w:r>
              <w:t xml:space="preserve">Director de Mercadeo</w:t>
            </w:r>
          </w:p>
        </w:tc>
        <w:tc>
          <w:tcPr>
            <w:tcW w:w="6000" w:type="dxa"/>
          </w:tcPr>
          <w:p>
            <w:r>
              <w:t xml:space="preserve">Director de Estudios</w:t>
            </w:r>
          </w:p>
        </w:tc>
      </w:tr>
      <w:tr>
        <w:trPr>
          <w:trHeight w:val="-330"/>
        </w:trPr>
        <w:tc>
          <w:tcPr>
            <w:tcW w:w="6000" w:type="dxa"/>
          </w:tcPr>
          <w:p>
            <w:r>
              <w:t xml:space="preserve">fbolivar@cnccol.com</w:t>
            </w:r>
          </w:p>
        </w:tc>
        <w:tc>
          <w:tcPr>
            <w:tcW w:w="6000" w:type="dxa"/>
          </w:tcPr>
          <w:p>
            <w:r>
              <w:t xml:space="preserve">ofletscher@cnccol.com</w:t>
            </w:r>
          </w:p>
        </w:tc>
      </w:tr>
      <w:tr>
        <w:trPr>
          <w:trHeight w:val="-330"/>
        </w:trPr>
        <w:tc>
          <w:tcPr>
            <w:tcW w:w="6000" w:type="dxa"/>
          </w:tcPr>
          <w:p>
            <w:r>
              <w:t xml:space="preserve">(57) 1 3394888 Ext. 2207 - 3132264713</w:t>
            </w:r>
          </w:p>
        </w:tc>
        <w:tc>
          <w:tcPr>
            <w:tcW w:w="6000" w:type="dxa"/>
          </w:tcPr>
          <w:p>
            <w:r>
              <w:t xml:space="preserve">(57) 1 3394888 Ext. 2225 - 3108833707</w:t>
            </w:r>
          </w:p>
        </w:tc>
      </w:tr>
    </w:tbl>
    <w:p/>
    <w:p/>
    <w:p/>
    <w:p/>
    <w:p>
      <w:r>
        <w:rPr/>
        <w:t xml:space="preserve">Bogotá, 18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La ejecución de nuevos proyectos implican importantes inversiones de capital y recursos de diversa índole. Es por esto que quienes lideran el desarrollo de un nuevo proyecto requieren contar con información suficiente tanto en relación a la percepción existente dentro de su mercado objetivo acerca del concepto de su propuesta de valor, así como caracterizar la posible demanda que tendría el proyecto para minimizar los riesgos a los inversionistas.</w:t>
      </w:r>
    </w:p>
    <w:p>
      <w:r>
        <w:rPr>
          <w:sz w:val="28"/>
          <w:szCs w:val="28"/>
        </w:rPr>
        <w:t xml:space="preserve"/>
      </w:r>
    </w:p>
    <w:p>
      <w:r>
        <w:rPr>
          <w:sz w:val="28"/>
          <w:szCs w:val="28"/>
        </w:rPr>
        <w:t xml:space="preserve">Es por esto que North Compass Banca de Inversión ha pedido al Centro Nacional de Consultoría CNC - una propuesta para adelantar un estudio con el objeto de recolectar información confiable sobre el consumo de agua en la ciudad de Bucaramanga.</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Evaluar las percepciones y hábitos en torno al consumo de agua, y en especifico al consumo de agua embotellada en la ciudad de Bucaramanga y su área metropolitana (Floridablanca, Piedecuesta y Giirón) </w:t>
      </w:r>
    </w:p>
    <w:p/>
    <w:p>
      <w:r>
        <w:rPr>
          <w:sz w:val="28"/>
          <w:szCs w:val="28"/>
          <w:b/>
        </w:rPr>
        <w:t xml:space="preserve">ESPECIFICOS:</w:t>
      </w:r>
    </w:p>
    <w:p>
      <w:pPr>
        <w:numPr>
          <w:ilvl w:val="0"/>
          <w:numId w:val="3"/>
        </w:numPr>
      </w:pPr>
      <w:r>
        <w:rPr>
          <w:sz w:val="28"/>
          <w:szCs w:val="28"/>
        </w:rPr>
        <w:t xml:space="preserve">El estudio permitirá: </w:t>
      </w:r>
    </w:p>
    <w:p>
      <w:pPr>
        <w:numPr>
          <w:ilvl w:val="0"/>
          <w:numId w:val="3"/>
        </w:numPr>
      </w:pPr>
      <w:r>
        <w:rPr>
          <w:sz w:val="28"/>
          <w:szCs w:val="28"/>
        </w:rPr>
        <w:t xml:space="preserve">Identificar las percepciones generales en torno al consumo de agua</w:t>
      </w:r>
    </w:p>
    <w:p>
      <w:pPr>
        <w:numPr>
          <w:ilvl w:val="0"/>
          <w:numId w:val="3"/>
        </w:numPr>
      </w:pPr>
      <w:r>
        <w:rPr>
          <w:sz w:val="28"/>
          <w:szCs w:val="28"/>
        </w:rPr>
        <w:t xml:space="preserve">Validar los hábitos de la población en relación al consumo de agua</w:t>
      </w:r>
    </w:p>
    <w:p>
      <w:pPr>
        <w:numPr>
          <w:ilvl w:val="0"/>
          <w:numId w:val="3"/>
        </w:numPr>
      </w:pPr>
      <w:r>
        <w:rPr>
          <w:sz w:val="28"/>
          <w:szCs w:val="28"/>
        </w:rPr>
        <w:t xml:space="preserve">Validar el conocimiento de marcas de agua embotellada</w:t>
      </w:r>
    </w:p>
    <w:p>
      <w:pPr>
        <w:numPr>
          <w:ilvl w:val="0"/>
          <w:numId w:val="3"/>
        </w:numPr>
      </w:pPr>
      <w:r>
        <w:rPr>
          <w:sz w:val="28"/>
          <w:szCs w:val="28"/>
        </w:rPr>
        <w:t xml:space="preserve">Estimar la intención de compra de una nueva marca de agua embotellada</w:t>
      </w:r>
    </w:p>
    <w:p>
      <w:pPr>
        <w:numPr>
          <w:ilvl w:val="0"/>
          <w:numId w:val="3"/>
        </w:numPr>
      </w:pPr>
      <w:r>
        <w:rPr>
          <w:sz w:val="28"/>
          <w:szCs w:val="28"/>
        </w:rPr>
        <w:t xml:space="preserve">Estimar la aceptación de un nuevo concepto de agua embotellada</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Encuestas presenciales </w:t>
            </w:r>
          </w:p>
        </w:tc>
      </w:tr>
      <w:tr>
        <w:tc>
          <w:tcPr>
            <w:tcW w:w="0" w:type="dxa"/>
          </w:tcPr>
          <w:p>
            <w:r>
              <w:t xml:space="preserve">Temas:</w:t>
            </w:r>
          </w:p>
        </w:tc>
        <w:tc>
          <w:tcPr>
            <w:tcW w:w="0" w:type="dxa"/>
          </w:tcPr>
          <w:p>
            <w:r>
              <w:t xml:space="preserve">Consumo de agua</w:t>
            </w:r>
          </w:p>
        </w:tc>
      </w:tr>
      <w:tr>
        <w:tc>
          <w:tcPr>
            <w:tcW w:w="4000" w:type="dxa"/>
          </w:tcPr>
          <w:p>
            <w:r>
              <w:t xml:space="preserve">Metodología:</w:t>
            </w:r>
          </w:p>
        </w:tc>
        <w:tc>
          <w:tcPr>
            <w:tcW w:w="6000" w:type="dxa"/>
          </w:tcPr>
          <w:p>
            <w:r>
              <w:t xml:space="preserve">Entrevistas Cara A Cara</w:t>
            </w:r>
          </w:p>
        </w:tc>
      </w:tr>
      <w:tr>
        <w:tc>
          <w:tcPr>
            <w:tcW w:w="0" w:type="dxa"/>
          </w:tcPr>
          <w:p>
            <w:r>
              <w:t xml:space="preserve">Universo:</w:t>
            </w:r>
          </w:p>
        </w:tc>
        <w:tc>
          <w:tcPr>
            <w:tcW w:w="0" w:type="dxa"/>
          </w:tcPr>
          <w:p>
            <w:r>
              <w:t xml:space="preserve">Población mayor de edad de estratos 3, 4, 5 y 6 de la ciudad de Bucaramanga y área metropolitana. </w:t>
            </w:r>
          </w:p>
        </w:tc>
      </w:tr>
      <w:tr>
        <w:tc>
          <w:tcPr>
            <w:tcW w:w="0" w:type="dxa"/>
          </w:tcPr>
          <w:p>
            <w:r>
              <w:t xml:space="preserve">Marco estadístico:</w:t>
            </w:r>
          </w:p>
        </w:tc>
        <w:tc>
          <w:tcPr>
            <w:tcW w:w="0" w:type="dxa"/>
          </w:tcPr>
          <w:p>
            <w:r>
              <w:t xml:space="preserve">Cartografía de los municipios seleccionados. </w:t>
            </w:r>
          </w:p>
        </w:tc>
      </w:tr>
      <w:tr>
        <w:tc>
          <w:tcPr>
            <w:tcW w:w="0" w:type="dxa"/>
          </w:tcPr>
          <w:p>
            <w:r>
              <w:t xml:space="preserve">Segmento:</w:t>
            </w:r>
          </w:p>
        </w:tc>
        <w:tc>
          <w:tcPr>
            <w:tcW w:w="0" w:type="dxa"/>
          </w:tcPr>
          <w:p>
            <w:r>
              <w:t xml:space="preserve">Población General Estratos 3, 4, 5 y 6</w:t>
            </w:r>
          </w:p>
        </w:tc>
      </w:tr>
      <w:tr>
        <w:tc>
          <w:tcPr>
            <w:tcW w:w="0" w:type="dxa"/>
          </w:tcPr>
          <w:p>
            <w:r>
              <w:t xml:space="preserve">Muestra:</w:t>
            </w:r>
          </w:p>
        </w:tc>
        <w:tc>
          <w:tcPr>
            <w:tcW w:w="0" w:type="dxa"/>
          </w:tcPr>
          <w:p>
            <w:r>
              <w:t xml:space="preserve">400</w:t>
            </w:r>
          </w:p>
        </w:tc>
      </w:tr>
      <w:tr>
        <w:tc>
          <w:tcPr>
            <w:tcW w:w="0" w:type="dxa"/>
          </w:tcPr>
          <w:p>
            <w:r>
              <w:t xml:space="preserve">Error muestral:</w:t>
            </w:r>
          </w:p>
        </w:tc>
        <w:tc>
          <w:tcPr>
            <w:tcW w:w="0" w:type="dxa"/>
          </w:tcPr>
          <w:p>
            <w:r>
              <w:t xml:space="preserve">5%</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Oskar Fletscher</w:t>
      </w:r>
    </w:p>
    <w:p>
      <w:r>
        <w:rPr>
          <w:sz w:val="24"/>
          <w:szCs w:val="24"/>
        </w:rPr>
        <w:t xml:space="preserve">Director del Estudio</w:t>
      </w:r>
    </w:p>
    <w:p>
      <w:r>
        <w:rPr>
          <w:sz w:val="28"/>
          <w:szCs w:val="28"/>
        </w:rPr>
        <w:t xml:space="preserve">Es ingeniero de sistemas  con especialización en Mercadeo y más de 8 años de experiencia en investigación de mercados. Ha estado a cargo de  numerosas investigaciones, en particular de coordinar las agendas de investigación con clientes del sector de telecomunicaciones (ETB, Telebucaramanga), servicios (Gestarsalud, Prieto &amp; Carrizosa, Sanofi Aventis),  consumo masivo (Nokia, Hyundai, Petrobras), grandes superficies (Homecenter, Falabella y Carrefour) y servicios públicos (Codensa, Gas Natural y Emcali).</w:t>
      </w:r>
    </w:p>
    <w:p>
      <w:pPr>
        <w:jc w:val="left"/>
      </w:pPr>
      <w:r>
        <w:pict>
          <v:shape type="#_x0000_t75" style="width:230px;height:150px">
            <v:imagedata r:id="rId9" o:title=""/>
          </v:shape>
        </w:pict>
      </w:r>
    </w:p>
    <w:p>
      <w:r>
        <w:rPr>
          <w:sz w:val="24"/>
          <w:szCs w:val="24"/>
          <w:b/>
        </w:rPr>
        <w:t xml:space="preserve">Fabricio Alarcón</w:t>
      </w:r>
    </w:p>
    <w:p>
      <w:r>
        <w:rPr>
          <w:sz w:val="24"/>
          <w:szCs w:val="24"/>
        </w:rPr>
        <w:t xml:space="preserve">Asesor Técnico</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Cara A Cara - Población General Estratos 3, 4, 5 y 6</w:t>
            </w:r>
          </w:p>
        </w:tc>
        <w:tc>
          <w:tcPr>
            <w:tcW w:w="2000" w:type="dxa"/>
          </w:tcPr>
          <w:p>
            <w:pPr>
              <w:jc w:val="center"/>
              <w:spacing w:before="100" w:line="240" w:lineRule="auto"/>
            </w:pPr>
            <w:r>
              <w:rPr>
                <w:sz w:val="24"/>
                <w:szCs w:val="24"/>
              </w:rPr>
              <w:t xml:space="preserve">400</w:t>
            </w:r>
          </w:p>
        </w:tc>
        <w:tc>
          <w:tcPr>
            <w:tcW w:w="2000" w:type="dxa"/>
          </w:tcPr>
          <w:p>
            <w:pPr>
              <w:jc w:val="right"/>
              <w:spacing w:before="100" w:line="240" w:lineRule="auto"/>
            </w:pPr>
            <w:r>
              <w:rPr>
                <w:sz w:val="24"/>
                <w:szCs w:val="24"/>
              </w:rPr>
              <w:t xml:space="preserve">$ 31,000</w:t>
            </w:r>
          </w:p>
        </w:tc>
        <w:tc>
          <w:tcPr>
            <w:tcW w:w="2000" w:type="dxa"/>
          </w:tcPr>
          <w:p>
            <w:pPr>
              <w:jc w:val="right"/>
              <w:spacing w:before="100" w:line="240" w:lineRule="auto"/>
            </w:pPr>
            <w:r>
              <w:rPr>
                <w:sz w:val="24"/>
                <w:szCs w:val="24"/>
              </w:rPr>
              <w:t xml:space="preserve">$ 12,400,000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$ 17,400,000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$ 2,784,000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$ 20,184,000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