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SPMG</w:t>
      </w:r>
    </w:p>
    <w:p/>
    <w:tbl>
      <w:tblPr>
        <w:tblStyle w:val="myOwnTableStyle"/>
      </w:tblPr>
      <w:tr>
        <w:trPr>
          <w:trHeight w:val="-1"/>
        </w:trPr>
        <w:tc>
          <w:tcPr>
            <w:tcW w:w="9000" w:type="dxa"/>
          </w:tcPr>
          <w:p>
            <w:r>
              <w:t xml:space="preserve"/>
            </w:r>
          </w:p>
        </w:tc>
      </w:tr>
    </w:tbl>
    <w:p>
      <w:r>
        <w:rPr>
          <w:rStyle w:val="titleStyle"/>
        </w:rPr>
        <w:t xml:space="preserve">Conjoint + Sensibilidad al Precio</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José Abarca</w:t>
            </w:r>
          </w:p>
        </w:tc>
      </w:tr>
      <w:tr>
        <w:trPr>
          <w:trHeight w:val="-330"/>
        </w:trPr>
        <w:tc>
          <w:tcPr>
            <w:tcW w:w="12000" w:type="dxa"/>
          </w:tcPr>
          <w:p>
            <w:r>
              <w:t xml:space="preserve">Director CAMCAR  Latam - Strategic Pricing Management Group</w:t>
            </w:r>
          </w:p>
        </w:tc>
      </w:tr>
      <w:tr>
        <w:trPr>
          <w:trHeight w:val="-330"/>
        </w:trPr>
        <w:tc>
          <w:tcPr>
            <w:tcW w:w="12000" w:type="dxa"/>
          </w:tcPr>
          <w:p>
            <w:r>
              <w:t xml:space="preserve">jabarca@spmgpricing.com </w:t>
            </w:r>
          </w:p>
        </w:tc>
      </w:tr>
      <w:tr>
        <w:trPr>
          <w:trHeight w:val="-330"/>
        </w:trPr>
        <w:tc>
          <w:tcPr>
            <w:tcW w:w="12000" w:type="dxa"/>
          </w:tcPr>
          <w:p>
            <w:r>
              <w:t xml:space="preserve">+506 87 23 82 86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Fabricio Alarcón Jiménez</w:t>
            </w:r>
          </w:p>
        </w:tc>
      </w:tr>
      <w:tr>
        <w:trPr>
          <w:trHeight w:val="-330"/>
        </w:trPr>
        <w:tc>
          <w:tcPr>
            <w:tcW w:w="6000" w:type="dxa"/>
          </w:tcPr>
          <w:p>
            <w:r>
              <w:t xml:space="preserve">Director de Mercadeo</w:t>
            </w:r>
          </w:p>
        </w:tc>
        <w:tc>
          <w:tcPr>
            <w:tcW w:w="6000" w:type="dxa"/>
          </w:tcPr>
          <w:p>
            <w:r>
              <w:t xml:space="preserve">Vicepresidente de marca y medios</w:t>
            </w:r>
          </w:p>
        </w:tc>
      </w:tr>
      <w:tr>
        <w:trPr>
          <w:trHeight w:val="-330"/>
        </w:trPr>
        <w:tc>
          <w:tcPr>
            <w:tcW w:w="6000" w:type="dxa"/>
          </w:tcPr>
          <w:p>
            <w:r>
              <w:t xml:space="preserve">fbolivar@cnccol.com</w:t>
            </w:r>
          </w:p>
        </w:tc>
        <w:tc>
          <w:tcPr>
            <w:tcW w:w="6000" w:type="dxa"/>
          </w:tcPr>
          <w:p>
            <w:r>
              <w:t xml:space="preserve">falarcon@cnccol.com</w:t>
            </w:r>
          </w:p>
        </w:tc>
      </w:tr>
      <w:tr>
        <w:trPr>
          <w:trHeight w:val="-330"/>
        </w:trPr>
        <w:tc>
          <w:tcPr>
            <w:tcW w:w="6000" w:type="dxa"/>
          </w:tcPr>
          <w:p>
            <w:r>
              <w:t xml:space="preserve">(57) 1 3394888 Ext. 2207 - 3132264713</w:t>
            </w:r>
          </w:p>
        </w:tc>
        <w:tc>
          <w:tcPr>
            <w:tcW w:w="6000" w:type="dxa"/>
          </w:tcPr>
          <w:p>
            <w:r>
              <w:t xml:space="preserve">(57) 1 3394888 Ext. 3394887 / 2146 - 3115323799</w:t>
            </w:r>
          </w:p>
        </w:tc>
      </w:tr>
    </w:tbl>
    <w:p/>
    <w:p/>
    <w:p/>
    <w:p/>
    <w:p>
      <w:r>
        <w:rPr/>
        <w:t xml:space="preserve">Bogotá, 23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Llevar a cabo el trabajo de campo de un estudio de Conjoint y de sensibilidad de precios para tres tipos de productos de seguros (Seguros de Autos, Seguros de Hogar y Bolsillo Seguro) </w:t>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Encuestas Cara a Cara de Conjoint Sensibilidad de Precios</w:t>
            </w:r>
          </w:p>
        </w:tc>
      </w:tr>
      <w:tr>
        <w:tc>
          <w:tcPr>
            <w:tcW w:w="0" w:type="dxa"/>
          </w:tcPr>
          <w:p>
            <w:r>
              <w:t xml:space="preserve">Temas:</w:t>
            </w:r>
          </w:p>
        </w:tc>
        <w:tc>
          <w:tcPr>
            <w:tcW w:w="0" w:type="dxa"/>
          </w:tcPr>
          <w:p>
            <w:r>
              <w:t xml:space="preserve">Seguros de Auto, Seguros de Hogar y Bolsillo Seguro</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Personas mayores de edad en las ciudades de Bogotá, Medellín y Cali </w:t>
            </w:r>
          </w:p>
        </w:tc>
      </w:tr>
      <w:tr>
        <w:tc>
          <w:tcPr>
            <w:tcW w:w="0" w:type="dxa"/>
          </w:tcPr>
          <w:p>
            <w:r>
              <w:t xml:space="preserve">Marco estadístico:</w:t>
            </w:r>
          </w:p>
        </w:tc>
        <w:tc>
          <w:tcPr>
            <w:tcW w:w="0" w:type="dxa"/>
          </w:tcPr>
          <w:p>
            <w:r>
              <w:t xml:space="preserve">Cartografía de las ciudades seleccionadas</w:t>
            </w:r>
          </w:p>
        </w:tc>
      </w:tr>
      <w:tr>
        <w:tc>
          <w:tcPr>
            <w:tcW w:w="0" w:type="dxa"/>
          </w:tcPr>
          <w:p>
            <w:r>
              <w:t xml:space="preserve">Segmento:</w:t>
            </w:r>
          </w:p>
        </w:tc>
        <w:tc>
          <w:tcPr>
            <w:tcW w:w="0" w:type="dxa"/>
          </w:tcPr>
          <w:p>
            <w:r>
              <w:t xml:space="preserve">Personas entre los 18 y 45 años de edad, de estratos 3, 4, 5 y 6 en las ciudades de Bogotá, Medellín y Cali</w:t>
            </w:r>
          </w:p>
        </w:tc>
      </w:tr>
      <w:tr>
        <w:tc>
          <w:tcPr>
            <w:tcW w:w="0" w:type="dxa"/>
          </w:tcPr>
          <w:p>
            <w:r>
              <w:t xml:space="preserve">Muestra:</w:t>
            </w:r>
          </w:p>
        </w:tc>
        <w:tc>
          <w:tcPr>
            <w:tcW w:w="0" w:type="dxa"/>
          </w:tcPr>
          <w:p>
            <w:r>
              <w:t xml:space="preserve">900</w:t>
            </w:r>
          </w:p>
        </w:tc>
      </w:tr>
      <w:tr>
        <w:tc>
          <w:tcPr>
            <w:tcW w:w="0" w:type="dxa"/>
          </w:tcPr>
          <w:p>
            <w:r>
              <w:t xml:space="preserve">Error muestral:</w:t>
            </w:r>
          </w:p>
        </w:tc>
        <w:tc>
          <w:tcPr>
            <w:tcW w:w="0" w:type="dxa"/>
          </w:tcPr>
          <w:p>
            <w:r>
              <w:t xml:space="preserve">3%</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Fabricio Alarcón</w:t>
      </w:r>
    </w:p>
    <w:p>
      <w:r>
        <w:rPr>
          <w:sz w:val="24"/>
          <w:szCs w:val="24"/>
        </w:rPr>
        <w:t xml:space="preserve">Director del Estudio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Cara A Cara - Personas entre los 18 y 45 años de edad, de estratos 3, 4, 5 y 6 en las ciudades de Bogotá, Medellín y Cali</w:t>
            </w:r>
          </w:p>
        </w:tc>
        <w:tc>
          <w:tcPr>
            <w:tcW w:w="2000" w:type="dxa"/>
          </w:tcPr>
          <w:p>
            <w:pPr>
              <w:jc w:val="center"/>
              <w:spacing w:before="100" w:line="240" w:lineRule="auto"/>
            </w:pPr>
            <w:r>
              <w:rPr>
                <w:sz w:val="24"/>
                <w:szCs w:val="24"/>
              </w:rPr>
              <w:t xml:space="preserve">900</w:t>
            </w:r>
          </w:p>
        </w:tc>
        <w:tc>
          <w:tcPr>
            <w:tcW w:w="2000" w:type="dxa"/>
          </w:tcPr>
          <w:p>
            <w:pPr>
              <w:jc w:val="right"/>
              <w:spacing w:before="100" w:line="240" w:lineRule="auto"/>
            </w:pPr>
            <w:r>
              <w:rPr>
                <w:sz w:val="24"/>
                <w:szCs w:val="24"/>
              </w:rPr>
              <w:t xml:space="preserve">$ 43,000</w:t>
            </w:r>
          </w:p>
        </w:tc>
        <w:tc>
          <w:tcPr>
            <w:tcW w:w="2000" w:type="dxa"/>
          </w:tcPr>
          <w:p>
            <w:pPr>
              <w:jc w:val="right"/>
              <w:spacing w:before="100" w:line="240" w:lineRule="auto"/>
            </w:pPr>
            <w:r>
              <w:rPr>
                <w:sz w:val="24"/>
                <w:szCs w:val="24"/>
              </w:rPr>
              <w:t xml:space="preserve">$ 38,700,000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$ 43,700,000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$ 6,992,000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$ 50,692,000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