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Havas Media</w:t>
      </w:r>
    </w:p>
    <w:p/>
    <w:tbl>
      <w:tblPr>
        <w:tblStyle w:val="myOwnTableStyle"/>
      </w:tblPr>
      <w:tr>
        <w:trPr>
          <w:trHeight w:val="-1"/>
        </w:trPr>
        <w:tc>
          <w:tcPr>
            <w:tcW w:w="9000" w:type="dxa"/>
          </w:tcPr>
          <w:p>
            <w:r>
              <w:t xml:space="preserve"/>
            </w:r>
          </w:p>
        </w:tc>
      </w:tr>
    </w:tbl>
    <w:p>
      <w:r>
        <w:rPr>
          <w:rStyle w:val="titleStyle"/>
        </w:rPr>
        <w:t xml:space="preserve">EGM Meta</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Mauricio Betancourt</w:t>
            </w:r>
          </w:p>
        </w:tc>
      </w:tr>
      <w:tr>
        <w:trPr>
          <w:trHeight w:val="-330"/>
        </w:trPr>
        <w:tc>
          <w:tcPr>
            <w:tcW w:w="12000" w:type="dxa"/>
          </w:tcPr>
          <w:p>
            <w:r>
              <w:t xml:space="preserve">Ejecutivo de Investigación</w:t>
            </w:r>
          </w:p>
        </w:tc>
      </w:tr>
      <w:tr>
        <w:trPr>
          <w:trHeight w:val="-330"/>
        </w:trPr>
        <w:tc>
          <w:tcPr>
            <w:tcW w:w="12000" w:type="dxa"/>
          </w:tcPr>
          <w:p>
            <w:r>
              <w:t xml:space="preserve">mauricio.betancourt@co.havasmedia.com</w:t>
            </w:r>
          </w:p>
        </w:tc>
      </w:tr>
      <w:tr>
        <w:trPr>
          <w:trHeight w:val="-330"/>
        </w:trPr>
        <w:tc>
          <w:tcPr>
            <w:tcW w:w="12000" w:type="dxa"/>
          </w:tcPr>
          <w:p>
            <w:r>
              <w:t xml:space="preserve">+57 13173010 Ext: 176 -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Fabricio Alarcón Jiménez</w:t>
            </w:r>
          </w:p>
        </w:tc>
      </w:tr>
      <w:tr>
        <w:trPr>
          <w:trHeight w:val="-330"/>
        </w:trPr>
        <w:tc>
          <w:tcPr>
            <w:tcW w:w="6000" w:type="dxa"/>
          </w:tcPr>
          <w:p>
            <w:r>
              <w:t xml:space="preserve">Director de Mercadeo</w:t>
            </w:r>
          </w:p>
        </w:tc>
        <w:tc>
          <w:tcPr>
            <w:tcW w:w="6000" w:type="dxa"/>
          </w:tcPr>
          <w:p>
            <w:r>
              <w:t xml:space="preserve">Vicepresidente de marca y medios</w:t>
            </w:r>
          </w:p>
        </w:tc>
      </w:tr>
      <w:tr>
        <w:trPr>
          <w:trHeight w:val="-330"/>
        </w:trPr>
        <w:tc>
          <w:tcPr>
            <w:tcW w:w="6000" w:type="dxa"/>
          </w:tcPr>
          <w:p>
            <w:r>
              <w:t xml:space="preserve">fbolivar@cnccol.com</w:t>
            </w:r>
          </w:p>
        </w:tc>
        <w:tc>
          <w:tcPr>
            <w:tcW w:w="6000" w:type="dxa"/>
          </w:tcPr>
          <w:p>
            <w:r>
              <w:t xml:space="preserve">falarcon@cnccol.com</w:t>
            </w:r>
          </w:p>
        </w:tc>
      </w:tr>
      <w:tr>
        <w:trPr>
          <w:trHeight w:val="-330"/>
        </w:trPr>
        <w:tc>
          <w:tcPr>
            <w:tcW w:w="6000" w:type="dxa"/>
          </w:tcPr>
          <w:p>
            <w:r>
              <w:t xml:space="preserve">(57) 1 3394888 Ext. 2207 - 3132264713</w:t>
            </w:r>
          </w:p>
        </w:tc>
        <w:tc>
          <w:tcPr>
            <w:tcW w:w="6000" w:type="dxa"/>
          </w:tcPr>
          <w:p>
            <w:r>
              <w:t xml:space="preserve">(57) 1 3394888 Ext. 3394887 / 2146 - 3115323799</w:t>
            </w:r>
          </w:p>
        </w:tc>
      </w:tr>
    </w:tbl>
    <w:p/>
    <w:p/>
    <w:p/>
    <w:p/>
    <w:p>
      <w:r>
        <w:rPr/>
        <w:t xml:space="preserve">Bogotá, 24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Evaluar el consumo de medios (radio, televisión, prensa, revistas, revistas de prensa, internet, cine, publicidad exterior) mediante la metodología de consumo en el último periodo (recordación)  en los 13 principales municipios del departamento del Meta. 
 Evaluar los hábitos de consumo de cada uno de los medios de comunicación en un periodo mayor de tiempo (los últimos 30 días o últimos 6 meses).
 Evaluar el consumo de productos y marcas 
 Establecer las características psicográficas de los entrevistados.
</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Encuestas presenciales en hogares con población general en municipios del departamento del Meta</w:t>
            </w:r>
          </w:p>
        </w:tc>
      </w:tr>
      <w:tr>
        <w:tc>
          <w:tcPr>
            <w:tcW w:w="0" w:type="dxa"/>
          </w:tcPr>
          <w:p>
            <w:r>
              <w:t xml:space="preserve">Temas:</w:t>
            </w:r>
          </w:p>
        </w:tc>
        <w:tc>
          <w:tcPr>
            <w:tcW w:w="0" w:type="dxa"/>
          </w:tcPr>
          <w:p>
            <w:r>
              <w:t xml:space="preserve">Consumo de medios, productos y marcas. </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Población mayor de 18 años en los 13 principales municipios del Meta. </w:t>
            </w:r>
          </w:p>
        </w:tc>
      </w:tr>
      <w:tr>
        <w:tc>
          <w:tcPr>
            <w:tcW w:w="0" w:type="dxa"/>
          </w:tcPr>
          <w:p>
            <w:r>
              <w:t xml:space="preserve">Marco estadístico:</w:t>
            </w:r>
          </w:p>
        </w:tc>
        <w:tc>
          <w:tcPr>
            <w:tcW w:w="0" w:type="dxa"/>
          </w:tcPr>
          <w:p>
            <w:r>
              <w:t xml:space="preserve">Cartografía de los municipios seleccionados </w:t>
            </w:r>
          </w:p>
        </w:tc>
      </w:tr>
      <w:tr>
        <w:tc>
          <w:tcPr>
            <w:tcW w:w="0" w:type="dxa"/>
          </w:tcPr>
          <w:p>
            <w:r>
              <w:t xml:space="preserve">Segmento:</w:t>
            </w:r>
          </w:p>
        </w:tc>
        <w:tc>
          <w:tcPr>
            <w:tcW w:w="0" w:type="dxa"/>
          </w:tcPr>
          <w:p>
            <w:r>
              <w:t xml:space="preserve">Población General</w:t>
            </w:r>
          </w:p>
        </w:tc>
      </w:tr>
      <w:tr>
        <w:tc>
          <w:tcPr>
            <w:tcW w:w="0" w:type="dxa"/>
          </w:tcPr>
          <w:p>
            <w:r>
              <w:t xml:space="preserve">Muestra:</w:t>
            </w:r>
          </w:p>
        </w:tc>
        <w:tc>
          <w:tcPr>
            <w:tcW w:w="0" w:type="dxa"/>
          </w:tcPr>
          <w:p>
            <w:r>
              <w:t xml:space="preserve">1290</w:t>
            </w:r>
          </w:p>
        </w:tc>
      </w:tr>
      <w:tr>
        <w:tc>
          <w:tcPr>
            <w:tcW w:w="0" w:type="dxa"/>
          </w:tcPr>
          <w:p>
            <w:r>
              <w:t xml:space="preserve">Error muestral:</w:t>
            </w:r>
          </w:p>
        </w:tc>
        <w:tc>
          <w:tcPr>
            <w:tcW w:w="0" w:type="dxa"/>
          </w:tcPr>
          <w:p>
            <w:r>
              <w:t xml:space="preserve">3%</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Fabricio Alarcón</w:t>
      </w:r>
    </w:p>
    <w:p>
      <w:r>
        <w:rPr>
          <w:sz w:val="24"/>
          <w:szCs w:val="24"/>
        </w:rPr>
        <w:t xml:space="preserve">Director del Estudio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Cara A Cara - Población General</w:t>
            </w:r>
          </w:p>
        </w:tc>
        <w:tc>
          <w:tcPr>
            <w:tcW w:w="2000" w:type="dxa"/>
          </w:tcPr>
          <w:p>
            <w:pPr>
              <w:jc w:val="center"/>
              <w:spacing w:before="100" w:line="240" w:lineRule="auto"/>
            </w:pPr>
            <w:r>
              <w:rPr>
                <w:sz w:val="24"/>
                <w:szCs w:val="24"/>
              </w:rPr>
              <w:t xml:space="preserve">1,290</w:t>
            </w:r>
          </w:p>
        </w:tc>
        <w:tc>
          <w:tcPr>
            <w:tcW w:w="2000" w:type="dxa"/>
          </w:tcPr>
          <w:p>
            <w:pPr>
              <w:jc w:val="right"/>
              <w:spacing w:before="100" w:line="240" w:lineRule="auto"/>
            </w:pPr>
            <w:r>
              <w:rPr>
                <w:sz w:val="24"/>
                <w:szCs w:val="24"/>
              </w:rPr>
              <w:t xml:space="preserve">$ 93,000</w:t>
            </w:r>
          </w:p>
        </w:tc>
        <w:tc>
          <w:tcPr>
            <w:tcW w:w="2000" w:type="dxa"/>
          </w:tcPr>
          <w:p>
            <w:pPr>
              <w:jc w:val="right"/>
              <w:spacing w:before="100" w:line="240" w:lineRule="auto"/>
            </w:pPr>
            <w:r>
              <w:rPr>
                <w:sz w:val="24"/>
                <w:szCs w:val="24"/>
              </w:rPr>
              <w:t xml:space="preserve">$ 119,970,000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$ 124,970,000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$ 19,995,200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$ 144,965,200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