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Havas Media</w:t>
      </w:r>
    </w:p>
    <w:p/>
    <w:tbl>
      <w:tblPr>
        <w:tblStyle w:val="myOwnTableStyle"/>
      </w:tblPr>
      <w:tr>
        <w:trPr>
          <w:trHeight w:val="-1"/>
        </w:trPr>
        <w:tc>
          <w:tcPr>
            <w:tcW w:w="9000" w:type="dxa"/>
          </w:tcPr>
          <w:p>
            <w:r>
              <w:t xml:space="preserve"/>
            </w:r>
          </w:p>
        </w:tc>
      </w:tr>
    </w:tbl>
    <w:p>
      <w:r>
        <w:rPr>
          <w:rStyle w:val="titleStyle"/>
        </w:rPr>
        <w:t xml:space="preserve">IGR Pacific Rubiales</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Mauricio Betancourt</w:t>
            </w:r>
          </w:p>
        </w:tc>
      </w:tr>
      <w:tr>
        <w:trPr>
          <w:trHeight w:val="-330"/>
        </w:trPr>
        <w:tc>
          <w:tcPr>
            <w:tcW w:w="12000" w:type="dxa"/>
          </w:tcPr>
          <w:p>
            <w:r>
              <w:t xml:space="preserve">Ejecutivo de Investigación</w:t>
            </w:r>
          </w:p>
        </w:tc>
      </w:tr>
      <w:tr>
        <w:trPr>
          <w:trHeight w:val="-330"/>
        </w:trPr>
        <w:tc>
          <w:tcPr>
            <w:tcW w:w="12000" w:type="dxa"/>
          </w:tcPr>
          <w:p>
            <w:r>
              <w:t xml:space="preserve">mauricio.betancourt@co.havasmedia.com</w:t>
            </w:r>
          </w:p>
        </w:tc>
      </w:tr>
      <w:tr>
        <w:trPr>
          <w:trHeight w:val="-330"/>
        </w:trPr>
        <w:tc>
          <w:tcPr>
            <w:tcW w:w="12000" w:type="dxa"/>
          </w:tcPr>
          <w:p>
            <w:r>
              <w:t xml:space="preserve">+57 13173010 Ext: 176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Fabricio Alarcón Jiménez</w:t>
            </w:r>
          </w:p>
        </w:tc>
      </w:tr>
      <w:tr>
        <w:trPr>
          <w:trHeight w:val="-330"/>
        </w:trPr>
        <w:tc>
          <w:tcPr>
            <w:tcW w:w="6000" w:type="dxa"/>
          </w:tcPr>
          <w:p>
            <w:r>
              <w:t xml:space="preserve">Director de Mercadeo</w:t>
            </w:r>
          </w:p>
        </w:tc>
        <w:tc>
          <w:tcPr>
            <w:tcW w:w="6000" w:type="dxa"/>
          </w:tcPr>
          <w:p>
            <w:r>
              <w:t xml:space="preserve">Vicepresidente de marca y medios</w:t>
            </w:r>
          </w:p>
        </w:tc>
      </w:tr>
      <w:tr>
        <w:trPr>
          <w:trHeight w:val="-330"/>
        </w:trPr>
        <w:tc>
          <w:tcPr>
            <w:tcW w:w="6000" w:type="dxa"/>
          </w:tcPr>
          <w:p>
            <w:r>
              <w:t xml:space="preserve">fbolivar@cnccol.com</w:t>
            </w:r>
          </w:p>
        </w:tc>
        <w:tc>
          <w:tcPr>
            <w:tcW w:w="6000" w:type="dxa"/>
          </w:tcPr>
          <w:p>
            <w:r>
              <w:t xml:space="preserve">falarcon@cnccol.com</w:t>
            </w:r>
          </w:p>
        </w:tc>
      </w:tr>
      <w:tr>
        <w:trPr>
          <w:trHeight w:val="-330"/>
        </w:trPr>
        <w:tc>
          <w:tcPr>
            <w:tcW w:w="6000" w:type="dxa"/>
          </w:tcPr>
          <w:p>
            <w:r>
              <w:t xml:space="preserve">(57) 1 3394888 Ext. 2207 - 3132264713</w:t>
            </w:r>
          </w:p>
        </w:tc>
        <w:tc>
          <w:tcPr>
            <w:tcW w:w="6000" w:type="dxa"/>
          </w:tcPr>
          <w:p>
            <w:r>
              <w:t xml:space="preserve">(57) 1 3394888 Ext. 3394887 / 2146 - 3115323799</w:t>
            </w:r>
          </w:p>
        </w:tc>
      </w:tr>
    </w:tbl>
    <w:p/>
    <w:p/>
    <w:p/>
    <w:p/>
    <w:p>
      <w:r>
        <w:rPr/>
        <w:t xml:space="preserve">Bogotá, 24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Para las organizaciones se hace cada vez más crítico establecer su reputación y el posicionamiento que tienen entre sus grupos de interés, para diseñar estrategias efectivas de relacionamiento y comunicación, para descubrir aquellos problemas de reputación que se pueden estar presentando y que no se conocen y para identificar aquellos atributos que son más importantes para la marca en cada una de sus audiencias.</w:t>
      </w:r>
    </w:p>
    <w:p>
      <w:r>
        <w:rPr>
          <w:sz w:val="28"/>
          <w:szCs w:val="28"/>
        </w:rPr>
        <w:t xml:space="preserve"/>
      </w:r>
    </w:p>
    <w:p>
      <w:r>
        <w:rPr>
          <w:sz w:val="28"/>
          <w:szCs w:val="28"/>
        </w:rPr>
        <w:t xml:space="preserve">La implementación del Índice Global de Reputación (IGR) le permitirá a Pacific Rubiales, no sólo conocer el valor final de su reputación, sino cuantificar los componentes de esa reputación corporativa y encontrar los mejores caminos para mejorarla en cada una de las audiencias.</w:t>
      </w:r>
    </w:p>
    <w:p>
      <w:r>
        <w:rPr>
          <w:sz w:val="28"/>
          <w:szCs w:val="28"/>
        </w:rPr>
        <w:t xml:space="preserve"/>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Establecer la reputación de Pacific Rubiales entre sus principales grupos de interés, para poder contar con los elementos que le permitan desarrollar un Sistema de Gestión de la Reputación, con enfoque para cada uno de sus principales grupos interés (Ciudadanos del departamento del Meta y de la ciudad de Bogotá)
</w:t>
      </w:r>
    </w:p>
    <w:p/>
    <w:p>
      <w:r>
        <w:rPr>
          <w:sz w:val="28"/>
          <w:szCs w:val="28"/>
          <w:b/>
        </w:rPr>
        <w:t xml:space="preserve">ESPECIFICOS:</w:t>
      </w:r>
    </w:p>
    <w:p>
      <w:pPr>
        <w:numPr>
          <w:ilvl w:val="0"/>
          <w:numId w:val="3"/>
        </w:numPr>
      </w:pPr>
      <w:r>
        <w:rPr>
          <w:sz w:val="28"/>
          <w:szCs w:val="28"/>
        </w:rPr>
        <w:t xml:space="preserve">Establecer su Visión Reputacional (¿Cómo quiere ser reconocida entre sus grupos de interés?)
</w:t>
      </w:r>
    </w:p>
    <w:p>
      <w:pPr>
        <w:numPr>
          <w:ilvl w:val="0"/>
          <w:numId w:val="3"/>
        </w:numPr>
      </w:pPr>
      <w:r>
        <w:rPr>
          <w:sz w:val="28"/>
          <w:szCs w:val="28"/>
        </w:rPr>
        <w:t xml:space="preserve">Establecer sus grupos de interés más relevantes (para alcanzar su visión reputacional)</w:t>
      </w:r>
    </w:p>
    <w:p>
      <w:pPr>
        <w:numPr>
          <w:ilvl w:val="0"/>
          <w:numId w:val="3"/>
        </w:numPr>
      </w:pPr>
      <w:r>
        <w:rPr>
          <w:sz w:val="28"/>
          <w:szCs w:val="28"/>
        </w:rPr>
        <w:t xml:space="preserve">Priorizar, por orden de importancia, sus diferentes grupos de interés</w:t>
      </w:r>
    </w:p>
    <w:p>
      <w:pPr>
        <w:numPr>
          <w:ilvl w:val="0"/>
          <w:numId w:val="3"/>
        </w:numPr>
      </w:pPr>
      <w:r>
        <w:rPr>
          <w:sz w:val="28"/>
          <w:szCs w:val="28"/>
        </w:rPr>
        <w:t xml:space="preserve">Definir objetivos e indicadores (metas) reputacionales por grupo de interés</w:t>
      </w:r>
    </w:p>
    <w:p>
      <w:pPr>
        <w:numPr>
          <w:ilvl w:val="0"/>
          <w:numId w:val="3"/>
        </w:numPr>
      </w:pPr>
      <w:r>
        <w:rPr>
          <w:sz w:val="28"/>
          <w:szCs w:val="28"/>
        </w:rPr>
        <w:t xml:space="preserve">Identificar y poner en uso información dispersa que pueda contribuir al cálculo de los Índices de Reputación por grupo de interés</w:t>
      </w:r>
    </w:p>
    <w:p>
      <w:pPr>
        <w:numPr>
          <w:ilvl w:val="0"/>
          <w:numId w:val="3"/>
        </w:numPr>
      </w:pPr>
      <w:r>
        <w:rPr>
          <w:sz w:val="28"/>
          <w:szCs w:val="28"/>
        </w:rPr>
        <w:t xml:space="preserve">Identificar sistemas de medición que puedan ser adaptados para el cálculo de sus indicadores reputacionales.</w:t>
      </w:r>
    </w:p>
    <w:p>
      <w:pPr>
        <w:numPr>
          <w:ilvl w:val="0"/>
          <w:numId w:val="3"/>
        </w:numPr>
      </w:pPr>
      <w:r>
        <w:rPr>
          <w:sz w:val="28"/>
          <w:szCs w:val="28"/>
        </w:rPr>
        <w:t xml:space="preserve">Identificar la información adicional que se requiere para el cálculo de los Índices de Reputación por grupo de interés.</w:t>
      </w:r>
    </w:p>
    <w:p>
      <w:pPr>
        <w:numPr>
          <w:ilvl w:val="0"/>
          <w:numId w:val="3"/>
        </w:numPr>
      </w:pPr>
      <w:r>
        <w:rPr>
          <w:sz w:val="28"/>
          <w:szCs w:val="28"/>
        </w:rPr>
        <w:t xml:space="preserve">Identificar la periodicidad con que la información puede estar disponible</w:t>
      </w:r>
    </w:p>
    <w:p>
      <w:pPr>
        <w:numPr>
          <w:ilvl w:val="0"/>
          <w:numId w:val="3"/>
        </w:numPr>
      </w:pPr>
      <w:r>
        <w:rPr>
          <w:sz w:val="28"/>
          <w:szCs w:val="28"/>
        </w:rPr>
        <w:t xml:space="preserve">Calcular, con base en la información disponible, los Índices de Reputación por Grupos de Interés y el Índice Global de Reputación.</w:t>
      </w:r>
    </w:p>
    <w:p>
      <w:pPr>
        <w:numPr>
          <w:ilvl w:val="0"/>
          <w:numId w:val="3"/>
        </w:numPr>
      </w:pPr>
      <w:r>
        <w:rPr>
          <w:sz w:val="28"/>
          <w:szCs w:val="28"/>
        </w:rPr>
        <w:t xml:space="preserve">Construir un Sistema de Gestión de la Reputación con base en un Tablero de Gestión de la Reputación.</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Encuestas telefónicas con ciudadanos </w:t>
            </w:r>
          </w:p>
        </w:tc>
      </w:tr>
      <w:tr>
        <w:tc>
          <w:tcPr>
            <w:tcW w:w="0" w:type="dxa"/>
          </w:tcPr>
          <w:p>
            <w:r>
              <w:t xml:space="preserve">Temas:</w:t>
            </w:r>
          </w:p>
        </w:tc>
        <w:tc>
          <w:tcPr>
            <w:tcW w:w="0" w:type="dxa"/>
          </w:tcPr>
          <w:p>
            <w:r>
              <w:t xml:space="preserve">Reputación Corporativa </w:t>
            </w:r>
          </w:p>
        </w:tc>
      </w:tr>
      <w:tr>
        <w:tc>
          <w:tcPr>
            <w:tcW w:w="4000" w:type="dxa"/>
          </w:tcPr>
          <w:p>
            <w:r>
              <w:t xml:space="preserve">Metodología:</w:t>
            </w:r>
          </w:p>
        </w:tc>
        <w:tc>
          <w:tcPr>
            <w:tcW w:w="6000" w:type="dxa"/>
          </w:tcPr>
          <w:p>
            <w:r>
              <w:t xml:space="preserve">Entrevistas Telefónicas</w:t>
            </w:r>
          </w:p>
        </w:tc>
      </w:tr>
      <w:tr>
        <w:tc>
          <w:tcPr>
            <w:tcW w:w="0" w:type="dxa"/>
          </w:tcPr>
          <w:p>
            <w:r>
              <w:t xml:space="preserve">Universo:</w:t>
            </w:r>
          </w:p>
        </w:tc>
        <w:tc>
          <w:tcPr>
            <w:tcW w:w="0" w:type="dxa"/>
          </w:tcPr>
          <w:p>
            <w:r>
              <w:t xml:space="preserve">Ciudadanos de la ciudad de la ciudad de Bogotá y del departamento del Meta</w:t>
            </w:r>
          </w:p>
        </w:tc>
      </w:tr>
      <w:tr>
        <w:tc>
          <w:tcPr>
            <w:tcW w:w="0" w:type="dxa"/>
          </w:tcPr>
          <w:p>
            <w:r>
              <w:t xml:space="preserve">Marco estadístico:</w:t>
            </w:r>
          </w:p>
        </w:tc>
        <w:tc>
          <w:tcPr>
            <w:tcW w:w="0" w:type="dxa"/>
          </w:tcPr>
          <w:p>
            <w:r>
              <w:t xml:space="preserve">Listados telefónicos de los municipios seleccionados </w:t>
            </w:r>
          </w:p>
        </w:tc>
      </w:tr>
      <w:tr>
        <w:tc>
          <w:tcPr>
            <w:tcW w:w="0" w:type="dxa"/>
          </w:tcPr>
          <w:p>
            <w:r>
              <w:t xml:space="preserve">Segmento:</w:t>
            </w:r>
          </w:p>
        </w:tc>
        <w:tc>
          <w:tcPr>
            <w:tcW w:w="0" w:type="dxa"/>
          </w:tcPr>
          <w:p>
            <w:r>
              <w:t xml:space="preserve">Población General Bogotá</w:t>
            </w:r>
          </w:p>
        </w:tc>
      </w:tr>
      <w:tr>
        <w:tc>
          <w:tcPr>
            <w:tcW w:w="0" w:type="dxa"/>
          </w:tcPr>
          <w:p>
            <w:r>
              <w:t xml:space="preserve">Muestra:</w:t>
            </w:r>
          </w:p>
        </w:tc>
        <w:tc>
          <w:tcPr>
            <w:tcW w:w="0" w:type="dxa"/>
          </w:tcPr>
          <w:p>
            <w:r>
              <w:t xml:space="preserve">380</w:t>
            </w:r>
          </w:p>
        </w:tc>
      </w:tr>
      <w:tr>
        <w:tc>
          <w:tcPr>
            <w:tcW w:w="0" w:type="dxa"/>
          </w:tcPr>
          <w:p>
            <w:r>
              <w:t xml:space="preserve">Error muestral:</w:t>
            </w:r>
          </w:p>
        </w:tc>
        <w:tc>
          <w:tcPr>
            <w:tcW w:w="0" w:type="dxa"/>
          </w:tcPr>
          <w:p>
            <w:r>
              <w:t xml:space="preserve">5%</w:t>
            </w:r>
          </w:p>
        </w:tc>
      </w:tr>
      <w:tr>
        <w:tc>
          <w:tcPr>
            <w:tcW w:w="0" w:type="dxa"/>
          </w:tcPr>
          <w:p>
            <w:r>
              <w:t xml:space="preserve">Segmento:</w:t>
            </w:r>
          </w:p>
        </w:tc>
        <w:tc>
          <w:tcPr>
            <w:tcW w:w="0" w:type="dxa"/>
          </w:tcPr>
          <w:p>
            <w:r>
              <w:t xml:space="preserve">Población General Meta</w:t>
            </w:r>
          </w:p>
        </w:tc>
      </w:tr>
      <w:tr>
        <w:tc>
          <w:tcPr>
            <w:tcW w:w="0" w:type="dxa"/>
          </w:tcPr>
          <w:p>
            <w:r>
              <w:t xml:space="preserve">Muestra:</w:t>
            </w:r>
          </w:p>
        </w:tc>
        <w:tc>
          <w:tcPr>
            <w:tcW w:w="0" w:type="dxa"/>
          </w:tcPr>
          <w:p>
            <w:r>
              <w:t xml:space="preserve">600</w:t>
            </w:r>
          </w:p>
        </w:tc>
      </w:tr>
      <w:tr>
        <w:tc>
          <w:tcPr>
            <w:tcW w:w="0" w:type="dxa"/>
          </w:tcPr>
          <w:p>
            <w:r>
              <w:t xml:space="preserve">Error muestral:</w:t>
            </w:r>
          </w:p>
        </w:tc>
        <w:tc>
          <w:tcPr>
            <w:tcW w:w="0" w:type="dxa"/>
          </w:tcPr>
          <w:p>
            <w:r>
              <w:t xml:space="preserve">4%</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Fabricio Alarcón</w:t>
      </w:r>
    </w:p>
    <w:p>
      <w:r>
        <w:rPr>
          <w:sz w:val="24"/>
          <w:szCs w:val="24"/>
        </w:rPr>
        <w:t xml:space="preserve">Director del Estudio</w:t>
      </w:r>
    </w:p>
    <w:p>
      <w:r>
        <w:rPr>
          <w:sz w:val="28"/>
          <w:szCs w:val="28"/>
        </w:rPr>
        <w:t xml:space="preserve">Tiene más de 10 años de experiencia liderando proyectos en el área de Marca y Medios. Entre otros, ha dirigido el Estudio Continuo de Audiencia de Radio (ECAR), desde su creación en agosto de 2008, y ha estado encargado de más de 10 mediciones del Estudio General de Medios (EGM) como operador de campo. Entre otras cuentas que ha manejado están los estudios de marca y medios para ETB, Cerrejón Coal, Havas Media y Camacol.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Entrevistas Telefónicas - Población General Bogotá</w:t>
            </w:r>
          </w:p>
        </w:tc>
        <w:tc>
          <w:tcPr>
            <w:tcW w:w="2000" w:type="dxa"/>
          </w:tcPr>
          <w:p>
            <w:pPr>
              <w:jc w:val="center"/>
              <w:spacing w:before="100" w:line="240" w:lineRule="auto"/>
            </w:pPr>
            <w:r>
              <w:rPr>
                <w:sz w:val="24"/>
                <w:szCs w:val="24"/>
              </w:rPr>
              <w:t xml:space="preserve">380</w:t>
            </w:r>
          </w:p>
        </w:tc>
        <w:tc>
          <w:tcPr>
            <w:tcW w:w="2000" w:type="dxa"/>
          </w:tcPr>
          <w:p>
            <w:pPr>
              <w:jc w:val="right"/>
              <w:spacing w:before="100" w:line="240" w:lineRule="auto"/>
            </w:pPr>
            <w:r>
              <w:rPr>
                <w:sz w:val="24"/>
                <w:szCs w:val="24"/>
              </w:rPr>
              <w:t xml:space="preserve">$ 30,000</w:t>
            </w:r>
          </w:p>
        </w:tc>
        <w:tc>
          <w:tcPr>
            <w:tcW w:w="2000" w:type="dxa"/>
          </w:tcPr>
          <w:p>
            <w:pPr>
              <w:jc w:val="right"/>
              <w:spacing w:before="100" w:line="240" w:lineRule="auto"/>
            </w:pPr>
            <w:r>
              <w:rPr>
                <w:sz w:val="24"/>
                <w:szCs w:val="24"/>
              </w:rPr>
              <w:t xml:space="preserve">$ 11,400,000</w:t>
            </w:r>
          </w:p>
        </w:tc>
      </w:tr>
      <w:tr>
        <w:tc>
          <w:tcPr>
            <w:tcW w:w="300" w:type="dxa"/>
          </w:tcPr>
          <w:p>
            <w:pPr>
              <w:jc w:val="center"/>
              <w:spacing w:before="100" w:line="240" w:lineRule="auto"/>
            </w:pPr>
            <w:r>
              <w:rPr>
                <w:sz w:val="24"/>
                <w:szCs w:val="24"/>
              </w:rPr>
              <w:t xml:space="preserve">3</w:t>
            </w:r>
          </w:p>
        </w:tc>
        <w:tc>
          <w:tcPr>
            <w:tcW w:w="8000" w:type="dxa"/>
          </w:tcPr>
          <w:p>
            <w:pPr>
              <w:jc w:val="left"/>
              <w:spacing w:before="100" w:line="240" w:lineRule="auto"/>
            </w:pPr>
            <w:r>
              <w:rPr>
                <w:sz w:val="24"/>
                <w:szCs w:val="24"/>
              </w:rPr>
              <w:t xml:space="preserve"> Entrevistas Telefónicas - Población General Meta</w:t>
            </w:r>
          </w:p>
        </w:tc>
        <w:tc>
          <w:tcPr>
            <w:tcW w:w="2000" w:type="dxa"/>
          </w:tcPr>
          <w:p>
            <w:pPr>
              <w:jc w:val="center"/>
              <w:spacing w:before="100" w:line="240" w:lineRule="auto"/>
            </w:pPr>
            <w:r>
              <w:rPr>
                <w:sz w:val="24"/>
                <w:szCs w:val="24"/>
              </w:rPr>
              <w:t xml:space="preserve">600</w:t>
            </w:r>
          </w:p>
        </w:tc>
        <w:tc>
          <w:tcPr>
            <w:tcW w:w="2000" w:type="dxa"/>
          </w:tcPr>
          <w:p>
            <w:pPr>
              <w:jc w:val="right"/>
              <w:spacing w:before="100" w:line="240" w:lineRule="auto"/>
            </w:pPr>
            <w:r>
              <w:rPr>
                <w:sz w:val="24"/>
                <w:szCs w:val="24"/>
              </w:rPr>
              <w:t xml:space="preserve">$ 34,000</w:t>
            </w:r>
          </w:p>
        </w:tc>
        <w:tc>
          <w:tcPr>
            <w:tcW w:w="2000" w:type="dxa"/>
          </w:tcPr>
          <w:p>
            <w:pPr>
              <w:jc w:val="right"/>
              <w:spacing w:before="100" w:line="240" w:lineRule="auto"/>
            </w:pPr>
            <w:r>
              <w:rPr>
                <w:sz w:val="24"/>
                <w:szCs w:val="24"/>
              </w:rPr>
              <w:t xml:space="preserve">$ 20,400,000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$ 36,800,000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$ 5,888,000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$ 42,688,000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9"/>
      <w:footerReference w:type="default" r:id="rId10"/>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b/>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header" Target="header1.xml"/>
  <Relationship Id="rId10"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