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r>
        <w:rPr>
          <w:rStyle w:val="empStyle"/>
        </w:rPr>
        <w:t xml:space="preserve">Havas Media</w:t>
      </w:r>
    </w:p>
    <w:p/>
    <w:tbl>
      <w:tblPr>
        <w:tblStyle w:val="myOwnTableStyle"/>
      </w:tblPr>
      <w:tr>
        <w:trPr>
          <w:trHeight w:val="-1"/>
        </w:trPr>
        <w:tc>
          <w:tcPr>
            <w:tcW w:w="9000" w:type="dxa"/>
          </w:tcPr>
          <w:p>
            <w:r>
              <w:t xml:space="preserve"/>
            </w:r>
          </w:p>
        </w:tc>
      </w:tr>
    </w:tbl>
    <w:p>
      <w:r>
        <w:rPr>
          <w:rStyle w:val="titleStyle"/>
        </w:rPr>
        <w:t xml:space="preserve">Conocimiento de la cultura del Meta</w:t>
      </w:r>
    </w:p>
    <w:p/>
    <w:p/>
    <w:tbl>
      <w:tblPr>
        <w:tblStyle w:val="myOwnTableStyle"/>
      </w:tblPr>
      <w:tr>
        <w:trPr>
          <w:trHeight w:val="-1"/>
        </w:trPr>
        <w:tc>
          <w:tcPr>
            <w:tcW w:w="9000" w:type="dxa"/>
          </w:tcPr>
          <w:p>
            <w:r>
              <w:t xml:space="preserve"/>
            </w:r>
          </w:p>
        </w:tc>
      </w:tr>
    </w:tbl>
    <w:tbl>
      <w:tr>
        <w:trPr>
          <w:trHeight w:val="-330"/>
        </w:trPr>
        <w:tc>
          <w:tcPr>
            <w:tcW w:w="12000" w:type="dxa"/>
          </w:tcPr>
          <w:p>
            <w:r>
              <w:t xml:space="preserve">Presentada a:</w:t>
            </w:r>
          </w:p>
        </w:tc>
      </w:tr>
      <w:tr>
        <w:trPr>
          <w:trHeight w:val="-330"/>
        </w:trPr>
        <w:tc>
          <w:tcPr>
            <w:tcW w:w="12000" w:type="dxa"/>
          </w:tcPr>
          <w:p>
            <w:r>
              <w:t xml:space="preserve">Luis Eduardo Sánchez</w:t>
            </w:r>
          </w:p>
        </w:tc>
      </w:tr>
      <w:tr>
        <w:trPr>
          <w:trHeight w:val="-330"/>
        </w:trPr>
        <w:tc>
          <w:tcPr>
            <w:tcW w:w="12000" w:type="dxa"/>
          </w:tcPr>
          <w:p>
            <w:r>
              <w:t xml:space="preserve">Research Director</w:t>
            </w:r>
          </w:p>
        </w:tc>
      </w:tr>
      <w:tr>
        <w:trPr>
          <w:trHeight w:val="-330"/>
        </w:trPr>
        <w:tc>
          <w:tcPr>
            <w:tcW w:w="12000" w:type="dxa"/>
          </w:tcPr>
          <w:p>
            <w:r>
              <w:t xml:space="preserve">eduardo.sanchez@havasmedia.com  </w:t>
            </w:r>
          </w:p>
        </w:tc>
      </w:tr>
      <w:tr>
        <w:trPr>
          <w:trHeight w:val="-330"/>
        </w:trPr>
        <w:tc>
          <w:tcPr>
            <w:tcW w:w="12000" w:type="dxa"/>
          </w:tcPr>
          <w:p>
            <w:r>
              <w:t xml:space="preserve">+57 13173010 Ext: 282  - </w:t>
            </w:r>
          </w:p>
        </w:tc>
      </w:tr>
    </w:tbl>
    <w:p/>
    <w:tbl>
      <w:tr>
        <w:trPr>
          <w:trHeight w:val="-330"/>
        </w:trPr>
        <w:tc>
          <w:tcPr>
            <w:tcW w:w="6000" w:type="dxa"/>
          </w:tcPr>
          <w:p>
            <w:r>
              <w:t xml:space="preserve">Presentada por:</w:t>
            </w:r>
          </w:p>
        </w:tc>
        <w:tc>
          <w:tcPr>
            <w:tcW w:w="6000" w:type="dxa"/>
          </w:tcPr>
          <w:p>
            <w:r>
              <w:t xml:space="preserve">Revisada por:</w:t>
            </w:r>
          </w:p>
        </w:tc>
      </w:tr>
      <w:tr>
        <w:trPr>
          <w:trHeight w:val="-330"/>
        </w:trPr>
        <w:tc>
          <w:tcPr>
            <w:tcW w:w="6000" w:type="dxa"/>
          </w:tcPr>
          <w:p>
            <w:r>
              <w:t xml:space="preserve">Felipe Bolívar Arango</w:t>
            </w:r>
          </w:p>
        </w:tc>
        <w:tc>
          <w:tcPr>
            <w:tcW w:w="6000" w:type="dxa"/>
          </w:tcPr>
          <w:p>
            <w:r>
              <w:t xml:space="preserve">Fabricio Alarcón Jiménez</w:t>
            </w:r>
          </w:p>
        </w:tc>
      </w:tr>
      <w:tr>
        <w:trPr>
          <w:trHeight w:val="-330"/>
        </w:trPr>
        <w:tc>
          <w:tcPr>
            <w:tcW w:w="6000" w:type="dxa"/>
          </w:tcPr>
          <w:p>
            <w:r>
              <w:t xml:space="preserve">Director de Mercadeo</w:t>
            </w:r>
          </w:p>
        </w:tc>
        <w:tc>
          <w:tcPr>
            <w:tcW w:w="6000" w:type="dxa"/>
          </w:tcPr>
          <w:p>
            <w:r>
              <w:t xml:space="preserve">Vicepresidente de marca y medios</w:t>
            </w:r>
          </w:p>
        </w:tc>
      </w:tr>
      <w:tr>
        <w:trPr>
          <w:trHeight w:val="-330"/>
        </w:trPr>
        <w:tc>
          <w:tcPr>
            <w:tcW w:w="6000" w:type="dxa"/>
          </w:tcPr>
          <w:p>
            <w:r>
              <w:t xml:space="preserve">fbolivar@cnccol.com</w:t>
            </w:r>
          </w:p>
        </w:tc>
        <w:tc>
          <w:tcPr>
            <w:tcW w:w="6000" w:type="dxa"/>
          </w:tcPr>
          <w:p>
            <w:r>
              <w:t xml:space="preserve">falarcon@cnccol.com</w:t>
            </w:r>
          </w:p>
        </w:tc>
      </w:tr>
      <w:tr>
        <w:trPr>
          <w:trHeight w:val="-330"/>
        </w:trPr>
        <w:tc>
          <w:tcPr>
            <w:tcW w:w="6000" w:type="dxa"/>
          </w:tcPr>
          <w:p>
            <w:r>
              <w:t xml:space="preserve">(57) 1 3394888 Ext. 2207 - 3132264713</w:t>
            </w:r>
          </w:p>
        </w:tc>
        <w:tc>
          <w:tcPr>
            <w:tcW w:w="6000" w:type="dxa"/>
          </w:tcPr>
          <w:p>
            <w:r>
              <w:t xml:space="preserve">(57) 1 3394888 Ext. 3394887 / 2146 - 3115323799</w:t>
            </w:r>
          </w:p>
        </w:tc>
      </w:tr>
    </w:tbl>
    <w:p/>
    <w:p/>
    <w:p/>
    <w:p/>
    <w:p>
      <w:r>
        <w:rPr/>
        <w:t xml:space="preserve">Bogotá, 26 de julio de 2013</w:t>
      </w:r>
    </w:p>
    <w:p>
      <w:pPr>
        <w:jc w:val="left"/>
      </w:pPr>
      <w:r>
        <w:pict>
          <v:shape type="#_x0000_t75" style="width:690px;height:69px">
            <v:imagedata r:id="rId7" o:title=""/>
          </v:shape>
        </w:pic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p/>
    <w:p>
      <w:r>
        <w:rPr>
          <w:sz w:val="42"/>
          <w:szCs w:val="42"/>
          <w:b/>
        </w:rPr>
        <w:t xml:space="preserve">investigación + conversación = acción</w:t>
      </w:r>
    </w:p>
    <w:p/>
    <w:p/>
    <w:p/>
    <w:p>
      <w:r>
        <w:rPr>
          <w:sz w:val="28"/>
          <w:szCs w:val="28"/>
        </w:rPr>
        <w:t xml:space="preserve">El Centro Nacional de Consultoría es una firma de investigación y consultoría, centrada en la creación de valor a través de la escucha generosa de sus necesidades, el estudio cuidadoso de sus problemas y el desarrollo de soluciones comercialmente viables que les garanticen el progreso.</w:t>
      </w:r>
    </w:p>
    <w:p>
      <w:r>
        <w:rPr>
          <w:sz w:val="28"/>
          <w:szCs w:val="28"/>
        </w:rPr>
        <w:t xml:space="preserve">El Centro se compromete con un nuevo liderazgo de servicio construido sobre cuatro dimensiones: el sentido de realidad, la ética, la visión y el coraje para hacer siempre la tarea.</w:t>
      </w:r>
    </w:p>
    <w:p>
      <w:r>
        <w:br w:type="page"/>
      </w:r>
    </w:p>
    <w:tbl>
      <w:tr>
        <w:tc>
          <w:tcPr>
            <w:tcW w:w="5000" w:type="dxa"/>
            <w:vAlign w:val="center"/>
          </w:tcPr>
          <w:p>
            <w:r>
              <w:rPr>
                <w:color w:val="999999"/>
                <w:sz w:val="24"/>
                <w:szCs w:val="24"/>
              </w:rPr>
              <w:t xml:space="preserve"/>
            </w:r>
          </w:p>
        </w:tc>
        <w:tc>
          <w:tcPr>
            <w:tcW w:w="1500" w:type="dxa"/>
            <w:vAlign w:val="center"/>
          </w:tcPr>
          <w:p>
            <w:r>
              <w:rPr>
                <w:color w:val="4B9700"/>
                <w:sz w:val="24"/>
                <w:szCs w:val="24"/>
                <w:b/>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CONTEXTO</w:t>
      </w:r>
    </w:p>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4B9700"/>
                <w:sz w:val="24"/>
                <w:szCs w:val="24"/>
                <w:b/>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OBJETIVOS</w:t>
      </w:r>
    </w:p>
    <w:p/>
    <w:p>
      <w:r>
        <w:rPr>
          <w:sz w:val="28"/>
          <w:szCs w:val="28"/>
          <w:b/>
        </w:rPr>
        <w:t xml:space="preserve">GENERAL:</w:t>
      </w:r>
    </w:p>
    <w:p>
      <w:r>
        <w:rPr>
          <w:sz w:val="28"/>
          <w:szCs w:val="28"/>
        </w:rPr>
        <w:t xml:space="preserve">Entender los aspectos principales de la cultura de los habitantes del departamento del Meta. </w:t>
      </w:r>
    </w:p>
    <w:p/>
    <w:p>
      <w:r>
        <w:rPr>
          <w:sz w:val="28"/>
          <w:szCs w:val="28"/>
          <w:b/>
        </w:rPr>
        <w:t xml:space="preserve">ESPECIFICOS:</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METODOLOGIAS</w:t>
      </w:r>
    </w:p>
    <w:p/>
    <w:p/>
    <w:tbl>
      <w:tr>
        <w:tc>
          <w:tcPr>
            <w:tcW w:w="0" w:type="dxa"/>
          </w:tcPr>
          <w:p>
            <w:r>
              <w:t xml:space="preserve">Título:</w:t>
            </w:r>
          </w:p>
        </w:tc>
        <w:tc>
          <w:tcPr>
            <w:tcW w:w="0" w:type="dxa"/>
          </w:tcPr>
          <w:p>
            <w:r>
              <w:rPr>
                <w:color w:val="333333"/>
                <w:sz w:val="24"/>
                <w:szCs w:val="24"/>
                <w:b/>
              </w:rPr>
              <w:t xml:space="preserve">Etnogracias con familias del Meta</w:t>
            </w:r>
          </w:p>
        </w:tc>
      </w:tr>
      <w:tr>
        <w:tc>
          <w:tcPr>
            <w:tcW w:w="0" w:type="dxa"/>
          </w:tcPr>
          <w:p>
            <w:r>
              <w:t xml:space="preserve">Temas:</w:t>
            </w:r>
          </w:p>
        </w:tc>
        <w:tc>
          <w:tcPr>
            <w:tcW w:w="0" w:type="dxa"/>
          </w:tcPr>
          <w:p>
            <w:r>
              <w:t xml:space="preserve">Cultura </w:t>
            </w:r>
          </w:p>
        </w:tc>
      </w:tr>
      <w:tr>
        <w:tc>
          <w:tcPr>
            <w:tcW w:w="4000" w:type="dxa"/>
          </w:tcPr>
          <w:p>
            <w:r>
              <w:t xml:space="preserve">Metodología:</w:t>
            </w:r>
          </w:p>
        </w:tc>
        <w:tc>
          <w:tcPr>
            <w:tcW w:w="6000" w:type="dxa"/>
          </w:tcPr>
          <w:p>
            <w:r>
              <w:t xml:space="preserve">Etnografía</w:t>
            </w:r>
          </w:p>
        </w:tc>
      </w:tr>
      <w:tr>
        <w:tc>
          <w:tcPr>
            <w:tcW w:w="0" w:type="dxa"/>
          </w:tcPr>
          <w:p>
            <w:r>
              <w:t xml:space="preserve">Segmento:</w:t>
            </w:r>
          </w:p>
        </w:tc>
        <w:tc>
          <w:tcPr>
            <w:tcW w:w="0" w:type="dxa"/>
          </w:tcPr>
          <w:p>
            <w:r>
              <w:t xml:space="preserve">Etnográfias </w:t>
            </w:r>
          </w:p>
        </w:tc>
      </w:tr>
      <w:tr>
        <w:tc>
          <w:tcPr>
            <w:tcW w:w="0" w:type="dxa"/>
          </w:tcPr>
          <w:p>
            <w:r>
              <w:t xml:space="preserve">Muestra:</w:t>
            </w:r>
          </w:p>
        </w:tc>
        <w:tc>
          <w:tcPr>
            <w:tcW w:w="0" w:type="dxa"/>
          </w:tcPr>
          <w:p>
            <w:r>
              <w:t xml:space="preserve">39</w:t>
            </w:r>
          </w:p>
        </w:tc>
      </w:tr>
      <w:tr>
        <w:tc>
          <w:tcPr>
            <w:tcW w:w="0" w:type="dxa"/>
          </w:tcPr>
          <w:p>
            <w:r>
              <w:t xml:space="preserve"/>
            </w:r>
          </w:p>
        </w:tc>
        <w:tc>
          <w:tcPr>
            <w:tcW w:w="0" w:type="dxa"/>
          </w:tcPr>
          <w:p>
            <w:r>
              <w:t xml:space="preserve"/>
            </w:r>
          </w:p>
        </w:tc>
      </w:tr>
    </w:tbl>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CALENDARIO</w:t>
      </w:r>
    </w:p>
    <w:tbl>
      <w:tblPr>
        <w:tblStyle w:val="myOwnTableStyle"/>
      </w:tblPr>
      <w:tr>
        <w:trPr>
          <w:trHeight w:val="600"/>
        </w:trPr>
        <w:tc>
          <w:tcPr>
            <w:tcW w:w="6000" w:type="dxa"/>
            <w:vAlign w:val="center"/>
          </w:tcPr>
          <w:p>
            <w:r>
              <w:rPr>
                <w:sz w:val="22"/>
                <w:szCs w:val="22"/>
                <w:b/>
              </w:rPr>
              <w:t xml:space="preserve">Actividades</w:t>
            </w:r>
          </w:p>
        </w:tc>
        <w:tc>
          <w:tcPr>
            <w:tcW w:w="2000" w:type="dxa"/>
            <w:vAlign w:val="center"/>
          </w:tcPr>
          <w:p>
            <w:pPr>
              <w:jc w:val="center"/>
              <w:spacing w:before="20" w:line="270" w:lineRule="auto"/>
            </w:pPr>
            <w:r>
              <w:rPr>
                <w:sz w:val="22"/>
                <w:szCs w:val="22"/>
                <w:b/>
              </w:rPr>
              <w:t xml:space="preserve">Responsable</w:t>
            </w:r>
          </w:p>
        </w:tc>
        <w:tc>
          <w:tcPr>
            <w:tcW w:w="500" w:type="dxa"/>
            <w:vAlign w:val="center"/>
          </w:tcPr>
          <w:p>
            <w:pPr>
              <w:jc w:val="center"/>
              <w:spacing w:before="20" w:line="270" w:lineRule="auto"/>
            </w:pPr>
            <w:r>
              <w:rPr>
                <w:sz w:val="22"/>
                <w:szCs w:val="22"/>
                <w:b/>
              </w:rPr>
              <w:t xml:space="preserve">1</w:t>
            </w:r>
          </w:p>
        </w:tc>
        <w:tc>
          <w:tcPr>
            <w:tcW w:w="500" w:type="dxa"/>
            <w:vAlign w:val="center"/>
          </w:tcPr>
          <w:p>
            <w:pPr>
              <w:jc w:val="center"/>
              <w:spacing w:before="20" w:line="270" w:lineRule="auto"/>
            </w:pPr>
            <w:r>
              <w:rPr>
                <w:sz w:val="22"/>
                <w:szCs w:val="22"/>
                <w:b/>
              </w:rPr>
              <w:t xml:space="preserve">2</w:t>
            </w:r>
          </w:p>
        </w:tc>
        <w:tc>
          <w:tcPr>
            <w:tcW w:w="500" w:type="dxa"/>
            <w:vAlign w:val="center"/>
          </w:tcPr>
          <w:p>
            <w:pPr>
              <w:jc w:val="center"/>
              <w:spacing w:before="20" w:line="270" w:lineRule="auto"/>
            </w:pPr>
            <w:r>
              <w:rPr>
                <w:sz w:val="22"/>
                <w:szCs w:val="22"/>
                <w:b/>
              </w:rPr>
              <w:t xml:space="preserve">3</w:t>
            </w:r>
          </w:p>
        </w:tc>
        <w:tc>
          <w:tcPr>
            <w:tcW w:w="500" w:type="dxa"/>
            <w:vAlign w:val="center"/>
          </w:tcPr>
          <w:p>
            <w:pPr>
              <w:jc w:val="center"/>
              <w:spacing w:before="20" w:line="270" w:lineRule="auto"/>
            </w:pPr>
            <w:r>
              <w:rPr>
                <w:sz w:val="22"/>
                <w:szCs w:val="22"/>
                <w:b/>
              </w:rPr>
              <w:t xml:space="preserve">4</w:t>
            </w:r>
          </w:p>
        </w:tc>
        <w:tc>
          <w:tcPr>
            <w:tcW w:w="500" w:type="dxa"/>
            <w:vAlign w:val="center"/>
          </w:tcPr>
          <w:p>
            <w:pPr>
              <w:jc w:val="center"/>
              <w:spacing w:before="20" w:line="270" w:lineRule="auto"/>
            </w:pPr>
            <w:r>
              <w:rPr>
                <w:sz w:val="22"/>
                <w:szCs w:val="22"/>
                <w:b/>
              </w:rPr>
              <w:t xml:space="preserve">5</w:t>
            </w:r>
          </w:p>
        </w:tc>
        <w:tc>
          <w:tcPr>
            <w:tcW w:w="500" w:type="dxa"/>
            <w:vAlign w:val="center"/>
          </w:tcPr>
          <w:p>
            <w:pPr>
              <w:jc w:val="center"/>
              <w:spacing w:before="20" w:line="270" w:lineRule="auto"/>
            </w:pPr>
            <w:r>
              <w:rPr>
                <w:sz w:val="22"/>
                <w:szCs w:val="22"/>
                <w:b/>
              </w:rPr>
              <w:t xml:space="preserve">6</w:t>
            </w:r>
          </w:p>
        </w:tc>
        <w:tc>
          <w:tcPr>
            <w:tcW w:w="500" w:type="dxa"/>
            <w:vAlign w:val="center"/>
          </w:tcPr>
          <w:p>
            <w:pPr>
              <w:jc w:val="center"/>
              <w:spacing w:before="20" w:line="270" w:lineRule="auto"/>
            </w:pPr>
            <w:r>
              <w:rPr>
                <w:sz w:val="22"/>
                <w:szCs w:val="22"/>
                <w:b/>
              </w:rPr>
              <w:t xml:space="preserve">7</w:t>
            </w:r>
          </w:p>
        </w:tc>
        <w:tc>
          <w:tcPr>
            <w:tcW w:w="500" w:type="dxa"/>
            <w:vAlign w:val="center"/>
          </w:tcPr>
          <w:p>
            <w:pPr>
              <w:jc w:val="center"/>
              <w:spacing w:before="20" w:line="270" w:lineRule="auto"/>
            </w:pPr>
            <w:r>
              <w:rPr>
                <w:sz w:val="22"/>
                <w:szCs w:val="22"/>
                <w:b/>
              </w:rPr>
              <w:t xml:space="preserve">8</w:t>
            </w:r>
          </w:p>
        </w:tc>
        <w:tc>
          <w:tcPr>
            <w:tcW w:w="500" w:type="dxa"/>
            <w:vAlign w:val="center"/>
          </w:tcPr>
          <w:p>
            <w:pPr>
              <w:jc w:val="center"/>
              <w:spacing w:before="20" w:line="270" w:lineRule="auto"/>
            </w:pPr>
            <w:r>
              <w:rPr>
                <w:sz w:val="22"/>
                <w:szCs w:val="22"/>
                <w:b/>
              </w:rPr>
              <w:t xml:space="preserve">9</w:t>
            </w:r>
          </w:p>
        </w:tc>
        <w:tc>
          <w:tcPr>
            <w:tcW w:w="500" w:type="dxa"/>
            <w:vAlign w:val="center"/>
          </w:tcPr>
          <w:p>
            <w:pPr>
              <w:jc w:val="center"/>
              <w:spacing w:before="20" w:line="270" w:lineRule="auto"/>
            </w:pPr>
            <w:r>
              <w:rPr>
                <w:sz w:val="22"/>
                <w:szCs w:val="22"/>
                <w:b/>
              </w:rPr>
              <w:t xml:space="preserve">10</w:t>
            </w:r>
          </w:p>
        </w:tc>
      </w:tr>
      <w:tr>
        <w:tc>
          <w:tcPr>
            <w:tcW w:w="6000" w:type="dxa"/>
          </w:tcPr>
          <w:p>
            <w:r>
              <w:rPr>
                <w:sz w:val="18"/>
                <w:szCs w:val="18"/>
              </w:rPr>
              <w:t xml:space="preserve">Reuniones para ajustar objetivos, tiempos y otros</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Entrega de materiales para el desarrollo del estudio</w:t>
            </w:r>
          </w:p>
        </w:tc>
        <w:tc>
          <w:tcPr>
            <w:tcW w:w="2000" w:type="dxa"/>
            <w:vAlign w:val="center"/>
          </w:tcPr>
          <w:p>
            <w:pPr>
              <w:jc w:val="center"/>
              <w:spacing w:before="20" w:line="270" w:lineRule="auto"/>
            </w:pPr>
            <w:r>
              <w:rPr>
                <w:sz w:val="18"/>
                <w:szCs w:val="18"/>
              </w:rPr>
              <w:t xml:space="preserve">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Elaboración de instrumentos de recolección</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Aprobación De Instrumento de recolección y aprobación de análisis específicos a desarrollar</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Recolección de la información</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Procesamiento y análisis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r>
      <w:tr>
        <w:tc>
          <w:tcPr>
            <w:tcW w:w="6000" w:type="dxa"/>
          </w:tcPr>
          <w:p>
            <w:r>
              <w:rPr>
                <w:sz w:val="18"/>
                <w:szCs w:val="18"/>
              </w:rPr>
              <w:t xml:space="preserve">Entrega de resultados informes y otros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r>
    </w:tbl>
    <w:p/>
    <w:p>
      <w:r>
        <w:rPr>
          <w:sz w:val="28"/>
          <w:szCs w:val="28"/>
        </w:rPr>
        <w:t xml:space="preserve">Procesamiento y análisis incluye los procesos de elaboración de programas de captura, digitación de la información, crítica y codificación de preguntas abiertas, generación de tabulados y otros análisis estadísticos que se consideren convenientes.</w:t>
      </w:r>
    </w:p>
    <w:p>
      <w:r>
        <w:rPr>
          <w:sz w:val="28"/>
          <w:szCs w:val="28"/>
          <w:b/>
        </w:rPr>
        <w:t xml:space="preserve">Ruta Crítica:</w:t>
      </w:r>
    </w:p>
    <w:p>
      <w:r>
        <w:rPr>
          <w:sz w:val="28"/>
          <w:szCs w:val="28"/>
        </w:rPr>
        <w:t xml:space="preserve">La ruta crítica es la secuencia de los elementos terminales del proyecto que determinan el tiempo en el que es posible completar el proyecto. La duración de la ruta crítica determina la duración del proyecto entero. Cualquier retraso en un elemento de la ruta crítica afecta la fecha de terminación planeada. Los pasos de la ruta crítica son los siguientes:</w:t>
      </w:r>
    </w:p>
    <w:p>
      <w:pPr>
        <w:numPr>
          <w:ilvl w:val="0"/>
          <w:numId w:val="3"/>
        </w:numPr>
      </w:pPr>
      <w:r>
        <w:rPr>
          <w:sz w:val="28"/>
          <w:szCs w:val="28"/>
        </w:rPr>
        <w:t xml:space="preserve">El proceso de planeación en donde se elaboran los formularios, las bases de datos y se revisan los objetivos del proyecto.</w:t>
      </w:r>
    </w:p>
    <w:p>
      <w:pPr>
        <w:numPr>
          <w:ilvl w:val="0"/>
          <w:numId w:val="3"/>
        </w:numPr>
      </w:pPr>
      <w:r>
        <w:rPr>
          <w:sz w:val="28"/>
          <w:szCs w:val="28"/>
        </w:rPr>
        <w:t xml:space="preserve">Una vez aprobados los formularios y guías (todos), las bases de datos, listados y sus muestras se realiza el entrenamiento a encuestadores y se prueban en campo dando inicio a la etapa de recolección de la información (Trabajo de Campo).</w:t>
      </w:r>
    </w:p>
    <w:p>
      <w:pPr>
        <w:numPr>
          <w:ilvl w:val="0"/>
          <w:numId w:val="3"/>
        </w:numPr>
      </w:pPr>
      <w:r>
        <w:rPr>
          <w:sz w:val="28"/>
          <w:szCs w:val="28"/>
        </w:rPr>
        <w:t xml:space="preserve">Simultáneamente se elaboran los programas de captura y procesamiento, se critican, codifican y digitan las encuestas, a medida que se va realizando el trabajo de campo.</w:t>
      </w:r>
    </w:p>
    <w:p>
      <w:pPr>
        <w:numPr>
          <w:ilvl w:val="0"/>
          <w:numId w:val="3"/>
        </w:numPr>
      </w:pPr>
      <w:r>
        <w:rPr>
          <w:sz w:val="28"/>
          <w:szCs w:val="28"/>
        </w:rPr>
        <w:t xml:space="preserve">Una vez terminado la recolección y de digitar todas las encuestas se inicia el procesamiento, generando tablas de tabulación. Por último, con ellas se analizan los resultados y graficados en una presentación de ppt.</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EQUIPO DE TRABAJO</w:t>
      </w:r>
    </w:p>
    <w:p>
      <w:pPr>
        <w:jc w:val="left"/>
      </w:pPr>
      <w:r>
        <w:pict>
          <v:shape type="#_x0000_t75" style="width:230px;height:150px">
            <v:imagedata r:id="rId8" o:title=""/>
          </v:shape>
        </w:pict>
      </w:r>
    </w:p>
    <w:p>
      <w:r>
        <w:rPr>
          <w:sz w:val="24"/>
          <w:szCs w:val="24"/>
          <w:b/>
        </w:rPr>
        <w:t xml:space="preserve">Fabricio Alarcón</w:t>
      </w:r>
    </w:p>
    <w:p>
      <w:r>
        <w:rPr>
          <w:sz w:val="24"/>
          <w:szCs w:val="24"/>
        </w:rPr>
        <w:t xml:space="preserve">Director del Estudio</w:t>
      </w:r>
    </w:p>
    <w:p>
      <w:r>
        <w:rPr>
          <w:sz w:val="28"/>
          <w:szCs w:val="28"/>
        </w:rPr>
        <w:t xml:space="preserve">Tiene más de 10 años de experiencia liderando proyectos en el área de Marca y Medios. Entre otros, ha dirigido el Estudio Continuo de Audiencia de Radio (ECAR), desde su creación en agosto de 2008, y ha estado encargado de más de 10 mediciones del Estudio General de Medios (EGM) como operador de campo. Entre otras cuentas que ha manejado están los estudios de marca y medios para ETB, Cerrejón Coal, Havas Media y Camacol. </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INVERSIÓN</w:t>
      </w:r>
    </w:p>
    <w:tbl>
      <w:tblPr>
        <w:tblStyle w:val="myOwnTableStyle"/>
      </w:tblPr>
      <w:tr>
        <w:trPr>
          <w:trHeight w:val="300"/>
        </w:trPr>
        <w:tc>
          <w:tcPr>
            <w:tcW w:w="100" w:type="dxa"/>
          </w:tcPr>
          <w:p>
            <w:pPr>
              <w:jc w:val="center"/>
              <w:spacing w:before="200" w:line="270" w:lineRule="auto"/>
            </w:pPr>
            <w:r>
              <w:rPr>
                <w:sz w:val="22"/>
                <w:szCs w:val="22"/>
                <w:b/>
              </w:rPr>
              <w:t xml:space="preserve">No.</w:t>
            </w:r>
          </w:p>
        </w:tc>
        <w:tc>
          <w:tcPr>
            <w:tcW w:w="8000" w:type="dxa"/>
          </w:tcPr>
          <w:p>
            <w:pPr>
              <w:jc w:val="left"/>
              <w:spacing w:before="200" w:line="270" w:lineRule="auto"/>
            </w:pPr>
            <w:r>
              <w:rPr>
                <w:sz w:val="22"/>
                <w:szCs w:val="22"/>
                <w:b/>
              </w:rPr>
              <w:t xml:space="preserve"> Descripción</w:t>
            </w:r>
          </w:p>
        </w:tc>
        <w:tc>
          <w:tcPr>
            <w:tcW w:w="2000" w:type="dxa"/>
          </w:tcPr>
          <w:p>
            <w:pPr>
              <w:jc w:val="center"/>
              <w:spacing w:before="200" w:line="270" w:lineRule="auto"/>
            </w:pPr>
            <w:r>
              <w:rPr>
                <w:sz w:val="22"/>
                <w:szCs w:val="22"/>
                <w:b/>
              </w:rPr>
              <w:t xml:space="preserve">Cantidad</w:t>
            </w:r>
          </w:p>
        </w:tc>
        <w:tc>
          <w:tcPr>
            <w:tcW w:w="2000" w:type="dxa"/>
          </w:tcPr>
          <w:p>
            <w:pPr>
              <w:jc w:val="center"/>
              <w:spacing w:before="200" w:line="270" w:lineRule="auto"/>
            </w:pPr>
            <w:r>
              <w:rPr>
                <w:sz w:val="22"/>
                <w:szCs w:val="22"/>
                <w:b/>
              </w:rPr>
              <w:t xml:space="preserve">Valor Unit.</w:t>
            </w:r>
          </w:p>
        </w:tc>
        <w:tc>
          <w:tcPr>
            <w:tcW w:w="2000" w:type="dxa"/>
          </w:tcPr>
          <w:p>
            <w:pPr>
              <w:jc w:val="center"/>
              <w:spacing w:before="200" w:line="270" w:lineRule="auto"/>
            </w:pPr>
            <w:r>
              <w:rPr>
                <w:sz w:val="22"/>
                <w:szCs w:val="22"/>
                <w:b/>
              </w:rPr>
              <w:t xml:space="preserve">Valor Total</w:t>
            </w:r>
          </w:p>
        </w:tc>
      </w:tr>
      <w:tr>
        <w:tc>
          <w:tcPr>
            <w:tcW w:w="300" w:type="dxa"/>
          </w:tcPr>
          <w:p>
            <w:pPr>
              <w:jc w:val="center"/>
              <w:spacing w:before="100" w:line="240" w:lineRule="auto"/>
            </w:pPr>
            <w:r>
              <w:rPr>
                <w:sz w:val="24"/>
                <w:szCs w:val="24"/>
              </w:rPr>
              <w:t xml:space="preserve">1</w:t>
            </w:r>
          </w:p>
        </w:tc>
        <w:tc>
          <w:tcPr>
            <w:tcW w:w="8000" w:type="dxa"/>
          </w:tcPr>
          <w:p>
            <w:r>
              <w:rPr>
                <w:sz w:val="24"/>
                <w:szCs w:val="24"/>
              </w:rPr>
              <w:t xml:space="preserve"> Dirección de estudios</w:t>
            </w:r>
          </w:p>
        </w:tc>
        <w:tc>
          <w:tcPr>
            <w:tcW w:w="2000" w:type="dxa"/>
          </w:tcPr>
          <w:p>
            <w:pPr>
              <w:jc w:val="center"/>
              <w:spacing w:before="100" w:line="240" w:lineRule="auto"/>
            </w:pPr>
            <w:r>
              <w:rPr>
                <w:sz w:val="24"/>
                <w:szCs w:val="24"/>
              </w:rPr>
              <w:t xml:space="preserve">1</w:t>
            </w:r>
          </w:p>
        </w:tc>
        <w:tc>
          <w:tcPr>
            <w:tcW w:w="2000" w:type="dxa"/>
          </w:tcPr>
          <w:p>
            <w:pPr>
              <w:jc w:val="right"/>
              <w:spacing w:before="100" w:line="240" w:lineRule="auto"/>
            </w:pPr>
            <w:r>
              <w:rPr>
                <w:sz w:val="24"/>
                <w:szCs w:val="24"/>
              </w:rPr>
              <w:t xml:space="preserve">$ 5,000,000 </w:t>
            </w:r>
          </w:p>
        </w:tc>
        <w:tc>
          <w:tcPr>
            <w:tcW w:w="2000" w:type="dxa"/>
          </w:tcPr>
          <w:p>
            <w:pPr>
              <w:jc w:val="right"/>
              <w:spacing w:before="100" w:line="240" w:lineRule="auto"/>
            </w:pPr>
            <w:r>
              <w:rPr>
                <w:sz w:val="24"/>
                <w:szCs w:val="24"/>
              </w:rPr>
              <w:t xml:space="preserve">$ 5,000,000 </w:t>
            </w:r>
          </w:p>
        </w:tc>
      </w:tr>
      <w:tr>
        <w:tc>
          <w:tcPr>
            <w:tcW w:w="300" w:type="dxa"/>
          </w:tcPr>
          <w:p>
            <w:pPr>
              <w:jc w:val="center"/>
              <w:spacing w:before="100" w:line="240" w:lineRule="auto"/>
            </w:pPr>
            <w:r>
              <w:rPr>
                <w:sz w:val="24"/>
                <w:szCs w:val="24"/>
              </w:rPr>
              <w:t xml:space="preserve">2</w:t>
            </w:r>
          </w:p>
        </w:tc>
        <w:tc>
          <w:tcPr>
            <w:tcW w:w="8000" w:type="dxa"/>
          </w:tcPr>
          <w:p>
            <w:pPr>
              <w:jc w:val="left"/>
              <w:spacing w:before="100" w:line="240" w:lineRule="auto"/>
            </w:pPr>
            <w:r>
              <w:rPr>
                <w:sz w:val="24"/>
                <w:szCs w:val="24"/>
              </w:rPr>
              <w:t xml:space="preserve"> Etnografía - Etnográfias </w:t>
            </w:r>
          </w:p>
        </w:tc>
        <w:tc>
          <w:tcPr>
            <w:tcW w:w="2000" w:type="dxa"/>
          </w:tcPr>
          <w:p>
            <w:pPr>
              <w:jc w:val="center"/>
              <w:spacing w:before="100" w:line="240" w:lineRule="auto"/>
            </w:pPr>
            <w:r>
              <w:rPr>
                <w:sz w:val="24"/>
                <w:szCs w:val="24"/>
              </w:rPr>
              <w:t xml:space="preserve">39</w:t>
            </w:r>
          </w:p>
        </w:tc>
        <w:tc>
          <w:tcPr>
            <w:tcW w:w="2000" w:type="dxa"/>
          </w:tcPr>
          <w:p>
            <w:pPr>
              <w:jc w:val="right"/>
              <w:spacing w:before="100" w:line="240" w:lineRule="auto"/>
            </w:pPr>
            <w:r>
              <w:rPr>
                <w:sz w:val="24"/>
                <w:szCs w:val="24"/>
              </w:rPr>
              <w:t xml:space="preserve">$ 1,481,371</w:t>
            </w:r>
          </w:p>
        </w:tc>
        <w:tc>
          <w:tcPr>
            <w:tcW w:w="2000" w:type="dxa"/>
          </w:tcPr>
          <w:p>
            <w:pPr>
              <w:jc w:val="right"/>
              <w:spacing w:before="100" w:line="240" w:lineRule="auto"/>
            </w:pPr>
            <w:r>
              <w:rPr>
                <w:sz w:val="24"/>
                <w:szCs w:val="24"/>
              </w:rPr>
              <w:t xml:space="preserve">$ 57,773,469</w:t>
            </w:r>
          </w:p>
        </w:tc>
      </w:tr>
      <w:tr>
        <w:tc>
          <w:tcPr>
            <w:tcW w:w="100" w:type="dxa"/>
          </w:tcPr>
          <w:p>
            <w:r>
              <w:rPr>
                <w:sz w:val="24"/>
                <w:szCs w:val="24"/>
              </w:rPr>
              <w:t xml:space="preserve"/>
            </w:r>
          </w:p>
        </w:tc>
        <w:tc>
          <w:tcPr>
            <w:tcW w:w="8000" w:type="dxa"/>
          </w:tcPr>
          <w:p>
            <w:r>
              <w:rPr>
                <w:sz w:val="24"/>
                <w:szCs w:val="24"/>
                <w:b/>
              </w:rPr>
              <w:t xml:space="preserve"> Subtotal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$ 62,773,469</w:t>
            </w:r>
          </w:p>
        </w:tc>
      </w:tr>
      <w:tr>
        <w:tc>
          <w:tcPr>
            <w:tcW w:w="100" w:type="dxa"/>
          </w:tcPr>
          <w:p>
            <w:r>
              <w:rPr>
                <w:sz w:val="24"/>
                <w:szCs w:val="24"/>
              </w:rPr>
              <w:t xml:space="preserve"/>
            </w:r>
          </w:p>
        </w:tc>
        <w:tc>
          <w:tcPr>
            <w:tcW w:w="8000" w:type="dxa"/>
          </w:tcPr>
          <w:p>
            <w:r>
              <w:rPr>
                <w:sz w:val="24"/>
                <w:szCs w:val="24"/>
                <w:b/>
              </w:rPr>
              <w:t xml:space="preserve"> IVA</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$ 10,043,755</w:t>
            </w:r>
          </w:p>
        </w:tc>
      </w:tr>
      <w:tr>
        <w:tc>
          <w:tcPr>
            <w:tcW w:w="100" w:type="dxa"/>
          </w:tcPr>
          <w:p>
            <w:r>
              <w:rPr>
                <w:sz w:val="24"/>
                <w:szCs w:val="24"/>
              </w:rPr>
              <w:t xml:space="preserve"/>
            </w:r>
          </w:p>
        </w:tc>
        <w:tc>
          <w:tcPr>
            <w:tcW w:w="8000" w:type="dxa"/>
          </w:tcPr>
          <w:p>
            <w:r>
              <w:rPr>
                <w:sz w:val="24"/>
                <w:szCs w:val="24"/>
                <w:b/>
              </w:rPr>
              <w:t xml:space="preserve"> 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b/>
              </w:rPr>
              <w:t xml:space="preserve">$ 72,817,224</w:t>
            </w:r>
          </w:p>
        </w:tc>
      </w:tr>
    </w:tbl>
    <w:p/>
    <w:p>
      <w:r>
        <w:rPr>
          <w:sz w:val="28"/>
          <w:szCs w:val="28"/>
          <w:b/>
        </w:rPr>
        <w:t xml:space="preserve">Forma pago:</w:t>
      </w:r>
    </w:p>
    <w:p>
      <w:r>
        <w:rPr>
          <w:sz w:val="28"/>
          <w:szCs w:val="28"/>
        </w:rPr>
        <w:t xml:space="preserve">30% con la aprobación de guías y/o formularios, 30% con la terminación de la recolección de la información, 40% con la entrega final.</w:t>
      </w:r>
    </w:p>
    <w:p>
      <w:r>
        <w:rPr>
          <w:sz w:val="28"/>
          <w:szCs w:val="28"/>
          <w:b/>
        </w:rPr>
        <w:t xml:space="preserve">Validez de la propuesta:</w:t>
      </w:r>
    </w:p>
    <w:p>
      <w:r>
        <w:rPr>
          <w:sz w:val="28"/>
          <w:szCs w:val="28"/>
        </w:rPr>
        <w:t xml:space="preserve">La propuesta tiene a validez de 60
días calendario desde la fecha de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PRODUCTOS</w:t>
      </w:r>
    </w:p>
    <w:p>
      <w:r>
        <w:rPr>
          <w:sz w:val="28"/>
          <w:szCs w:val="28"/>
        </w:rPr>
        <w:t xml:space="preserve">Los productos se entregan con base a la cobertura y alcance que se mencionan en la presente propuesta. Los productos se entregan en medio magnético en el formato original en que se realizan, se entregarán:</w:t>
      </w:r>
    </w:p>
    <w:p>
      <w:pPr>
        <w:numPr>
          <w:ilvl w:val="0"/>
          <w:numId w:val="3"/>
        </w:numPr>
      </w:pPr>
      <w:r>
        <w:rPr>
          <w:sz w:val="28"/>
          <w:szCs w:val="28"/>
        </w:rPr>
        <w:t xml:space="preserve">Guías y/o formularios aprobados</w:t>
      </w:r>
    </w:p>
    <w:p>
      <w:pPr>
        <w:numPr>
          <w:ilvl w:val="0"/>
          <w:numId w:val="3"/>
        </w:numPr>
      </w:pPr>
      <w:r>
        <w:rPr>
          <w:sz w:val="28"/>
          <w:szCs w:val="28"/>
        </w:rPr>
        <w:t xml:space="preserve">Base de datos</w:t>
      </w:r>
    </w:p>
    <w:p>
      <w:pPr>
        <w:numPr>
          <w:ilvl w:val="0"/>
          <w:numId w:val="3"/>
        </w:numPr>
      </w:pPr>
      <w:r>
        <w:rPr>
          <w:sz w:val="28"/>
          <w:szCs w:val="28"/>
        </w:rPr>
        <w:t xml:space="preserve">Tabulados o tablas de salida en el programa original</w:t>
      </w:r>
    </w:p>
    <w:p>
      <w:pPr>
        <w:numPr>
          <w:ilvl w:val="0"/>
          <w:numId w:val="3"/>
        </w:numPr>
      </w:pPr>
      <w:r>
        <w:rPr>
          <w:sz w:val="28"/>
          <w:szCs w:val="28"/>
        </w:rPr>
        <w:t xml:space="preserve">Informe (1 con los hallazgos que lo apoyen)</w:t>
      </w:r>
    </w:p>
    <w:p>
      <w:pPr>
        <w:numPr>
          <w:ilvl w:val="0"/>
          <w:numId w:val="3"/>
        </w:numPr>
      </w:pPr>
      <w:r>
        <w:rPr>
          <w:sz w:val="28"/>
          <w:szCs w:val="28"/>
        </w:rPr>
        <w:t xml:space="preserve">1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4B9700"/>
                <w:sz w:val="24"/>
                <w:szCs w:val="24"/>
                <w:b/>
              </w:rPr>
              <w:t xml:space="preserve">4.Anexos</w:t>
            </w:r>
          </w:p>
        </w:tc>
        <w:tc>
          <w:tcPr>
            <w:tcW w:w="1500" w:type="dxa"/>
            <w:vAlign w:val="center"/>
          </w:tcPr>
          <w:p>
            <w:r>
              <w:rPr>
                <w:color w:val="999999"/>
                <w:sz w:val="24"/>
                <w:szCs w:val="24"/>
              </w:rPr>
              <w:t xml:space="preserve">5.Comercial</w:t>
            </w:r>
          </w:p>
        </w:tc>
      </w:tr>
    </w:tbl>
    <w:p/>
    <w:p>
      <w:r>
        <w:rPr>
          <w:rStyle w:val="titleStyle"/>
        </w:rPr>
        <w:t xml:space="preserve">CONTROL DE CALIDAD</w:t>
      </w:r>
    </w:p>
    <w:p>
      <w:r>
        <w:rPr>
          <w:sz w:val="28"/>
          <w:szCs w:val="28"/>
        </w:rPr>
        <w:t xml:space="preserve">El Centro Nacional de Consultoría:</w:t>
      </w:r>
    </w:p>
    <w:p>
      <w:pPr>
        <w:numPr>
          <w:ilvl w:val="0"/>
          <w:numId w:val="3"/>
        </w:numPr>
      </w:pPr>
      <w:r>
        <w:rPr>
          <w:sz w:val="28"/>
          <w:szCs w:val="28"/>
        </w:rPr>
        <w:t xml:space="preserve">Declara que cuenta con los recursos humanos, científicos y técnicos necesarios para llevar a cabo de manera exitosa el proyecto descrito en la presente propuesta. (Norma 20252, numeral 4.1.1)</w:t>
      </w:r>
    </w:p>
    <w:p>
      <w:pPr>
        <w:numPr>
          <w:ilvl w:val="0"/>
          <w:numId w:val="3"/>
        </w:numPr>
      </w:pPr>
      <w:r>
        <w:rPr>
          <w:sz w:val="28"/>
          <w:szCs w:val="28"/>
        </w:rPr>
        <w:t xml:space="preserve">Está certificado en las normas ISO 9001:2008 e ISO 20252:2006 por la firma SGS. La propuesta que se presenta atiende los lineamientos establecidos en estas normas. (Norma 20252 numeral 4.1.3.9)</w:t>
      </w:r>
    </w:p>
    <w:p>
      <w:pPr>
        <w:numPr>
          <w:ilvl w:val="0"/>
          <w:numId w:val="3"/>
        </w:numPr>
      </w:pPr>
      <w:r>
        <w:rPr>
          <w:sz w:val="28"/>
          <w:szCs w:val="28"/>
        </w:rPr>
        <w:t xml:space="preserve">Se adhiere al Código Internacional CCI/ESOMAR de Prácticas Legales en Materia de Investigación de Mercados, Social y de Opinión. (Norma 20252 numeral 4.1.3.8).</w:t>
      </w:r>
    </w:p>
    <w:p>
      <w:pPr>
        <w:numPr>
          <w:ilvl w:val="0"/>
          <w:numId w:val="3"/>
        </w:numPr>
      </w:pPr>
      <w:r>
        <w:rPr>
          <w:sz w:val="28"/>
          <w:szCs w:val="28"/>
        </w:rPr>
        <w:t xml:space="preserve">Incorporará personal externo de reconocida idoneidad en la etapa del estudio que lo requiera, si se considera necesario para el éxito del estudio. (Norma 20252 numeral 4.1.3.7)</w:t>
      </w:r>
    </w:p>
    <w:p>
      <w:pPr>
        <w:numPr>
          <w:ilvl w:val="0"/>
          <w:numId w:val="3"/>
        </w:numPr>
      </w:pPr>
      <w:r>
        <w:rPr>
          <w:sz w:val="28"/>
          <w:szCs w:val="28"/>
        </w:rPr>
        <w:t xml:space="preserve">Guardará la información recogida por un período de 12 meses y copia magnética de informes finales por 24 meses. (A solicitud del cliente los tiempos se ajustarían) (Norma 20252 numeral 4.9.2 Retención).</w:t>
      </w:r>
    </w:p>
    <w:p>
      <w:pPr>
        <w:numPr>
          <w:ilvl w:val="0"/>
          <w:numId w:val="3"/>
        </w:numPr>
      </w:pPr>
      <w:r>
        <w:rPr>
          <w:sz w:val="28"/>
          <w:szCs w:val="28"/>
        </w:rPr>
        <w:t xml:space="preserve">Cuenta con la Vicepresidencia Administrativa y de  Calidad abierta a oír en todo momento cualquier observación que pueda mejorar nuestro servicio.</w:t>
      </w:r>
    </w:p>
    <w:p>
      <w:pPr>
        <w:numPr>
          <w:ilvl w:val="0"/>
          <w:numId w:val="3"/>
        </w:numPr>
      </w:pPr>
      <w:r>
        <w:rPr>
          <w:sz w:val="28"/>
          <w:szCs w:val="28"/>
        </w:rPr>
        <w:t xml:space="preserve">Cuidará que la identidad de los informantes no sea conocida. Si por razones del estudio se requiriere, se pedirá al entrevistado su consentimiento para suministrarla. (Norma 20252 numeral 4.3.4 Observación y Comprobación de la recogida de datos).</w:t>
      </w:r>
    </w:p>
    <w:p>
      <w:pPr>
        <w:numPr>
          <w:ilvl w:val="0"/>
          <w:numId w:val="3"/>
        </w:numPr>
      </w:pPr>
      <w:r>
        <w:rPr>
          <w:sz w:val="28"/>
          <w:szCs w:val="28"/>
        </w:rPr>
        <w:t xml:space="preserve">Confirma que los participantes de sesiones de grupo no hayan asistido durante los seis meses anteriores a la fecha de la sesión. (Norma 20252 numeral 4.1.3.3 Muestreo y Ponderación).</w:t>
      </w:r>
    </w:p>
    <w:p>
      <w:pPr>
        <w:numPr>
          <w:ilvl w:val="0"/>
          <w:numId w:val="3"/>
        </w:numPr>
      </w:pPr>
      <w:r>
        <w:rPr>
          <w:sz w:val="28"/>
          <w:szCs w:val="28"/>
        </w:rPr>
        <w:t xml:space="preserve">Se permitirá la observación del trabajo campo siempre y cuando no se afecte la calidad del estudio, caso en el cual se informará al entrevistado que está siendo observado. (Norma 20252 numeral 4.3.4 Observación y Comprobación de la recogida de datos).</w:t>
      </w:r>
    </w:p>
    <w:p>
      <w:pPr>
        <w:numPr>
          <w:ilvl w:val="0"/>
          <w:numId w:val="3"/>
        </w:numPr>
      </w:pPr>
      <w:r>
        <w:rPr>
          <w:sz w:val="28"/>
          <w:szCs w:val="28"/>
        </w:rPr>
        <w:t xml:space="preserve">Se reserva la entrega de grabaciones y transcripciones como mecanismo para cuidar la identidad de los informantes, de ser necesarias como producto del estudio es necesario acordarlo con el responsable de la presentación de la presente propuesta. (Norma 20252 numeral 4.3.4 Observación y Comprobación de la recogida de datos).</w:t>
      </w:r>
    </w:p>
    <w:p>
      <w:pPr>
        <w:numPr>
          <w:ilvl w:val="0"/>
          <w:numId w:val="3"/>
        </w:numPr>
      </w:pPr>
      <w:r>
        <w:rPr>
          <w:sz w:val="28"/>
          <w:szCs w:val="28"/>
        </w:rPr>
        <w:t xml:space="preserve">En caso de cambio durante la planeación o ejecución del estudio que se desfasen de lo cotizado en esta propuesta se convendrá modificaciones en tiempos o precios. Las actividades posteriores a la entrega de resultados se convendrán mutuamente. (Norma 20252 numeral 4.1.4 Precio)</w:t>
      </w:r>
    </w:p>
    <w:p>
      <w:pPr>
        <w:numPr>
          <w:ilvl w:val="0"/>
          <w:numId w:val="3"/>
        </w:numPr>
      </w:pPr>
      <w:r>
        <w:rPr>
          <w:sz w:val="28"/>
          <w:szCs w:val="28"/>
        </w:rPr>
        <w:t xml:space="preserve">Si se requiere la traducción a otra lengua de documentos del estudio, entre las partes se acordarán los detalles técnicos para su entrega, revisión e inversión. (Norma 20252 numeral 4.4.2 Traducción de cuestionarios y guías de discusión o cualquier otro documento relacionado con el proyecto).</w:t>
      </w:r>
    </w:p>
    <w:p>
      <w:pPr>
        <w:numPr>
          <w:ilvl w:val="0"/>
          <w:numId w:val="3"/>
        </w:numPr>
      </w:pPr>
      <w:r>
        <w:rPr>
          <w:sz w:val="28"/>
          <w:szCs w:val="28"/>
        </w:rPr>
        <w:t xml:space="preserve">Si se requiere mayor precisión o aclaración en las especificaciones técnicas o de otros aspectos que influencian el costo de la presente propuesta comunicar la solicitud de información al Centro Nacional de Consultoría. (Norma 20252 numeral 4.1.1 Respuesta a las solicitudes de investigación - Generalidades).</w:t>
      </w:r>
    </w:p>
    <w:sectPr>
      <w:headerReference w:type="default" r:id="rId9"/>
      <w:footerReference w:type="default" r:id="rId10"/>
      <w:pgSz w:w="12240" w:h="15940"/>
      <w:pgMar w:top="600" w:right="1100" w:bottom="900" w:left="11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rPr>
        <w:color w:val="333333"/>
        <w:sz w:val="18"/>
        <w:szCs w:val="18"/>
      </w:rPr>
      <w:t xml:space="preserve">Página | </w:t>
    </w:r>
    <w:r>
      <w:fldChar w:fldCharType="begin"/>
    </w:r>
    <w:r>
      <w:rPr>
        <w:color w:val="333333"/>
        <w:sz w:val="18"/>
        <w:szCs w:val="18"/>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rPr>
        <w:trHeight w:val="-580"/>
      </w:trPr>
      <w:tc>
        <w:tcPr>
          <w:tcW w:w="3000" w:type="dxa"/>
        </w:tcPr>
        <w:p>
          <w:pPr>
            <w:jc w:val="left"/>
          </w:pPr>
          <w:r>
            <w:pict>
              <v:shape type="#_x0000_t75" style="width:181px;height:41px">
                <v:imagedata r:id="rId1" o:title=""/>
              </v:shape>
            </w:pict>
          </w:r>
        </w:p>
      </w:tc>
      <w:tc>
        <w:tcPr>
          <w:tcW w:w="20" w:type="dxa"/>
        </w:tcPr>
        <w:p>
          <w:r>
            <w:rPr>
              <w:sz w:val="18"/>
              <w:szCs w:val="18"/>
            </w:rPr>
            <w:t xml:space="preserve"/>
          </w:r>
        </w:p>
      </w:tc>
      <w:tc>
        <w:tcPr>
          <w:tcW w:w="1000" w:type="dxa"/>
        </w:tcPr>
        <w:p>
          <w:r>
            <w:rPr>
              <w:sz w:val="18"/>
              <w:szCs w:val="18"/>
            </w:rPr>
            <w:t xml:space="preserve">Lealtad y relaciones</w:t>
          </w:r>
        </w:p>
      </w:tc>
      <w:tc>
        <w:tcPr>
          <w:tcW w:w="20" w:type="dxa"/>
        </w:tcPr>
        <w:p>
          <w:r>
            <w:rPr>
              <w:sz w:val="18"/>
              <w:szCs w:val="18"/>
            </w:rPr>
            <w:t xml:space="preserve"/>
          </w:r>
        </w:p>
      </w:tc>
      <w:tc>
        <w:tcPr>
          <w:tcW w:w="1000" w:type="dxa"/>
        </w:tcPr>
        <w:p>
          <w:r>
            <w:rPr>
              <w:sz w:val="18"/>
              <w:szCs w:val="18"/>
              <w:b/>
            </w:rPr>
            <w:t xml:space="preserve">Marca y medios</w:t>
          </w:r>
        </w:p>
      </w:tc>
      <w:tc>
        <w:tcPr>
          <w:tcW w:w="20" w:type="dxa"/>
        </w:tcPr>
        <w:p>
          <w:r>
            <w:rPr>
              <w:sz w:val="18"/>
              <w:szCs w:val="18"/>
            </w:rPr>
            <w:t xml:space="preserve"/>
          </w:r>
        </w:p>
      </w:tc>
      <w:tc>
        <w:tcPr>
          <w:tcW w:w="1500" w:type="dxa"/>
        </w:tcPr>
        <w:p>
          <w:r>
            <w:rPr>
              <w:sz w:val="18"/>
              <w:szCs w:val="18"/>
            </w:rPr>
            <w:t xml:space="preserve">Gobierno y asuntos públicos</w:t>
          </w:r>
        </w:p>
      </w:tc>
      <w:tc>
        <w:tcPr>
          <w:tcW w:w="20" w:type="dxa"/>
        </w:tcPr>
        <w:p>
          <w:r>
            <w:rPr>
              <w:sz w:val="18"/>
              <w:szCs w:val="18"/>
            </w:rPr>
            <w:t xml:space="preserve"/>
          </w:r>
        </w:p>
      </w:tc>
      <w:tc>
        <w:tcPr>
          <w:tcW w:w="1200" w:type="dxa"/>
        </w:tcPr>
        <w:p>
          <w:r>
            <w:rPr>
              <w:sz w:val="18"/>
              <w:szCs w:val="18"/>
            </w:rPr>
            <w:t xml:space="preserve">Investigación de mercado</w:t>
          </w:r>
        </w:p>
      </w:tc>
      <w:tc>
        <w:tcPr>
          <w:tcW w:w="20" w:type="dxa"/>
        </w:tcPr>
        <w:p>
          <w:r>
            <w:rPr>
              <w:sz w:val="18"/>
              <w:szCs w:val="18"/>
            </w:rPr>
            <w:t xml:space="preserve"/>
          </w:r>
        </w:p>
      </w:tc>
      <w:tc>
        <w:tcPr>
          <w:tcW w:w="1000" w:type="dxa"/>
        </w:tcPr>
        <w:p>
          <w:r>
            <w:rPr>
              <w:sz w:val="18"/>
              <w:szCs w:val="18"/>
            </w:rPr>
            <w:t xml:space="preserve">Opinión pública</w:t>
          </w:r>
        </w:p>
      </w:tc>
      <w:tc>
        <w:tcPr>
          <w:tcW w:w="20" w:type="dxa"/>
        </w:tcPr>
        <w:p>
          <w:r>
            <w:rPr>
              <w:sz w:val="18"/>
              <w:szCs w:val="18"/>
            </w:rPr>
            <w:t xml:space="preserve"/>
          </w:r>
        </w:p>
      </w:tc>
      <w:tc>
        <w:tcPr>
          <w:tcW w:w="1000" w:type="dxa"/>
        </w:tcPr>
        <w:p>
          <w:r>
            <w:rPr>
              <w:sz w:val="18"/>
              <w:szCs w:val="18"/>
            </w:rPr>
            <w:t xml:space="preserve">Consultoría empresarial</w:t>
          </w:r>
        </w:p>
      </w:tc>
      <w:tc>
        <w:tcPr>
          <w:tcW w:w="20" w:type="dxa"/>
        </w:tcPr>
        <w:p>
          <w:r>
            <w:rPr>
              <w:sz w:val="18"/>
              <w:szCs w:val="18"/>
            </w:rPr>
            <w:t xml:space="preserve"/>
          </w:r>
        </w:p>
      </w:tc>
      <w:tc>
        <w:tcPr>
          <w:tcW w:w="500" w:type="dxa"/>
        </w:tcPr>
        <w:p>
          <w:r>
            <w:rPr>
              <w:sz w:val="18"/>
              <w:szCs w:val="18"/>
            </w:rPr>
            <w:t xml:space="preserve">Más...</w:t>
          </w:r>
        </w:p>
      </w:tc>
    </w:tr>
    <w:tr>
      <w:trPr>
        <w:trHeight w:val="-90"/>
      </w:trPr>
      <w:tc>
        <w:tcPr>
          <w:tcW w:w="0" w:type="dxa"/>
        </w:tcPr>
        <w:p>
          <w:r>
            <w:rPr>
              <w:sz w:val="18"/>
              <w:szCs w:val="18"/>
            </w:rPr>
            <w:t xml:space="preserve"/>
          </w:r>
        </w:p>
      </w:tc>
      <w:tc>
        <w:tcPr>
          <w:tcW w:w="0" w:type="dxa"/>
        </w:tcPr>
        <w:p>
          <w:r>
            <w:rPr>
              <w:sz w:val="18"/>
              <w:szCs w:val="18"/>
            </w:rP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009900"/>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rPr>
    </w:rPrDefault>
  </w:docDefaults>
  <w:style w:type="character">
    <w:name w:val="titleStyle"/>
    <w:rPr>
      <w:color w:val="808080"/>
      <w:sz w:val="70"/>
      <w:szCs w:val="70"/>
    </w:rPr>
  </w:style>
  <w:style w:type="character">
    <w:name w:val="empStyle"/>
    <w:rPr>
      <w:color w:val="808080"/>
      <w:sz w:val="56"/>
      <w:szCs w:val="56"/>
    </w:rPr>
  </w:style>
  <w:style w:type="table" w:customStyle="1" w:styleId="myOwnTableStyle">
    <w:name w:val="myOwnTableStyle"/>
    <w:uiPriority w:val="99"/>
    <w:tblPr>
      <w:tblCellMar>
        <w:top w:w="0" w:type="dxa"/>
        <w:left w:w="0" w:type="dxa"/>
        <w:right w:w="0" w:type="dxa"/>
        <w:bottom w:w="0" w:type="dxa"/>
      </w:tblCellMar>
      <w:tblBorders>
        <w:top w:val="single" w:sz="1" w:color="999999"/>
        <w:left w:val="single" w:sz="1" w:color="999999"/>
        <w:right w:val="single" w:sz="1" w:color="999999"/>
        <w:bottom w:val="single" w:sz="1" w:color="999999"/>
        <w:insideH w:val="single" w:sz="1" w:color="999999"/>
        <w:insideV w:val="single" w:sz="1"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image" Target="media/section_image1.jpg"/>
  <Relationship Id="rId8" Type="http://schemas.openxmlformats.org/officeDocument/2006/relationships/image" Target="media/section_image2.jpg"/>
  <Relationship Id="rId9" Type="http://schemas.openxmlformats.org/officeDocument/2006/relationships/header" Target="header1.xml"/>
  <Relationship Id="rId10" Type="http://schemas.openxmlformats.org/officeDocument/2006/relationships/footer" Target="footer1.xml"/>
</Relationships>

</file>

<file path=word/_rels/header1.xml.rels><?xml version="1.0" encoding="UTF-8" standalone="yes"?>
<Relationships xmlns="http://schemas.openxmlformats.org/package/2006/relationships">
  <Relationship Id="rId1" Type="http://schemas.openxmlformats.org/officeDocument/2006/relationships/image" Target="media/header1_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Centro Nacional de Consultoría</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Centro Nacional de Consultoría</dc:creator>
  <cp:lastModifiedBy>Willian Valencia</cp:lastModifiedBy>
  <dcterms:created xsi:type="dcterms:W3CDTF">2010-03-12T00:00:00-06:00</dcterms:created>
  <dcterms:modified xsi:type="dcterms:W3CDTF">2010-03-14T00:00:00-06:00</dcterms:modified>
  <dc:title>Propuesta</dc:title>
  <dc:description>Propuesta de valor</dc:description>
  <dc:subject>La propuesta</dc:subject>
  <cp:keywords>my, key, word</cp:keywords>
  <cp:category>Vicepresidencia Comercial</cp:category>
</cp:coreProperties>
</file>