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Arial" w:cs="Arial" w:eastAsia="Arial" w:hAnsi="Arial"/>
          <w:b/>
          <w:bCs/>
          <w:color w:val="1B2A4A"/>
          <w:sz w:val="52"/>
          <w:szCs w:val="52"/>
        </w:rPr>
        <w:t xml:space="preserve">SWARNA PEETAM</w:t>
      </w:r>
    </w:p>
    <w:p>
      <w:pPr>
        <w:spacing w:after="80"/>
        <w:jc w:val="center"/>
      </w:pPr>
      <w:r>
        <w:rPr>
          <w:rFonts w:ascii="Arial" w:cs="Arial" w:eastAsia="Arial" w:hAnsi="Arial"/>
          <w:color w:val="B8860B"/>
          <w:sz w:val="40"/>
          <w:szCs w:val="40"/>
        </w:rPr>
        <w:t xml:space="preserve">Gold Trading Operations</w:t>
      </w:r>
    </w:p>
    <w:p>
      <w:pPr>
        <w:pBdr>
          <w:bottom w:val="single" w:color="B8860B" w:sz="3" w:space="8"/>
        </w:pBdr>
        <w:spacing w:after="400"/>
        <w:jc w:val="center"/>
      </w:pPr>
      <w:r>
        <w:rPr>
          <w:rFonts w:ascii="Arial" w:cs="Arial" w:eastAsia="Arial" w:hAnsi="Arial"/>
          <w:color w:val="666666"/>
          <w:sz w:val="28"/>
          <w:szCs w:val="28"/>
        </w:rPr>
        <w:t xml:space="preserve">Training &amp; Orientation Manual</w:t>
      </w:r>
    </w:p>
    <w:p>
      <w:pPr>
        <w:spacing w:after="120"/>
        <w:jc w:val="center"/>
      </w:pPr>
      <w:r>
        <w:rPr>
          <w:rFonts w:ascii="Arial" w:cs="Arial" w:eastAsia="Arial" w:hAnsi="Arial"/>
          <w:b/>
          <w:bCs/>
          <w:color w:val="CC0000"/>
          <w:sz w:val="24"/>
          <w:szCs w:val="24"/>
        </w:rPr>
        <w:t xml:space="preserve">CONFIDENTIAL — Internal Use Only</w:t>
      </w:r>
    </w:p>
    <w:p>
      <w:pPr>
        <w:spacing w:after="60"/>
        <w:jc w:val="center"/>
      </w:pPr>
      <w:r>
        <w:rPr>
          <w:rFonts w:ascii="Arial" w:cs="Arial" w:eastAsia="Arial" w:hAnsi="Arial"/>
          <w:color w:val="666666"/>
          <w:sz w:val="22"/>
          <w:szCs w:val="22"/>
        </w:rPr>
        <w:t xml:space="preserve">UAN Commercial Wing — Gold Division</w:t>
      </w:r>
    </w:p>
    <w:p>
      <w:pPr>
        <w:spacing w:after="200"/>
        <w:jc w:val="center"/>
      </w:pPr>
      <w:r>
        <w:rPr>
          <w:rFonts w:ascii="Arial" w:cs="Arial" w:eastAsia="Arial" w:hAnsi="Arial"/>
          <w:color w:val="666666"/>
          <w:sz w:val="22"/>
          <w:szCs w:val="22"/>
        </w:rPr>
        <w:t xml:space="preserve">March 2026</w:t>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E6C4" w:sz="1"/>
              <w:left w:val="single" w:color="B8860B" w:sz="6"/>
              <w:bottom w:val="single" w:color="F5E6C4" w:sz="1"/>
              <w:right w:val="single" w:color="F5E6C4" w:sz="1"/>
            </w:tcBorders>
            <w:shd w:fill="FFF8E7" w:val="clear"/>
            <w:tcMar>
              <w:top w:type="dxa" w:w="120"/>
              <w:left w:type="dxa" w:w="200"/>
              <w:bottom w:type="dxa" w:w="120"/>
              <w:right w:type="dxa" w:w="200"/>
            </w:tcMar>
          </w:tcPr>
          <w:p>
            <w:r>
              <w:rPr>
                <w:rFonts w:ascii="Arial" w:cs="Arial" w:eastAsia="Arial" w:hAnsi="Arial"/>
                <w:i/>
                <w:iCs/>
                <w:color w:val="1B2A4A"/>
                <w:sz w:val="22"/>
                <w:szCs w:val="22"/>
              </w:rPr>
              <w:t xml:space="preserve">This document is derived from internal orientation sessions and is intended solely for authorized Swarna Peetam team members. Do not distribute externally.</w:t>
            </w:r>
          </w:p>
        </w:tc>
      </w:tr>
    </w:tbl>
    <w:p>
      <w:r>
        <w:br w:type="page"/>
      </w:r>
    </w:p>
    <w:p>
      <w:pPr>
        <w:pStyle w:val="Heading1"/>
        <w:pBdr>
          <w:bottom w:val="single" w:color="B8860B" w:sz="3" w:space="4"/>
        </w:pBdr>
        <w:spacing w:before="360" w:after="200"/>
      </w:pPr>
      <w:r>
        <w:rPr>
          <w:rFonts w:ascii="Arial" w:cs="Arial" w:eastAsia="Arial" w:hAnsi="Arial"/>
          <w:b/>
          <w:bCs/>
          <w:color w:val="1B2A4A"/>
          <w:sz w:val="32"/>
          <w:szCs w:val="32"/>
        </w:rPr>
        <w:t xml:space="preserve">1. Introduction &amp; Market Overview</w:t>
      </w:r>
    </w:p>
    <w:p>
      <w:pPr>
        <w:spacing w:before="80" w:after="120"/>
        <w:jc w:val="left"/>
      </w:pPr>
      <w:r>
        <w:rPr>
          <w:rFonts w:ascii="Arial" w:cs="Arial" w:eastAsia="Arial" w:hAnsi="Arial"/>
          <w:b w:val="false"/>
          <w:bCs w:val="false"/>
          <w:i w:val="false"/>
          <w:iCs w:val="false"/>
          <w:color w:val="1A1A1A"/>
          <w:sz w:val="22"/>
          <w:szCs w:val="22"/>
        </w:rPr>
        <w:t xml:space="preserve">This manual provides a comprehensive orientation to the gold sourcing, refining, and trading operations conducted under the commercial wing of UAN. It covers the end-to-end workflow from sourcing raw gold in African markets, transporting and refining it in Dubai, and selling the refined product to buyers globally.</w:t>
      </w:r>
    </w:p>
    <w:p>
      <w:pPr>
        <w:pStyle w:val="Heading2"/>
        <w:spacing w:before="280" w:after="160"/>
      </w:pPr>
      <w:r>
        <w:rPr>
          <w:rFonts w:ascii="Arial" w:cs="Arial" w:eastAsia="Arial" w:hAnsi="Arial"/>
          <w:b/>
          <w:bCs/>
          <w:color w:val="8B6914"/>
          <w:sz w:val="26"/>
          <w:szCs w:val="26"/>
        </w:rPr>
        <w:t xml:space="preserve">1.1 The Artisanal Mining Gap</w:t>
      </w:r>
    </w:p>
    <w:p>
      <w:pPr>
        <w:spacing w:before="80" w:after="120"/>
        <w:jc w:val="left"/>
      </w:pPr>
      <w:r>
        <w:rPr>
          <w:rFonts w:ascii="Arial" w:cs="Arial" w:eastAsia="Arial" w:hAnsi="Arial"/>
          <w:b w:val="false"/>
          <w:bCs w:val="false"/>
          <w:i w:val="false"/>
          <w:iCs w:val="false"/>
          <w:color w:val="1A1A1A"/>
          <w:sz w:val="22"/>
          <w:szCs w:val="22"/>
        </w:rPr>
        <w:t xml:space="preserve">The global gold supply chain has two well-established channels: large multinational mining corporations with full compliance infrastructure, and the artisanal and small-scale mining (ASM) sector. Multinationals can navigate compliance requirements easily because they hold mining licenses that establish clear origin documentation for their gold.</w:t>
      </w:r>
    </w:p>
    <w:p>
      <w:pPr>
        <w:spacing w:before="80" w:after="120"/>
        <w:jc w:val="left"/>
      </w:pPr>
      <w:r>
        <w:rPr>
          <w:rFonts w:ascii="Arial" w:cs="Arial" w:eastAsia="Arial" w:hAnsi="Arial"/>
          <w:b w:val="false"/>
          <w:bCs w:val="false"/>
          <w:i w:val="false"/>
          <w:iCs w:val="false"/>
          <w:color w:val="1A1A1A"/>
          <w:sz w:val="22"/>
          <w:szCs w:val="22"/>
        </w:rPr>
        <w:t xml:space="preserve">The ASM sector, however, remains largely uncaptured despite representing enormous volumes—often 10 to 20 tons of gold per market. These miners lack the licensing, international connections, compliance infrastructure, and banking relationships needed to export and sell at global market rates. This gap is where we operate.</w:t>
      </w:r>
    </w:p>
    <w:p>
      <w:pPr>
        <w:pStyle w:val="Heading2"/>
        <w:spacing w:before="280" w:after="160"/>
      </w:pPr>
      <w:r>
        <w:rPr>
          <w:rFonts w:ascii="Arial" w:cs="Arial" w:eastAsia="Arial" w:hAnsi="Arial"/>
          <w:b/>
          <w:bCs/>
          <w:color w:val="8B6914"/>
          <w:sz w:val="26"/>
          <w:szCs w:val="26"/>
        </w:rPr>
        <w:t xml:space="preserve">1.2 Why We Can Operate Where Others Cannot</w:t>
      </w:r>
    </w:p>
    <w:p>
      <w:pPr>
        <w:spacing w:before="80" w:after="120"/>
        <w:jc w:val="left"/>
      </w:pPr>
      <w:r>
        <w:rPr>
          <w:rFonts w:ascii="Arial" w:cs="Arial" w:eastAsia="Arial" w:hAnsi="Arial"/>
          <w:b w:val="false"/>
          <w:bCs w:val="false"/>
          <w:i w:val="false"/>
          <w:iCs w:val="false"/>
          <w:color w:val="1A1A1A"/>
          <w:sz w:val="22"/>
          <w:szCs w:val="22"/>
        </w:rPr>
        <w:t xml:space="preserve">Entering the gold export business requires meeting stringent compliance thresholds, particularly in Dubai. Key barriers include:</w:t>
      </w:r>
    </w:p>
    <w:p>
      <w:pPr>
        <w:pStyle w:val="ListParagraph"/>
        <w:numPr>
          <w:ilvl w:val="0"/>
          <w:numId w:val="2"/>
        </w:numPr>
        <w:spacing w:before="40" w:after="40"/>
      </w:pPr>
      <w:r>
        <w:rPr>
          <w:rFonts w:ascii="Arial" w:cs="Arial" w:eastAsia="Arial" w:hAnsi="Arial"/>
          <w:color w:val="1A1A1A"/>
          <w:sz w:val="22"/>
          <w:szCs w:val="22"/>
        </w:rPr>
        <w:t xml:space="preserve">A minimum of 20 years of verifiable experience in commodity trading</w:t>
      </w:r>
    </w:p>
    <w:p>
      <w:pPr>
        <w:pStyle w:val="ListParagraph"/>
        <w:numPr>
          <w:ilvl w:val="0"/>
          <w:numId w:val="2"/>
        </w:numPr>
        <w:spacing w:before="40" w:after="40"/>
      </w:pPr>
      <w:r>
        <w:rPr>
          <w:rFonts w:ascii="Arial" w:cs="Arial" w:eastAsia="Arial" w:hAnsi="Arial"/>
          <w:color w:val="1A1A1A"/>
          <w:sz w:val="22"/>
          <w:szCs w:val="22"/>
        </w:rPr>
        <w:t xml:space="preserve">Millions of dollars in active, documented revenue from related businesses</w:t>
      </w:r>
    </w:p>
    <w:p>
      <w:pPr>
        <w:pStyle w:val="ListParagraph"/>
        <w:numPr>
          <w:ilvl w:val="0"/>
          <w:numId w:val="2"/>
        </w:numPr>
        <w:spacing w:before="40" w:after="40"/>
      </w:pPr>
      <w:r>
        <w:rPr>
          <w:rFonts w:ascii="Arial" w:cs="Arial" w:eastAsia="Arial" w:hAnsi="Arial"/>
          <w:color w:val="1A1A1A"/>
          <w:sz w:val="22"/>
          <w:szCs w:val="22"/>
        </w:rPr>
        <w:t xml:space="preserve">Passing Enhanced Due Diligence (EDD) by banks and licensing authorities</w:t>
      </w:r>
    </w:p>
    <w:p>
      <w:pPr>
        <w:pStyle w:val="ListParagraph"/>
        <w:numPr>
          <w:ilvl w:val="0"/>
          <w:numId w:val="2"/>
        </w:numPr>
        <w:spacing w:before="40" w:after="40"/>
      </w:pPr>
      <w:r>
        <w:rPr>
          <w:rFonts w:ascii="Arial" w:cs="Arial" w:eastAsia="Arial" w:hAnsi="Arial"/>
          <w:color w:val="1A1A1A"/>
          <w:sz w:val="22"/>
          <w:szCs w:val="22"/>
        </w:rPr>
        <w:t xml:space="preserve">Access to banking and gold trading licenses in high-compliance jurisdictions</w:t>
      </w:r>
    </w:p>
    <w:p>
      <w:pPr>
        <w:spacing w:before="80" w:after="120"/>
        <w:jc w:val="left"/>
      </w:pPr>
      <w:r>
        <w:rPr>
          <w:rFonts w:ascii="Arial" w:cs="Arial" w:eastAsia="Arial" w:hAnsi="Arial"/>
          <w:b w:val="false"/>
          <w:bCs w:val="false"/>
          <w:i w:val="false"/>
          <w:iCs w:val="false"/>
          <w:color w:val="1A1A1A"/>
          <w:sz w:val="22"/>
          <w:szCs w:val="22"/>
        </w:rPr>
        <w:t xml:space="preserve">Our organization has members within its network who meet all of these criteria—individuals with decades of commodity trading experience, substantial banking relationships, and established legal entities across multiple jurisdictions. This allows us to bridge the gap between ASM sellers and global buyers.</w:t>
      </w:r>
    </w:p>
    <w:p>
      <w:r>
        <w:br w:type="page"/>
      </w:r>
    </w:p>
    <w:p>
      <w:pPr>
        <w:pStyle w:val="Heading1"/>
        <w:pBdr>
          <w:bottom w:val="single" w:color="B8860B" w:sz="3" w:space="4"/>
        </w:pBdr>
        <w:spacing w:before="360" w:after="200"/>
      </w:pPr>
      <w:r>
        <w:rPr>
          <w:rFonts w:ascii="Arial" w:cs="Arial" w:eastAsia="Arial" w:hAnsi="Arial"/>
          <w:b/>
          <w:bCs/>
          <w:color w:val="1B2A4A"/>
          <w:sz w:val="32"/>
          <w:szCs w:val="32"/>
        </w:rPr>
        <w:t xml:space="preserve">2. Key Terminology</w:t>
      </w:r>
    </w:p>
    <w:p>
      <w:pPr>
        <w:spacing w:before="80" w:after="120"/>
        <w:jc w:val="left"/>
      </w:pPr>
      <w:r>
        <w:rPr>
          <w:rFonts w:ascii="Arial" w:cs="Arial" w:eastAsia="Arial" w:hAnsi="Arial"/>
          <w:b w:val="false"/>
          <w:bCs w:val="false"/>
          <w:i w:val="false"/>
          <w:iCs w:val="false"/>
          <w:color w:val="1A1A1A"/>
          <w:sz w:val="22"/>
          <w:szCs w:val="22"/>
        </w:rPr>
        <w:t xml:space="preserve">Mastering the verbal jargon of the gold trade is essential. If a counterparty senses that you do not know these terms, they will identify you as inexperienced and attempt to take advantage. The following terms must be committed to memory before engaging any seller or buyer.</w:t>
      </w:r>
    </w:p>
    <w:p>
      <w:pPr>
        <w:pStyle w:val="Heading2"/>
        <w:spacing w:before="280" w:after="160"/>
      </w:pPr>
      <w:r>
        <w:rPr>
          <w:rFonts w:ascii="Arial" w:cs="Arial" w:eastAsia="Arial" w:hAnsi="Arial"/>
          <w:b/>
          <w:bCs/>
          <w:color w:val="8B6914"/>
          <w:sz w:val="26"/>
          <w:szCs w:val="26"/>
        </w:rPr>
        <w:t xml:space="preserve">2.1 Trade &amp; Logistics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2"/>
                <w:szCs w:val="22"/>
              </w:rPr>
              <w:t xml:space="preserve">FOB</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Free On Board. The buyer takes possession in the seller’s country. Essentially “cash and carry”—you pay the seller locally and handle all export logistics yourself.</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2"/>
                <w:szCs w:val="22"/>
              </w:rPr>
              <w:t xml:space="preserve">CIF</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Cost, Insurance, Freight. The seller delivers gold to a destination country (e.g., Dubai) and covers export tax, insurance, and logistics costs. The buyer pays the full price only after delivery.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2"/>
                <w:szCs w:val="22"/>
              </w:rPr>
              <w:t xml:space="preserve">FCO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Full Corporate Offer. A formal quotation from a seller, typically on company letterhead, specifying quantity, purity, and price. This is always the first document requested from a seller.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2"/>
                <w:szCs w:val="22"/>
              </w:rPr>
              <w:t xml:space="preserve">SPA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Sale and Purchase Agreement. The binding contract between buyer and seller that governs all terms, conditions, and obligations. We always use our own SPA template.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2"/>
                <w:szCs w:val="22"/>
              </w:rPr>
              <w:t xml:space="preserve">SBLC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Standby Letter of Credit. A bank guarantee ensuring payment if the buyer defaults. Used in some larger transactions.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2"/>
                <w:szCs w:val="22"/>
              </w:rPr>
              <w:t xml:space="preserve">MT 760 / MT 762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SWIFT banking message types. MT 760 is used to issue a bank guarantee; MT 762 is used to amend or release one. These are essentially payment confirmation instruments.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2"/>
                <w:szCs w:val="22"/>
              </w:rPr>
              <w:t xml:space="preserve">LME / LBMA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London Metal Exchange / London Bullion Market Association. Both refer to the global benchmark price for gold, commonly called the “spot price” or “market price.”</w:t>
            </w:r>
          </w:p>
        </w:tc>
      </w:tr>
    </w:tbl>
    <w:p>
      <w:pPr>
        <w:pStyle w:val="Heading2"/>
        <w:spacing w:before="280" w:after="160"/>
      </w:pPr>
      <w:r>
        <w:rPr>
          <w:rFonts w:ascii="Arial" w:cs="Arial" w:eastAsia="Arial" w:hAnsi="Arial"/>
          <w:b/>
          <w:bCs/>
          <w:color w:val="8B6914"/>
          <w:sz w:val="26"/>
          <w:szCs w:val="26"/>
        </w:rPr>
        <w:t xml:space="preserve">2.2 Due Diligence &amp; Compliance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2"/>
                <w:szCs w:val="22"/>
              </w:rPr>
              <w:t xml:space="preserve">KYC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Know Your Customer. Personal identity documents: passport, national ID, proof of address, and similar personal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2"/>
                <w:szCs w:val="22"/>
              </w:rPr>
              <w:t xml:space="preserve">KYB</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Know Your Business. Corporate documents: certificate of incorporation, trading licenses, articles of association, memorandum of articles, and UBO declarations.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2"/>
                <w:szCs w:val="22"/>
              </w:rPr>
              <w:t xml:space="preserve">UBO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Ultimate Beneficial Ownership. Identifies the actual human shareholders and controlling persons behind a company. Required as part of standard KYB.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2"/>
                <w:szCs w:val="22"/>
              </w:rPr>
              <w:t xml:space="preserve">EDD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Enhanced Due Diligence. An intensive investigation performed by banks and licensing authorities on high-risk businesses (gold is classified as “very high risk” in Dubai).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2"/>
                <w:szCs w:val="22"/>
              </w:rPr>
              <w:t xml:space="preserve">Fire Assay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A laboratory test that determines the exact purity and composition of gold. Performed on collateral gold and incoming raw gold to verify claimed karat levels.</w:t>
            </w:r>
          </w:p>
        </w:tc>
      </w:tr>
    </w:tbl>
    <w:p>
      <w:pPr>
        <w:pStyle w:val="Heading2"/>
        <w:spacing w:before="280" w:after="160"/>
      </w:pPr>
      <w:r>
        <w:rPr>
          <w:rFonts w:ascii="Arial" w:cs="Arial" w:eastAsia="Arial" w:hAnsi="Arial"/>
          <w:b/>
          <w:bCs/>
          <w:color w:val="8B6914"/>
          <w:sz w:val="26"/>
          <w:szCs w:val="26"/>
        </w:rPr>
        <w:t xml:space="preserve">2.3 Transaction Structure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2"/>
                <w:szCs w:val="22"/>
              </w:rPr>
              <w:t xml:space="preserve">Escrow</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A third-party holding arrangement (always with a bank, never a law firm) where funds are deposited and released only when pre-defined conditions are met.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2"/>
                <w:szCs w:val="22"/>
              </w:rPr>
              <w:t xml:space="preserve">Collateral Gold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Physical gold deposited by the seller with a neutral third-party (security company or bank) as a guarantee against the buyer’s advance payments. Must always be in joint custody.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2"/>
                <w:szCs w:val="22"/>
              </w:rPr>
              <w:t xml:space="preserve">Joint Custody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Both buyer and seller have involvement in the collateral arrangement. The gold is held by a third party and can only be released when both parties’ conditions are met. This is what we always require.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2"/>
                <w:szCs w:val="22"/>
              </w:rPr>
              <w:t xml:space="preserve">Single Custody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Only one party controls the collateral. We never accept single custody—it is a common scam vector.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2"/>
                <w:szCs w:val="22"/>
              </w:rPr>
              <w:t xml:space="preserve">Non-Circumvention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A contractual clause preventing parties from bypassing each other to deal directly with each other’s contacts.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E6C4" w:sz="1"/>
              <w:left w:val="single" w:color="B8860B" w:sz="6"/>
              <w:bottom w:val="single" w:color="F5E6C4" w:sz="1"/>
              <w:right w:val="single" w:color="F5E6C4" w:sz="1"/>
            </w:tcBorders>
            <w:shd w:fill="FFF8E7" w:val="clear"/>
            <w:tcMar>
              <w:top w:type="dxa" w:w="120"/>
              <w:left w:type="dxa" w:w="200"/>
              <w:bottom w:type="dxa" w:w="120"/>
              <w:right w:type="dxa" w:w="200"/>
            </w:tcMar>
          </w:tcPr>
          <w:p>
            <w:r>
              <w:rPr>
                <w:rFonts w:ascii="Arial" w:cs="Arial" w:eastAsia="Arial" w:hAnsi="Arial"/>
                <w:i/>
                <w:iCs/>
                <w:color w:val="1B2A4A"/>
                <w:sz w:val="22"/>
                <w:szCs w:val="22"/>
              </w:rPr>
              <w:t xml:space="preserve">Critical Rule: There is no 24-karat gold in Africa. If a seller claims to have 24-karat gold available at source, they are either uninformed or attempting to scam you. All raw African gold is 22 karat or below and must be refined to 24 karat at a certified refinery.</w:t>
            </w:r>
          </w:p>
        </w:tc>
      </w:tr>
    </w:tbl>
    <w:p>
      <w:r>
        <w:br w:type="page"/>
      </w:r>
    </w:p>
    <w:p>
      <w:pPr>
        <w:pStyle w:val="Heading1"/>
        <w:pBdr>
          <w:bottom w:val="single" w:color="B8860B" w:sz="3" w:space="4"/>
        </w:pBdr>
        <w:spacing w:before="360" w:after="200"/>
      </w:pPr>
      <w:r>
        <w:rPr>
          <w:rFonts w:ascii="Arial" w:cs="Arial" w:eastAsia="Arial" w:hAnsi="Arial"/>
          <w:b/>
          <w:bCs/>
          <w:color w:val="1B2A4A"/>
          <w:sz w:val="32"/>
          <w:szCs w:val="32"/>
        </w:rPr>
        <w:t xml:space="preserve">3. End-to-End Deal Workflow</w:t>
      </w:r>
    </w:p>
    <w:p>
      <w:pPr>
        <w:spacing w:before="80" w:after="120"/>
        <w:jc w:val="left"/>
      </w:pPr>
      <w:r>
        <w:rPr>
          <w:rFonts w:ascii="Arial" w:cs="Arial" w:eastAsia="Arial" w:hAnsi="Arial"/>
          <w:b w:val="false"/>
          <w:bCs w:val="false"/>
          <w:i w:val="false"/>
          <w:iCs w:val="false"/>
          <w:color w:val="1A1A1A"/>
          <w:sz w:val="22"/>
          <w:szCs w:val="22"/>
        </w:rPr>
        <w:t xml:space="preserve">A standard gold deal proceeds through the following stages, from initial contact to final payment and closure.</w:t>
      </w:r>
    </w:p>
    <w:p>
      <w:pPr>
        <w:pStyle w:val="Heading2"/>
        <w:spacing w:before="280" w:after="160"/>
      </w:pPr>
      <w:r>
        <w:rPr>
          <w:rFonts w:ascii="Arial" w:cs="Arial" w:eastAsia="Arial" w:hAnsi="Arial"/>
          <w:b/>
          <w:bCs/>
          <w:color w:val="8B6914"/>
          <w:sz w:val="26"/>
          <w:szCs w:val="26"/>
        </w:rPr>
        <w:t xml:space="preserve">3.1 Stage 1 — Seller Identification &amp; Initial Contact</w:t>
      </w:r>
    </w:p>
    <w:p>
      <w:pPr>
        <w:spacing w:before="80" w:after="120"/>
        <w:jc w:val="left"/>
      </w:pPr>
      <w:r>
        <w:rPr>
          <w:rFonts w:ascii="Arial" w:cs="Arial" w:eastAsia="Arial" w:hAnsi="Arial"/>
          <w:b w:val="false"/>
          <w:bCs w:val="false"/>
          <w:i w:val="false"/>
          <w:iCs w:val="false"/>
          <w:color w:val="1A1A1A"/>
          <w:sz w:val="22"/>
          <w:szCs w:val="22"/>
        </w:rPr>
        <w:t xml:space="preserve">Sellers are typically agents or cooperatives in African countries who have aggregated raw gold from artisanal miners. Our first interaction establishes credibility and gathers preliminary information.</w:t>
      </w:r>
    </w:p>
    <w:p>
      <w:pPr>
        <w:spacing w:before="200" w:after="120"/>
      </w:pPr>
      <w:r>
        <w:rPr>
          <w:rFonts w:ascii="Arial" w:cs="Arial" w:eastAsia="Arial" w:hAnsi="Arial"/>
          <w:b/>
          <w:bCs/>
          <w:color w:val="1B2A4A"/>
          <w:sz w:val="23"/>
          <w:szCs w:val="23"/>
        </w:rPr>
        <w:t xml:space="preserve">Introduction Script (Sellers)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E6C4" w:sz="1"/>
              <w:left w:val="single" w:color="B8860B" w:sz="6"/>
              <w:bottom w:val="single" w:color="F5E6C4" w:sz="1"/>
              <w:right w:val="single" w:color="F5E6C4" w:sz="1"/>
            </w:tcBorders>
            <w:shd w:fill="FFF8E7" w:val="clear"/>
            <w:tcMar>
              <w:top w:type="dxa" w:w="120"/>
              <w:left w:type="dxa" w:w="200"/>
              <w:bottom w:type="dxa" w:w="120"/>
              <w:right w:type="dxa" w:w="200"/>
            </w:tcMar>
          </w:tcPr>
          <w:p>
            <w:r>
              <w:rPr>
                <w:rFonts w:ascii="Arial" w:cs="Arial" w:eastAsia="Arial" w:hAnsi="Arial"/>
                <w:i/>
                <w:iCs/>
                <w:color w:val="1B2A4A"/>
                <w:sz w:val="22"/>
                <w:szCs w:val="22"/>
              </w:rPr>
              <w:t xml:space="preserve">"Hello, good day. My name is [proxy name]. I’m calling on behalf of UAN, an intergovernmental organization based in Los Angeles, USA. We are a humanitarian organization providing free education, healthcare, and food in over 100 countries. As part of our commercial wing that funds these activities, we operate a gold business where we source raw gold and refine it in Dubai. We have been in this industry for over 20 years and are looking to expand our network. We’re interested in sourcing approximately 1 ton of gold, single-shot payment. Do you have available supply?"</w:t>
            </w:r>
          </w:p>
        </w:tc>
      </w:tr>
    </w:tbl>
    <w:p>
      <w:pPr>
        <w:spacing w:before="80" w:after="120"/>
        <w:jc w:val="left"/>
      </w:pPr>
      <w:r>
        <w:rPr>
          <w:rFonts w:ascii="Arial" w:cs="Arial" w:eastAsia="Arial" w:hAnsi="Arial"/>
          <w:b w:val="false"/>
          <w:bCs w:val="false"/>
          <w:i w:val="false"/>
          <w:iCs w:val="false"/>
          <w:color w:val="1A1A1A"/>
          <w:sz w:val="22"/>
          <w:szCs w:val="22"/>
        </w:rPr>
        <w:t xml:space="preserve">Key rules for initial seller contact:</w:t>
      </w:r>
    </w:p>
    <w:p>
      <w:pPr>
        <w:pStyle w:val="ListParagraph"/>
        <w:numPr>
          <w:ilvl w:val="0"/>
          <w:numId w:val="3"/>
        </w:numPr>
        <w:spacing w:before="40" w:after="40"/>
      </w:pPr>
      <w:r>
        <w:rPr>
          <w:rFonts w:ascii="Arial" w:cs="Arial" w:eastAsia="Arial" w:hAnsi="Arial"/>
          <w:color w:val="1A1A1A"/>
          <w:sz w:val="22"/>
          <w:szCs w:val="22"/>
        </w:rPr>
        <w:t xml:space="preserve">Always use a proxy name—never your real identity.</w:t>
      </w:r>
    </w:p>
    <w:p>
      <w:pPr>
        <w:pStyle w:val="ListParagraph"/>
        <w:numPr>
          <w:ilvl w:val="0"/>
          <w:numId w:val="3"/>
        </w:numPr>
        <w:spacing w:before="40" w:after="40"/>
      </w:pPr>
      <w:r>
        <w:rPr>
          <w:rFonts w:ascii="Arial" w:cs="Arial" w:eastAsia="Arial" w:hAnsi="Arial"/>
          <w:color w:val="1A1A1A"/>
          <w:sz w:val="22"/>
          <w:szCs w:val="22"/>
        </w:rPr>
        <w:t xml:space="preserve">Present yourself as a representative, not a decision-maker. You have “senior board members in Dubai” who make final decisions.</w:t>
      </w:r>
    </w:p>
    <w:p>
      <w:pPr>
        <w:pStyle w:val="ListParagraph"/>
        <w:numPr>
          <w:ilvl w:val="0"/>
          <w:numId w:val="3"/>
        </w:numPr>
        <w:spacing w:before="40" w:after="40"/>
      </w:pPr>
      <w:r>
        <w:rPr>
          <w:rFonts w:ascii="Arial" w:cs="Arial" w:eastAsia="Arial" w:hAnsi="Arial"/>
          <w:color w:val="1A1A1A"/>
          <w:sz w:val="22"/>
          <w:szCs w:val="22"/>
        </w:rPr>
        <w:t xml:space="preserve">Claim the location matching your WhatsApp number (US number = US-based, UK number = Europe-based).</w:t>
      </w:r>
    </w:p>
    <w:p>
      <w:pPr>
        <w:pStyle w:val="ListParagraph"/>
        <w:numPr>
          <w:ilvl w:val="0"/>
          <w:numId w:val="3"/>
        </w:numPr>
        <w:spacing w:before="40" w:after="40"/>
      </w:pPr>
      <w:r>
        <w:rPr>
          <w:rFonts w:ascii="Arial" w:cs="Arial" w:eastAsia="Arial" w:hAnsi="Arial"/>
          <w:color w:val="1A1A1A"/>
          <w:sz w:val="22"/>
          <w:szCs w:val="22"/>
        </w:rPr>
        <w:t xml:space="preserve">Never disclose that you are physically located in the seller’s country.</w:t>
      </w:r>
    </w:p>
    <w:p>
      <w:pPr>
        <w:pStyle w:val="ListParagraph"/>
        <w:numPr>
          <w:ilvl w:val="0"/>
          <w:numId w:val="3"/>
        </w:numPr>
        <w:spacing w:before="40" w:after="40"/>
      </w:pPr>
      <w:r>
        <w:rPr>
          <w:rFonts w:ascii="Arial" w:cs="Arial" w:eastAsia="Arial" w:hAnsi="Arial"/>
          <w:color w:val="1A1A1A"/>
          <w:sz w:val="22"/>
          <w:szCs w:val="22"/>
        </w:rPr>
        <w:t xml:space="preserve">All initial communication happens via WhatsApp only—never email at this stage.</w:t>
      </w:r>
    </w:p>
    <w:p>
      <w:pPr>
        <w:pStyle w:val="Heading2"/>
        <w:spacing w:before="280" w:after="160"/>
      </w:pPr>
      <w:r>
        <w:rPr>
          <w:rFonts w:ascii="Arial" w:cs="Arial" w:eastAsia="Arial" w:hAnsi="Arial"/>
          <w:b/>
          <w:bCs/>
          <w:color w:val="8B6914"/>
          <w:sz w:val="26"/>
          <w:szCs w:val="26"/>
        </w:rPr>
        <w:t xml:space="preserve">3.2 Stage 2 — Document Collection</w:t>
      </w:r>
    </w:p>
    <w:p>
      <w:pPr>
        <w:spacing w:before="80" w:after="120"/>
        <w:jc w:val="left"/>
      </w:pPr>
      <w:r>
        <w:rPr>
          <w:rFonts w:ascii="Arial" w:cs="Arial" w:eastAsia="Arial" w:hAnsi="Arial"/>
          <w:b w:val="false"/>
          <w:bCs w:val="false"/>
          <w:i w:val="false"/>
          <w:iCs w:val="false"/>
          <w:color w:val="1A1A1A"/>
          <w:sz w:val="22"/>
          <w:szCs w:val="22"/>
        </w:rPr>
        <w:t xml:space="preserve">Once a seller expresses interest, immediately request the following documents:</w:t>
      </w:r>
    </w:p>
    <w:p>
      <w:pPr>
        <w:pStyle w:val="ListParagraph"/>
        <w:numPr>
          <w:ilvl w:val="0"/>
          <w:numId w:val="4"/>
        </w:numPr>
        <w:spacing w:before="40" w:after="40"/>
      </w:pPr>
      <w:r>
        <w:rPr>
          <w:rFonts w:ascii="Arial" w:cs="Arial" w:eastAsia="Arial" w:hAnsi="Arial"/>
          <w:color w:val="1A1A1A"/>
          <w:sz w:val="22"/>
          <w:szCs w:val="22"/>
        </w:rPr>
        <w:t xml:space="preserve">FCO (Full Corporate Offer): Their formal quotation on company letterhead, specifying quantity, purity, and price per kilogram.</w:t>
      </w:r>
    </w:p>
    <w:p>
      <w:pPr>
        <w:pStyle w:val="ListParagraph"/>
        <w:numPr>
          <w:ilvl w:val="0"/>
          <w:numId w:val="4"/>
        </w:numPr>
        <w:spacing w:before="40" w:after="40"/>
      </w:pPr>
      <w:r>
        <w:rPr>
          <w:rFonts w:ascii="Arial" w:cs="Arial" w:eastAsia="Arial" w:hAnsi="Arial"/>
          <w:color w:val="1A1A1A"/>
          <w:sz w:val="22"/>
          <w:szCs w:val="22"/>
        </w:rPr>
        <w:t xml:space="preserve">KYC Documents: Passport, national ID, and personal proof documents of the principal(s).</w:t>
      </w:r>
    </w:p>
    <w:p>
      <w:pPr>
        <w:pStyle w:val="ListParagraph"/>
        <w:numPr>
          <w:ilvl w:val="0"/>
          <w:numId w:val="4"/>
        </w:numPr>
        <w:spacing w:before="40" w:after="40"/>
      </w:pPr>
      <w:r>
        <w:rPr>
          <w:rFonts w:ascii="Arial" w:cs="Arial" w:eastAsia="Arial" w:hAnsi="Arial"/>
          <w:color w:val="1A1A1A"/>
          <w:sz w:val="22"/>
          <w:szCs w:val="22"/>
        </w:rPr>
        <w:t xml:space="preserve">KYB Documents: Certificate of incorporation, trading licenses, articles of association, memorandum of articles, and UBO (Ultimate Beneficial Ownership) declarations.</w:t>
      </w:r>
    </w:p>
    <w:p>
      <w:pPr>
        <w:pStyle w:val="Heading2"/>
        <w:spacing w:before="280" w:after="160"/>
      </w:pPr>
      <w:r>
        <w:rPr>
          <w:rFonts w:ascii="Arial" w:cs="Arial" w:eastAsia="Arial" w:hAnsi="Arial"/>
          <w:b/>
          <w:bCs/>
          <w:color w:val="8B6914"/>
          <w:sz w:val="26"/>
          <w:szCs w:val="26"/>
        </w:rPr>
        <w:t xml:space="preserve">3.3 Stage 3 — Due Diligence</w:t>
      </w:r>
    </w:p>
    <w:p>
      <w:pPr>
        <w:spacing w:before="80" w:after="120"/>
        <w:jc w:val="left"/>
      </w:pPr>
      <w:r>
        <w:rPr>
          <w:rFonts w:ascii="Arial" w:cs="Arial" w:eastAsia="Arial" w:hAnsi="Arial"/>
          <w:b w:val="false"/>
          <w:bCs w:val="false"/>
          <w:i w:val="false"/>
          <w:iCs w:val="false"/>
          <w:color w:val="1A1A1A"/>
          <w:sz w:val="22"/>
          <w:szCs w:val="22"/>
        </w:rPr>
        <w:t xml:space="preserve">Due diligence proceeds through multiple layers. No deal advances to the next stage unless all prior checks are passed.</w:t>
      </w:r>
    </w:p>
    <w:p>
      <w:pPr>
        <w:spacing w:before="200" w:after="120"/>
      </w:pPr>
      <w:r>
        <w:rPr>
          <w:rFonts w:ascii="Arial" w:cs="Arial" w:eastAsia="Arial" w:hAnsi="Arial"/>
          <w:b/>
          <w:bCs/>
          <w:color w:val="1B2A4A"/>
          <w:sz w:val="23"/>
          <w:szCs w:val="23"/>
        </w:rPr>
        <w:t xml:space="preserve">Layer 1: Automated Document Verification</w:t>
      </w:r>
    </w:p>
    <w:p>
      <w:pPr>
        <w:spacing w:before="80" w:after="120"/>
        <w:jc w:val="left"/>
      </w:pPr>
      <w:r>
        <w:rPr>
          <w:rFonts w:ascii="Arial" w:cs="Arial" w:eastAsia="Arial" w:hAnsi="Arial"/>
          <w:b w:val="false"/>
          <w:bCs w:val="false"/>
          <w:i w:val="false"/>
          <w:iCs w:val="false"/>
          <w:color w:val="1A1A1A"/>
          <w:sz w:val="22"/>
          <w:szCs w:val="22"/>
        </w:rPr>
        <w:t xml:space="preserve">All submitted documents are uploaded to our due diligence software, which checks for document tampering (edited passport numbers, mismatched references, altered images). We have caught fraudulent documents at this stage.</w:t>
      </w:r>
    </w:p>
    <w:p>
      <w:pPr>
        <w:spacing w:before="200" w:after="120"/>
      </w:pPr>
      <w:r>
        <w:rPr>
          <w:rFonts w:ascii="Arial" w:cs="Arial" w:eastAsia="Arial" w:hAnsi="Arial"/>
          <w:b/>
          <w:bCs/>
          <w:color w:val="1B2A4A"/>
          <w:sz w:val="23"/>
          <w:szCs w:val="23"/>
        </w:rPr>
        <w:t xml:space="preserve">Layer 2: Facial Biometrics</w:t>
      </w:r>
    </w:p>
    <w:p>
      <w:pPr>
        <w:spacing w:before="80" w:after="120"/>
        <w:jc w:val="left"/>
      </w:pPr>
      <w:r>
        <w:rPr>
          <w:rFonts w:ascii="Arial" w:cs="Arial" w:eastAsia="Arial" w:hAnsi="Arial"/>
          <w:b w:val="false"/>
          <w:bCs w:val="false"/>
          <w:i w:val="false"/>
          <w:iCs w:val="false"/>
          <w:color w:val="1A1A1A"/>
          <w:sz w:val="22"/>
          <w:szCs w:val="22"/>
        </w:rPr>
        <w:t xml:space="preserve">A biometric verification link is sent to the seller’s principal. They must complete a live facial scan (look at camera, turn left and right, speak verification words). The system performs a facial match against submitted ID documents.</w:t>
      </w:r>
    </w:p>
    <w:p>
      <w:pPr>
        <w:spacing w:before="200" w:after="120"/>
      </w:pPr>
      <w:r>
        <w:rPr>
          <w:rFonts w:ascii="Arial" w:cs="Arial" w:eastAsia="Arial" w:hAnsi="Arial"/>
          <w:b/>
          <w:bCs/>
          <w:color w:val="1B2A4A"/>
          <w:sz w:val="23"/>
          <w:szCs w:val="23"/>
        </w:rPr>
        <w:t xml:space="preserve">Layer 3: Business Registry Verification (KYB)</w:t>
      </w:r>
    </w:p>
    <w:p>
      <w:pPr>
        <w:spacing w:before="80" w:after="120"/>
        <w:jc w:val="left"/>
      </w:pPr>
      <w:r>
        <w:rPr>
          <w:rFonts w:ascii="Arial" w:cs="Arial" w:eastAsia="Arial" w:hAnsi="Arial"/>
          <w:b w:val="false"/>
          <w:bCs w:val="false"/>
          <w:i w:val="false"/>
          <w:iCs w:val="false"/>
          <w:color w:val="1A1A1A"/>
          <w:sz w:val="22"/>
          <w:szCs w:val="22"/>
        </w:rPr>
        <w:t xml:space="preserve">Company documents are run against the national business registry. Note: African KYB registries are often incomplete, so this check is supplementary rather than conclusive.</w:t>
      </w:r>
    </w:p>
    <w:p>
      <w:pPr>
        <w:spacing w:before="200" w:after="120"/>
      </w:pPr>
      <w:r>
        <w:rPr>
          <w:rFonts w:ascii="Arial" w:cs="Arial" w:eastAsia="Arial" w:hAnsi="Arial"/>
          <w:b/>
          <w:bCs/>
          <w:color w:val="1B2A4A"/>
          <w:sz w:val="23"/>
          <w:szCs w:val="23"/>
        </w:rPr>
        <w:t xml:space="preserve">Layer 4: Legal Due Diligence</w:t>
      </w:r>
    </w:p>
    <w:p>
      <w:pPr>
        <w:spacing w:before="80" w:after="120"/>
        <w:jc w:val="left"/>
      </w:pPr>
      <w:r>
        <w:rPr>
          <w:rFonts w:ascii="Arial" w:cs="Arial" w:eastAsia="Arial" w:hAnsi="Arial"/>
          <w:b w:val="false"/>
          <w:bCs w:val="false"/>
          <w:i w:val="false"/>
          <w:iCs w:val="false"/>
          <w:color w:val="1A1A1A"/>
          <w:sz w:val="22"/>
          <w:szCs w:val="22"/>
        </w:rPr>
        <w:t xml:space="preserve">A local lawyer is engaged to perform on-ground due diligence on the company and its principals. This is a paid service, which is why it comes after the automated checks have already filtered obvious scams.</w:t>
      </w:r>
    </w:p>
    <w:p>
      <w:pPr>
        <w:spacing w:before="200" w:after="120"/>
      </w:pPr>
      <w:r>
        <w:rPr>
          <w:rFonts w:ascii="Arial" w:cs="Arial" w:eastAsia="Arial" w:hAnsi="Arial"/>
          <w:b/>
          <w:bCs/>
          <w:color w:val="1B2A4A"/>
          <w:sz w:val="23"/>
          <w:szCs w:val="23"/>
        </w:rPr>
        <w:t xml:space="preserve">Layer 5: Government Verification</w:t>
      </w:r>
    </w:p>
    <w:p>
      <w:pPr>
        <w:spacing w:before="80" w:after="120"/>
        <w:jc w:val="left"/>
      </w:pPr>
      <w:r>
        <w:rPr>
          <w:rFonts w:ascii="Arial" w:cs="Arial" w:eastAsia="Arial" w:hAnsi="Arial"/>
          <w:b w:val="false"/>
          <w:bCs w:val="false"/>
          <w:i w:val="false"/>
          <w:iCs w:val="false"/>
          <w:color w:val="1A1A1A"/>
          <w:sz w:val="22"/>
          <w:szCs w:val="22"/>
        </w:rPr>
        <w:t xml:space="preserve">Through diplomatic leads, we access government agencies (Ministry of Mines, Business Registry) to obtain internal reports confirming the company’s good standing, license validity, and operational history.</w:t>
      </w:r>
    </w:p>
    <w:p>
      <w:pPr>
        <w:pStyle w:val="Heading2"/>
        <w:spacing w:before="280" w:after="160"/>
      </w:pPr>
      <w:r>
        <w:rPr>
          <w:rFonts w:ascii="Arial" w:cs="Arial" w:eastAsia="Arial" w:hAnsi="Arial"/>
          <w:b/>
          <w:bCs/>
          <w:color w:val="8B6914"/>
          <w:sz w:val="26"/>
          <w:szCs w:val="26"/>
        </w:rPr>
        <w:t xml:space="preserve">3.4 Stage 4 — Collateral &amp; Escrow Setup</w:t>
      </w:r>
    </w:p>
    <w:p>
      <w:pPr>
        <w:spacing w:before="80" w:after="120"/>
        <w:jc w:val="left"/>
      </w:pPr>
      <w:r>
        <w:rPr>
          <w:rFonts w:ascii="Arial" w:cs="Arial" w:eastAsia="Arial" w:hAnsi="Arial"/>
          <w:b w:val="false"/>
          <w:bCs w:val="false"/>
          <w:i w:val="false"/>
          <w:iCs w:val="false"/>
          <w:color w:val="1A1A1A"/>
          <w:sz w:val="22"/>
          <w:szCs w:val="22"/>
        </w:rPr>
        <w:t xml:space="preserve">Once due diligence is complete, we enter the transaction structuring phase.</w:t>
      </w:r>
    </w:p>
    <w:p>
      <w:pPr>
        <w:spacing w:before="200" w:after="120"/>
      </w:pPr>
      <w:r>
        <w:rPr>
          <w:rFonts w:ascii="Arial" w:cs="Arial" w:eastAsia="Arial" w:hAnsi="Arial"/>
          <w:b/>
          <w:bCs/>
          <w:color w:val="1B2A4A"/>
          <w:sz w:val="23"/>
          <w:szCs w:val="23"/>
        </w:rPr>
        <w:t xml:space="preserve">CIF Transactions (Delivery to Dubai)</w:t>
      </w:r>
    </w:p>
    <w:p>
      <w:pPr>
        <w:spacing w:before="80" w:after="120"/>
        <w:jc w:val="left"/>
      </w:pPr>
      <w:r>
        <w:rPr>
          <w:rFonts w:ascii="Arial" w:cs="Arial" w:eastAsia="Arial" w:hAnsi="Arial"/>
          <w:b w:val="false"/>
          <w:bCs w:val="false"/>
          <w:i w:val="false"/>
          <w:iCs w:val="false"/>
          <w:color w:val="1A1A1A"/>
          <w:sz w:val="22"/>
          <w:szCs w:val="22"/>
        </w:rPr>
        <w:t xml:space="preserve">When a seller agrees to CIF terms (delivering gold to Dubai), we must pay certain advance costs (export taxes, logistics, insurance)—often around 5% of the consignment value. To protect this advance, we require collateral gold.</w:t>
      </w:r>
    </w:p>
    <w:p>
      <w:pPr>
        <w:spacing w:before="200" w:after="120"/>
      </w:pPr>
      <w:r>
        <w:rPr>
          <w:rFonts w:ascii="Arial" w:cs="Arial" w:eastAsia="Arial" w:hAnsi="Arial"/>
          <w:b/>
          <w:bCs/>
          <w:color w:val="1B2A4A"/>
          <w:sz w:val="23"/>
          <w:szCs w:val="23"/>
        </w:rPr>
        <w:t xml:space="preserve">Collateral Process</w:t>
      </w:r>
    </w:p>
    <w:p>
      <w:pPr>
        <w:pStyle w:val="ListParagraph"/>
        <w:numPr>
          <w:ilvl w:val="0"/>
          <w:numId w:val="5"/>
        </w:numPr>
        <w:spacing w:before="40" w:after="40"/>
      </w:pPr>
      <w:r>
        <w:rPr>
          <w:rFonts w:ascii="Arial" w:cs="Arial" w:eastAsia="Arial" w:hAnsi="Arial"/>
          <w:color w:val="1A1A1A"/>
          <w:sz w:val="22"/>
          <w:szCs w:val="22"/>
        </w:rPr>
        <w:t xml:space="preserve">The seller deposits physical gold worth 200% of our advance payment with a neutral third-party agent (bank or security company, e.g., G4S, Ecobank, Brinks, Transguard).</w:t>
      </w:r>
    </w:p>
    <w:p>
      <w:pPr>
        <w:pStyle w:val="ListParagraph"/>
        <w:numPr>
          <w:ilvl w:val="0"/>
          <w:numId w:val="5"/>
        </w:numPr>
        <w:spacing w:before="40" w:after="40"/>
      </w:pPr>
      <w:r>
        <w:rPr>
          <w:rFonts w:ascii="Arial" w:cs="Arial" w:eastAsia="Arial" w:hAnsi="Arial"/>
          <w:color w:val="1A1A1A"/>
          <w:sz w:val="22"/>
          <w:szCs w:val="22"/>
        </w:rPr>
        <w:t xml:space="preserve">The collateral gold undergoes a fire assay in the seller’s country to verify purity. If the gold is 22 karat instead of 24, the quantity is adjusted upward (e.g., 2 kg becomes 2.5 kg).</w:t>
      </w:r>
    </w:p>
    <w:p>
      <w:pPr>
        <w:pStyle w:val="ListParagraph"/>
        <w:numPr>
          <w:ilvl w:val="0"/>
          <w:numId w:val="5"/>
        </w:numPr>
        <w:spacing w:before="40" w:after="40"/>
      </w:pPr>
      <w:r>
        <w:rPr>
          <w:rFonts w:ascii="Arial" w:cs="Arial" w:eastAsia="Arial" w:hAnsi="Arial"/>
          <w:color w:val="1A1A1A"/>
          <w:sz w:val="22"/>
          <w:szCs w:val="22"/>
        </w:rPr>
        <w:t xml:space="preserve">The collateral agent verifies ownership, documentation, and licensing before accepting the gold.</w:t>
      </w:r>
    </w:p>
    <w:p>
      <w:pPr>
        <w:pStyle w:val="ListParagraph"/>
        <w:numPr>
          <w:ilvl w:val="0"/>
          <w:numId w:val="5"/>
        </w:numPr>
        <w:spacing w:before="40" w:after="40"/>
      </w:pPr>
      <w:r>
        <w:rPr>
          <w:rFonts w:ascii="Arial" w:cs="Arial" w:eastAsia="Arial" w:hAnsi="Arial"/>
          <w:color w:val="1A1A1A"/>
          <w:sz w:val="22"/>
          <w:szCs w:val="22"/>
        </w:rPr>
        <w:t xml:space="preserve">A formal agreement is signed stipulating that in the event of default, ownership of the collateral transfers to us.</w:t>
      </w:r>
    </w:p>
    <w:p>
      <w:pPr>
        <w:pStyle w:val="ListParagraph"/>
        <w:numPr>
          <w:ilvl w:val="0"/>
          <w:numId w:val="5"/>
        </w:numPr>
        <w:spacing w:before="40" w:after="40"/>
      </w:pPr>
      <w:r>
        <w:rPr>
          <w:rFonts w:ascii="Arial" w:cs="Arial" w:eastAsia="Arial" w:hAnsi="Arial"/>
          <w:color w:val="1A1A1A"/>
          <w:sz w:val="22"/>
          <w:szCs w:val="22"/>
        </w:rPr>
        <w:t xml:space="preserve">Collateral is always held in joint custody—both parties are involved, with the third-party agent as the neutral 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2"/>
              <w:left w:val="single" w:color="CC0000" w:sz="6"/>
              <w:bottom w:val="single" w:color="CC0000" w:sz="2"/>
              <w:right w:val="single" w:color="CC0000" w:sz="2"/>
            </w:tcBorders>
            <w:shd w:fill="FFF0F0" w:val="clear"/>
            <w:tcMar>
              <w:top w:type="dxa" w:w="120"/>
              <w:left w:type="dxa" w:w="200"/>
              <w:bottom w:type="dxa" w:w="120"/>
              <w:right w:type="dxa" w:w="200"/>
            </w:tcMar>
          </w:tcPr>
          <w:p>
            <w:pPr>
              <w:spacing w:after="60"/>
            </w:pPr>
            <w:r>
              <w:rPr>
                <w:rFonts w:ascii="Arial" w:cs="Arial" w:eastAsia="Arial" w:hAnsi="Arial"/>
                <w:b/>
                <w:bCs/>
                <w:color w:val="CC0000"/>
                <w:sz w:val="22"/>
                <w:szCs w:val="22"/>
              </w:rPr>
              <w:t xml:space="preserve">NEVER Accept These Collateral Arrangements:</w:t>
            </w:r>
          </w:p>
          <w:p>
            <w:r>
              <w:rPr>
                <w:rFonts w:ascii="Arial" w:cs="Arial" w:eastAsia="Arial" w:hAnsi="Arial"/>
                <w:color w:val="1A1A1A"/>
                <w:sz w:val="22"/>
                <w:szCs w:val="22"/>
              </w:rPr>
              <w:t xml:space="preserve">Single custody (only one party controls the gold). Holding gold in your hotel or personal vault. Collateral managed by a law firm instead of a bank or reputed security company. Any arrangement where the seller retains unilateral control over the collateral.</w:t>
            </w:r>
          </w:p>
        </w:tc>
      </w:tr>
    </w:tbl>
    <w:p>
      <w:pPr>
        <w:pStyle w:val="Heading2"/>
        <w:spacing w:before="280" w:after="160"/>
      </w:pPr>
      <w:r>
        <w:rPr>
          <w:rFonts w:ascii="Arial" w:cs="Arial" w:eastAsia="Arial" w:hAnsi="Arial"/>
          <w:b/>
          <w:bCs/>
          <w:color w:val="8B6914"/>
          <w:sz w:val="26"/>
          <w:szCs w:val="26"/>
        </w:rPr>
        <w:t xml:space="preserve">3.5 Stage 5 — Export &amp; Logistics</w:t>
      </w:r>
    </w:p>
    <w:p>
      <w:pPr>
        <w:spacing w:before="80" w:after="120"/>
        <w:jc w:val="left"/>
      </w:pPr>
      <w:r>
        <w:rPr>
          <w:rFonts w:ascii="Arial" w:cs="Arial" w:eastAsia="Arial" w:hAnsi="Arial"/>
          <w:b w:val="false"/>
          <w:bCs w:val="false"/>
          <w:i w:val="false"/>
          <w:iCs w:val="false"/>
          <w:color w:val="1A1A1A"/>
          <w:sz w:val="22"/>
          <w:szCs w:val="22"/>
        </w:rPr>
        <w:t xml:space="preserve">After collateral is secured and advance payment is made:</w:t>
      </w:r>
    </w:p>
    <w:p>
      <w:pPr>
        <w:pStyle w:val="ListParagraph"/>
        <w:numPr>
          <w:ilvl w:val="0"/>
          <w:numId w:val="6"/>
        </w:numPr>
        <w:spacing w:before="40" w:after="40"/>
      </w:pPr>
      <w:r>
        <w:rPr>
          <w:rFonts w:ascii="Arial" w:cs="Arial" w:eastAsia="Arial" w:hAnsi="Arial"/>
          <w:color w:val="1A1A1A"/>
          <w:sz w:val="22"/>
          <w:szCs w:val="22"/>
        </w:rPr>
        <w:t xml:space="preserve">The seller has approximately 7 days total: 3 days to prepare paperwork (export licenses in Uganda are only valid for 3 days from issuance), and the remaining time for logistics.</w:t>
      </w:r>
    </w:p>
    <w:p>
      <w:pPr>
        <w:pStyle w:val="ListParagraph"/>
        <w:numPr>
          <w:ilvl w:val="0"/>
          <w:numId w:val="6"/>
        </w:numPr>
        <w:spacing w:before="40" w:after="40"/>
      </w:pPr>
      <w:r>
        <w:rPr>
          <w:rFonts w:ascii="Arial" w:cs="Arial" w:eastAsia="Arial" w:hAnsi="Arial"/>
          <w:color w:val="1A1A1A"/>
          <w:sz w:val="22"/>
          <w:szCs w:val="22"/>
        </w:rPr>
        <w:t xml:space="preserve">The gold is transported to Dubai via cargo airplane or private jet, fully insured throughout transit.</w:t>
      </w:r>
    </w:p>
    <w:p>
      <w:pPr>
        <w:pStyle w:val="ListParagraph"/>
        <w:numPr>
          <w:ilvl w:val="0"/>
          <w:numId w:val="6"/>
        </w:numPr>
        <w:spacing w:before="40" w:after="40"/>
      </w:pPr>
      <w:r>
        <w:rPr>
          <w:rFonts w:ascii="Arial" w:cs="Arial" w:eastAsia="Arial" w:hAnsi="Arial"/>
          <w:color w:val="1A1A1A"/>
          <w:sz w:val="22"/>
          <w:szCs w:val="22"/>
        </w:rPr>
        <w:t xml:space="preserve">Our team is present at every stage: on the ground in the source country, at arrival in Dubai, and at the refinery. We never travel with the seller or their representatives.</w:t>
      </w:r>
    </w:p>
    <w:p>
      <w:pPr>
        <w:pStyle w:val="ListParagraph"/>
        <w:numPr>
          <w:ilvl w:val="0"/>
          <w:numId w:val="6"/>
        </w:numPr>
        <w:spacing w:before="40" w:after="40"/>
      </w:pPr>
      <w:r>
        <w:rPr>
          <w:rFonts w:ascii="Arial" w:cs="Arial" w:eastAsia="Arial" w:hAnsi="Arial"/>
          <w:color w:val="1A1A1A"/>
          <w:sz w:val="22"/>
          <w:szCs w:val="22"/>
        </w:rPr>
        <w:t xml:space="preserve">Clearance agents in Dubai are engaged by us—not the seller. From the moment gold lands at the airport, our people are physically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2"/>
              <w:left w:val="single" w:color="CC0000" w:sz="6"/>
              <w:bottom w:val="single" w:color="CC0000" w:sz="2"/>
              <w:right w:val="single" w:color="CC0000" w:sz="2"/>
            </w:tcBorders>
            <w:shd w:fill="FFF0F0" w:val="clear"/>
            <w:tcMar>
              <w:top w:type="dxa" w:w="120"/>
              <w:left w:type="dxa" w:w="200"/>
              <w:bottom w:type="dxa" w:w="120"/>
              <w:right w:type="dxa" w:w="200"/>
            </w:tcMar>
          </w:tcPr>
          <w:p>
            <w:pPr>
              <w:spacing w:after="60"/>
            </w:pPr>
            <w:r>
              <w:rPr>
                <w:rFonts w:ascii="Arial" w:cs="Arial" w:eastAsia="Arial" w:hAnsi="Arial"/>
                <w:b/>
                <w:bCs/>
                <w:color w:val="CC0000"/>
                <w:sz w:val="22"/>
                <w:szCs w:val="22"/>
              </w:rPr>
              <w:t xml:space="preserve">NEVER Travel With the Seller:</w:t>
            </w:r>
          </w:p>
          <w:p>
            <w:r>
              <w:rPr>
                <w:rFonts w:ascii="Arial" w:cs="Arial" w:eastAsia="Arial" w:hAnsi="Arial"/>
                <w:color w:val="1A1A1A"/>
                <w:sz w:val="22"/>
                <w:szCs w:val="22"/>
              </w:rPr>
              <w:t xml:space="preserve">If a seller suggests flying together to Dubai, decline immediately. If they have committed fraud, you will be implicated. Maintain physical separation at all times—our team operates independently at every checkpoint.</w:t>
            </w:r>
          </w:p>
        </w:tc>
      </w:tr>
    </w:tbl>
    <w:p>
      <w:pPr>
        <w:pStyle w:val="Heading2"/>
        <w:spacing w:before="280" w:after="160"/>
      </w:pPr>
      <w:r>
        <w:rPr>
          <w:rFonts w:ascii="Arial" w:cs="Arial" w:eastAsia="Arial" w:hAnsi="Arial"/>
          <w:b/>
          <w:bCs/>
          <w:color w:val="8B6914"/>
          <w:sz w:val="26"/>
          <w:szCs w:val="26"/>
        </w:rPr>
        <w:t xml:space="preserve">3.6 Stage 6 — Refining</w:t>
      </w:r>
    </w:p>
    <w:p>
      <w:pPr>
        <w:spacing w:before="80" w:after="120"/>
        <w:jc w:val="left"/>
      </w:pPr>
      <w:r>
        <w:rPr>
          <w:rFonts w:ascii="Arial" w:cs="Arial" w:eastAsia="Arial" w:hAnsi="Arial"/>
          <w:b w:val="false"/>
          <w:bCs w:val="false"/>
          <w:i w:val="false"/>
          <w:iCs w:val="false"/>
          <w:color w:val="1A1A1A"/>
          <w:sz w:val="22"/>
          <w:szCs w:val="22"/>
        </w:rPr>
        <w:t xml:space="preserve">Gold is taken directly to our designated refinery (e.g., Emirates Refinery, which is classified as the highest tier, “Double-S Class”). The refinery processes the raw gold to 24-karat purity and issues a certificate with their marking.</w:t>
      </w:r>
    </w:p>
    <w:p>
      <w:pPr>
        <w:spacing w:before="80" w:after="120"/>
        <w:jc w:val="left"/>
      </w:pPr>
      <w:r>
        <w:rPr>
          <w:rFonts w:ascii="Arial" w:cs="Arial" w:eastAsia="Arial" w:hAnsi="Arial"/>
          <w:b w:val="false"/>
          <w:bCs w:val="false"/>
          <w:i w:val="false"/>
          <w:iCs w:val="false"/>
          <w:color w:val="1A1A1A"/>
          <w:sz w:val="22"/>
          <w:szCs w:val="22"/>
        </w:rPr>
        <w:t xml:space="preserve">Until the refinery completes processing and we make full payment, the gold remains in the seller’s name. Title does not transfer until the final payment is made.</w:t>
      </w:r>
    </w:p>
    <w:p>
      <w:pPr>
        <w:pStyle w:val="Heading2"/>
        <w:spacing w:before="280" w:after="160"/>
      </w:pPr>
      <w:r>
        <w:rPr>
          <w:rFonts w:ascii="Arial" w:cs="Arial" w:eastAsia="Arial" w:hAnsi="Arial"/>
          <w:b/>
          <w:bCs/>
          <w:color w:val="8B6914"/>
          <w:sz w:val="26"/>
          <w:szCs w:val="26"/>
        </w:rPr>
        <w:t xml:space="preserve">3.7 Stage 7 — Final Payment &amp; Closure</w:t>
      </w:r>
    </w:p>
    <w:p>
      <w:pPr>
        <w:spacing w:before="80" w:after="120"/>
        <w:jc w:val="left"/>
      </w:pPr>
      <w:r>
        <w:rPr>
          <w:rFonts w:ascii="Arial" w:cs="Arial" w:eastAsia="Arial" w:hAnsi="Arial"/>
          <w:b w:val="false"/>
          <w:bCs w:val="false"/>
          <w:i w:val="false"/>
          <w:iCs w:val="false"/>
          <w:color w:val="1A1A1A"/>
          <w:sz w:val="22"/>
          <w:szCs w:val="22"/>
        </w:rPr>
        <w:t xml:space="preserve">Release of collateral is triggered only when all of the following documents are presented to the collateral agent:</w:t>
      </w:r>
    </w:p>
    <w:p>
      <w:pPr>
        <w:pStyle w:val="ListParagraph"/>
        <w:numPr>
          <w:ilvl w:val="0"/>
          <w:numId w:val="7"/>
        </w:numPr>
        <w:spacing w:before="40" w:after="40"/>
      </w:pPr>
      <w:r>
        <w:rPr>
          <w:rFonts w:ascii="Arial" w:cs="Arial" w:eastAsia="Arial" w:hAnsi="Arial"/>
          <w:color w:val="1A1A1A"/>
          <w:sz w:val="22"/>
          <w:szCs w:val="22"/>
        </w:rPr>
        <w:t xml:space="preserve">24-karat purity report from the refinery, confirming final purity and quantity.</w:t>
      </w:r>
    </w:p>
    <w:p>
      <w:pPr>
        <w:pStyle w:val="ListParagraph"/>
        <w:numPr>
          <w:ilvl w:val="0"/>
          <w:numId w:val="7"/>
        </w:numPr>
        <w:spacing w:before="40" w:after="40"/>
      </w:pPr>
      <w:r>
        <w:rPr>
          <w:rFonts w:ascii="Arial" w:cs="Arial" w:eastAsia="Arial" w:hAnsi="Arial"/>
          <w:color w:val="1A1A1A"/>
          <w:sz w:val="22"/>
          <w:szCs w:val="22"/>
        </w:rPr>
        <w:t xml:space="preserve">SWIFT copy confirming full payment has been sent to the seller.</w:t>
      </w:r>
    </w:p>
    <w:p>
      <w:pPr>
        <w:pStyle w:val="ListParagraph"/>
        <w:numPr>
          <w:ilvl w:val="0"/>
          <w:numId w:val="7"/>
        </w:numPr>
        <w:spacing w:before="40" w:after="40"/>
      </w:pPr>
      <w:r>
        <w:rPr>
          <w:rFonts w:ascii="Arial" w:cs="Arial" w:eastAsia="Arial" w:hAnsi="Arial"/>
          <w:color w:val="1A1A1A"/>
          <w:sz w:val="22"/>
          <w:szCs w:val="22"/>
        </w:rPr>
        <w:t xml:space="preserve">Title change confirmation showing ownership has transferred to us.</w:t>
      </w:r>
    </w:p>
    <w:p>
      <w:pPr>
        <w:spacing w:before="80" w:after="120"/>
        <w:jc w:val="left"/>
      </w:pPr>
      <w:r>
        <w:rPr>
          <w:rFonts w:ascii="Arial" w:cs="Arial" w:eastAsia="Arial" w:hAnsi="Arial"/>
          <w:b w:val="false"/>
          <w:bCs w:val="false"/>
          <w:i w:val="false"/>
          <w:iCs w:val="false"/>
          <w:color w:val="1A1A1A"/>
          <w:sz w:val="22"/>
          <w:szCs w:val="22"/>
        </w:rPr>
        <w:t xml:space="preserve">Once all conditions are met, the collateral is released back to the seller. The deal is closed.</w:t>
      </w:r>
    </w:p>
    <w:p>
      <w:r>
        <w:br w:type="page"/>
      </w:r>
    </w:p>
    <w:p>
      <w:pPr>
        <w:pStyle w:val="Heading1"/>
        <w:pBdr>
          <w:bottom w:val="single" w:color="B8860B" w:sz="3" w:space="4"/>
        </w:pBdr>
        <w:spacing w:before="360" w:after="200"/>
      </w:pPr>
      <w:r>
        <w:rPr>
          <w:rFonts w:ascii="Arial" w:cs="Arial" w:eastAsia="Arial" w:hAnsi="Arial"/>
          <w:b/>
          <w:bCs/>
          <w:color w:val="1B2A4A"/>
          <w:sz w:val="32"/>
          <w:szCs w:val="32"/>
        </w:rPr>
        <w:t xml:space="preserve">4. Dubai Operating Environment</w:t>
      </w:r>
    </w:p>
    <w:p>
      <w:pPr>
        <w:pStyle w:val="Heading2"/>
        <w:spacing w:before="280" w:after="160"/>
      </w:pPr>
      <w:r>
        <w:rPr>
          <w:rFonts w:ascii="Arial" w:cs="Arial" w:eastAsia="Arial" w:hAnsi="Arial"/>
          <w:b/>
          <w:bCs/>
          <w:color w:val="8B6914"/>
          <w:sz w:val="26"/>
          <w:szCs w:val="26"/>
        </w:rPr>
        <w:t xml:space="preserve">4.1 Free Zones</w:t>
      </w:r>
    </w:p>
    <w:p>
      <w:pPr>
        <w:spacing w:before="80" w:after="120"/>
        <w:jc w:val="left"/>
      </w:pPr>
      <w:r>
        <w:rPr>
          <w:rFonts w:ascii="Arial" w:cs="Arial" w:eastAsia="Arial" w:hAnsi="Arial"/>
          <w:b w:val="false"/>
          <w:bCs w:val="false"/>
          <w:i w:val="false"/>
          <w:iCs w:val="false"/>
          <w:color w:val="1A1A1A"/>
          <w:sz w:val="22"/>
          <w:szCs w:val="22"/>
        </w:rPr>
        <w:t xml:space="preserve">Dubai (and the broader UAE) operates multiple free zones—designated economic areas with specific tax and regulatory benefits. Key zones for gold operations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Zone</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2"/>
                <w:szCs w:val="22"/>
              </w:rPr>
              <w:t xml:space="preserve">DMCC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Dubai Multi Commodities Centre. The primary ecosystem for gold, silver, platinum, and diamond trading. Approximately 230 acres, established in the 1990s. Houses world-class refineries and the Gold Souk (hundreds of gold shops). Zero tax on gold transactions within the zone.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2"/>
                <w:szCs w:val="22"/>
              </w:rPr>
              <w:t xml:space="preserve">Maidan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Another Dubai free zone where we maintain a registered entity.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2"/>
                <w:szCs w:val="22"/>
              </w:rPr>
              <w:t xml:space="preserve">Sharjah / Isa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Free zones in other emirates where we also hold company registrations.</w:t>
            </w:r>
          </w:p>
        </w:tc>
      </w:tr>
    </w:tbl>
    <w:p>
      <w:pPr>
        <w:pStyle w:val="Heading2"/>
        <w:spacing w:before="280" w:after="160"/>
      </w:pPr>
      <w:r>
        <w:rPr>
          <w:rFonts w:ascii="Arial" w:cs="Arial" w:eastAsia="Arial" w:hAnsi="Arial"/>
          <w:b/>
          <w:bCs/>
          <w:color w:val="8B6914"/>
          <w:sz w:val="26"/>
          <w:szCs w:val="26"/>
        </w:rPr>
        <w:t xml:space="preserve">4.2 Key DMCC Benefits</w:t>
      </w:r>
    </w:p>
    <w:p>
      <w:pPr>
        <w:pStyle w:val="ListParagraph"/>
        <w:numPr>
          <w:ilvl w:val="0"/>
          <w:numId w:val="8"/>
        </w:numPr>
        <w:spacing w:before="40" w:after="40"/>
      </w:pPr>
      <w:r>
        <w:rPr>
          <w:rFonts w:ascii="Arial" w:cs="Arial" w:eastAsia="Arial" w:hAnsi="Arial"/>
          <w:color w:val="1A1A1A"/>
          <w:sz w:val="22"/>
          <w:szCs w:val="22"/>
        </w:rPr>
        <w:t xml:space="preserve">Zero tax on gold bought and sold within DMCC.</w:t>
      </w:r>
    </w:p>
    <w:p>
      <w:pPr>
        <w:pStyle w:val="ListParagraph"/>
        <w:numPr>
          <w:ilvl w:val="0"/>
          <w:numId w:val="8"/>
        </w:numPr>
        <w:spacing w:before="40" w:after="40"/>
      </w:pPr>
      <w:r>
        <w:rPr>
          <w:rFonts w:ascii="Arial" w:cs="Arial" w:eastAsia="Arial" w:hAnsi="Arial"/>
          <w:color w:val="1A1A1A"/>
          <w:sz w:val="22"/>
          <w:szCs w:val="22"/>
        </w:rPr>
        <w:t xml:space="preserve">No repatriation restrictions—profits can be moved to any country.</w:t>
      </w:r>
    </w:p>
    <w:p>
      <w:pPr>
        <w:pStyle w:val="ListParagraph"/>
        <w:numPr>
          <w:ilvl w:val="0"/>
          <w:numId w:val="8"/>
        </w:numPr>
        <w:spacing w:before="40" w:after="40"/>
      </w:pPr>
      <w:r>
        <w:rPr>
          <w:rFonts w:ascii="Arial" w:cs="Arial" w:eastAsia="Arial" w:hAnsi="Arial"/>
          <w:color w:val="1A1A1A"/>
          <w:sz w:val="22"/>
          <w:szCs w:val="22"/>
        </w:rPr>
        <w:t xml:space="preserve">Dubai Good Gold Standard provides certification equivalent to LBMA for domestic and regional trading.</w:t>
      </w:r>
    </w:p>
    <w:p>
      <w:pPr>
        <w:pStyle w:val="ListParagraph"/>
        <w:numPr>
          <w:ilvl w:val="0"/>
          <w:numId w:val="8"/>
        </w:numPr>
        <w:spacing w:before="40" w:after="40"/>
      </w:pPr>
      <w:r>
        <w:rPr>
          <w:rFonts w:ascii="Arial" w:cs="Arial" w:eastAsia="Arial" w:hAnsi="Arial"/>
          <w:color w:val="1A1A1A"/>
          <w:sz w:val="22"/>
          <w:szCs w:val="22"/>
        </w:rPr>
        <w:t xml:space="preserve">Extremely low crime rate due to severe judicial penalties.</w:t>
      </w:r>
    </w:p>
    <w:p>
      <w:pPr>
        <w:pStyle w:val="Heading2"/>
        <w:spacing w:before="280" w:after="160"/>
      </w:pPr>
      <w:r>
        <w:rPr>
          <w:rFonts w:ascii="Arial" w:cs="Arial" w:eastAsia="Arial" w:hAnsi="Arial"/>
          <w:b/>
          <w:bCs/>
          <w:color w:val="8B6914"/>
          <w:sz w:val="26"/>
          <w:szCs w:val="26"/>
        </w:rPr>
        <w:t xml:space="preserve">4.3 Dubai as a Buffer Layer</w:t>
      </w:r>
    </w:p>
    <w:p>
      <w:pPr>
        <w:spacing w:before="80" w:after="120"/>
        <w:jc w:val="left"/>
      </w:pPr>
      <w:r>
        <w:rPr>
          <w:rFonts w:ascii="Arial" w:cs="Arial" w:eastAsia="Arial" w:hAnsi="Arial"/>
          <w:b w:val="false"/>
          <w:bCs w:val="false"/>
          <w:i w:val="false"/>
          <w:iCs w:val="false"/>
          <w:color w:val="1A1A1A"/>
          <w:sz w:val="22"/>
          <w:szCs w:val="22"/>
        </w:rPr>
        <w:t xml:space="preserve">Dubai functions as the global buffer zone for gold. Raw gold from African and other sources enters Dubai, gets refined and certified, and then moves onward (often to Switzerland). Once gold has been refined and stamped by a Dubai refinery, its African origin is effectively absorbed—it becomes “Dubai gold.” Swiss refineries, which have strict origin restrictions, will accept Dubai gold even when they would reject direct imports from certain African countries.</w:t>
      </w:r>
    </w:p>
    <w:p>
      <w:pPr>
        <w:pStyle w:val="Heading2"/>
        <w:spacing w:before="280" w:after="160"/>
      </w:pPr>
      <w:r>
        <w:rPr>
          <w:rFonts w:ascii="Arial" w:cs="Arial" w:eastAsia="Arial" w:hAnsi="Arial"/>
          <w:b/>
          <w:bCs/>
          <w:color w:val="8B6914"/>
          <w:sz w:val="26"/>
          <w:szCs w:val="26"/>
        </w:rPr>
        <w:t xml:space="preserve">4.4 Compliance Environment</w:t>
      </w:r>
    </w:p>
    <w:p>
      <w:pPr>
        <w:spacing w:before="80" w:after="120"/>
        <w:jc w:val="left"/>
      </w:pPr>
      <w:r>
        <w:rPr>
          <w:rFonts w:ascii="Arial" w:cs="Arial" w:eastAsia="Arial" w:hAnsi="Arial"/>
          <w:b w:val="false"/>
          <w:bCs w:val="false"/>
          <w:i w:val="false"/>
          <w:iCs w:val="false"/>
          <w:color w:val="1A1A1A"/>
          <w:sz w:val="22"/>
          <w:szCs w:val="22"/>
        </w:rPr>
        <w:t xml:space="preserve">Following gray-list sanctions from international anti-money laundering watchdogs around 2024, Dubai significantly tightened compliance requirements. Opening a bank account for a gold business is now extremely difficult, and gold trading is classified as “very high risk.” The EDD process examines an applicant’s entire history: business experience, sources of wealth, partner backgrounds, sanction screening, and more.</w:t>
      </w:r>
    </w:p>
    <w:p>
      <w:pPr>
        <w:pStyle w:val="Heading2"/>
        <w:spacing w:before="280" w:after="160"/>
      </w:pPr>
      <w:r>
        <w:rPr>
          <w:rFonts w:ascii="Arial" w:cs="Arial" w:eastAsia="Arial" w:hAnsi="Arial"/>
          <w:b/>
          <w:bCs/>
          <w:color w:val="8B6914"/>
          <w:sz w:val="26"/>
          <w:szCs w:val="26"/>
        </w:rPr>
        <w:t xml:space="preserve">4.5 Vaulting &amp; Storage</w:t>
      </w:r>
    </w:p>
    <w:p>
      <w:pPr>
        <w:spacing w:before="80" w:after="120"/>
        <w:jc w:val="left"/>
      </w:pPr>
      <w:r>
        <w:rPr>
          <w:rFonts w:ascii="Arial" w:cs="Arial" w:eastAsia="Arial" w:hAnsi="Arial"/>
          <w:b w:val="false"/>
          <w:bCs w:val="false"/>
          <w:i w:val="false"/>
          <w:iCs w:val="false"/>
          <w:color w:val="1A1A1A"/>
          <w:sz w:val="22"/>
          <w:szCs w:val="22"/>
        </w:rPr>
        <w:t xml:space="preserve">Refineries typically offer complimentary insured vaulting for approximately one week after refining. Beyond that, insured vaulting is available through Brinks, Transguard, Musharaq Bank, and others. Gold is sold using vault certificates—physical transport of large quantities is not required.</w:t>
      </w:r>
    </w:p>
    <w:p>
      <w:pPr>
        <w:pStyle w:val="Heading2"/>
        <w:spacing w:before="280" w:after="160"/>
      </w:pPr>
      <w:r>
        <w:rPr>
          <w:rFonts w:ascii="Arial" w:cs="Arial" w:eastAsia="Arial" w:hAnsi="Arial"/>
          <w:b/>
          <w:bCs/>
          <w:color w:val="8B6914"/>
          <w:sz w:val="26"/>
          <w:szCs w:val="26"/>
        </w:rPr>
        <w:t xml:space="preserve">4.6 Emirates Vertical Integration</w:t>
      </w:r>
    </w:p>
    <w:p>
      <w:pPr>
        <w:spacing w:before="80" w:after="120"/>
        <w:jc w:val="left"/>
      </w:pPr>
      <w:r>
        <w:rPr>
          <w:rFonts w:ascii="Arial" w:cs="Arial" w:eastAsia="Arial" w:hAnsi="Arial"/>
          <w:b w:val="false"/>
          <w:bCs w:val="false"/>
          <w:i w:val="false"/>
          <w:iCs w:val="false"/>
          <w:color w:val="1A1A1A"/>
          <w:sz w:val="22"/>
          <w:szCs w:val="22"/>
        </w:rPr>
        <w:t xml:space="preserve">Emirates (the king of Dubai’s company) operates a complete vertical for the gold business: Emirates Refinery (Double-S class, operating since the 1940s), Transguard (security and vaulting), and cargo airlines. They dominate the entire gold logistics chain.</w:t>
      </w:r>
    </w:p>
    <w:p>
      <w:r>
        <w:br w:type="page"/>
      </w:r>
    </w:p>
    <w:p>
      <w:pPr>
        <w:pStyle w:val="Heading1"/>
        <w:pBdr>
          <w:bottom w:val="single" w:color="B8860B" w:sz="3" w:space="4"/>
        </w:pBdr>
        <w:spacing w:before="360" w:after="200"/>
      </w:pPr>
      <w:r>
        <w:rPr>
          <w:rFonts w:ascii="Arial" w:cs="Arial" w:eastAsia="Arial" w:hAnsi="Arial"/>
          <w:b/>
          <w:bCs/>
          <w:color w:val="1B2A4A"/>
          <w:sz w:val="32"/>
          <w:szCs w:val="32"/>
        </w:rPr>
        <w:t xml:space="preserve">5. Buyer Relations</w:t>
      </w:r>
    </w:p>
    <w:p>
      <w:pPr>
        <w:pStyle w:val="Heading2"/>
        <w:spacing w:before="280" w:after="160"/>
      </w:pPr>
      <w:r>
        <w:rPr>
          <w:rFonts w:ascii="Arial" w:cs="Arial" w:eastAsia="Arial" w:hAnsi="Arial"/>
          <w:b/>
          <w:bCs/>
          <w:color w:val="8B6914"/>
          <w:sz w:val="26"/>
          <w:szCs w:val="26"/>
        </w:rPr>
        <w:t xml:space="preserve">5.1 Buyer Pricing</w:t>
      </w:r>
    </w:p>
    <w:p>
      <w:pPr>
        <w:spacing w:before="80" w:after="120"/>
        <w:jc w:val="left"/>
      </w:pPr>
      <w:r>
        <w:rPr>
          <w:rFonts w:ascii="Arial" w:cs="Arial" w:eastAsia="Arial" w:hAnsi="Arial"/>
          <w:b w:val="false"/>
          <w:bCs w:val="false"/>
          <w:i w:val="false"/>
          <w:iCs w:val="false"/>
          <w:color w:val="1A1A1A"/>
          <w:sz w:val="22"/>
          <w:szCs w:val="22"/>
        </w:rPr>
        <w:t xml:space="preserve">Buyers purchase refined gold at a discount to the global spot price. Standard discount range is -1% to -5% off LME/LBMA spot price. Larger volume buyers request larger discounts.</w:t>
      </w:r>
    </w:p>
    <w:p>
      <w:pPr>
        <w:pStyle w:val="Heading2"/>
        <w:spacing w:before="280" w:after="160"/>
      </w:pPr>
      <w:r>
        <w:rPr>
          <w:rFonts w:ascii="Arial" w:cs="Arial" w:eastAsia="Arial" w:hAnsi="Arial"/>
          <w:b/>
          <w:bCs/>
          <w:color w:val="8B6914"/>
          <w:sz w:val="26"/>
          <w:szCs w:val="26"/>
        </w:rPr>
        <w:t xml:space="preserve">5.2 Introduction Script (Buyers)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E6C4" w:sz="1"/>
              <w:left w:val="single" w:color="B8860B" w:sz="6"/>
              <w:bottom w:val="single" w:color="F5E6C4" w:sz="1"/>
              <w:right w:val="single" w:color="F5E6C4" w:sz="1"/>
            </w:tcBorders>
            <w:shd w:fill="FFF8E7" w:val="clear"/>
            <w:tcMar>
              <w:top w:type="dxa" w:w="120"/>
              <w:left w:type="dxa" w:w="200"/>
              <w:bottom w:type="dxa" w:w="120"/>
              <w:right w:type="dxa" w:w="200"/>
            </w:tcMar>
          </w:tcPr>
          <w:p>
            <w:r>
              <w:rPr>
                <w:rFonts w:ascii="Arial" w:cs="Arial" w:eastAsia="Arial" w:hAnsi="Arial"/>
                <w:i/>
                <w:iCs/>
                <w:color w:val="1B2A4A"/>
                <w:sz w:val="22"/>
                <w:szCs w:val="22"/>
              </w:rPr>
              <w:t xml:space="preserve">"Hello, I’m [proxy name], calling on behalf of UAN, an intergovernmental humanitarian organization based in the US. Our commercial wing funds our humanitarian activities through several businesses, including gold trading. We’ve been in this industry for over 20 years. We’re planning to bring a consignment of approximately 50 kgs of 24-karat hallmarked, refined gold from our African counterparts. We’d like to know if you’d be interested in purchasing, and whether you’d be open to an escrow arrangement."</w:t>
            </w:r>
          </w:p>
        </w:tc>
      </w:tr>
    </w:tbl>
    <w:p>
      <w:pPr>
        <w:spacing w:before="80" w:after="120"/>
        <w:jc w:val="left"/>
      </w:pPr>
      <w:r>
        <w:rPr>
          <w:rFonts w:ascii="Arial" w:cs="Arial" w:eastAsia="Arial" w:hAnsi="Arial"/>
          <w:b w:val="false"/>
          <w:bCs w:val="false"/>
          <w:i w:val="false"/>
          <w:iCs w:val="false"/>
          <w:color w:val="1A1A1A"/>
          <w:sz w:val="22"/>
          <w:szCs w:val="22"/>
        </w:rPr>
        <w:t xml:space="preserve">Key differences from seller conversations:</w:t>
      </w:r>
    </w:p>
    <w:p>
      <w:pPr>
        <w:pStyle w:val="ListParagraph"/>
        <w:numPr>
          <w:ilvl w:val="0"/>
          <w:numId w:val="9"/>
        </w:numPr>
        <w:spacing w:before="40" w:after="40"/>
      </w:pPr>
      <w:r>
        <w:rPr>
          <w:rFonts w:ascii="Arial" w:cs="Arial" w:eastAsia="Arial" w:hAnsi="Arial"/>
          <w:color w:val="1A1A1A"/>
          <w:sz w:val="22"/>
          <w:szCs w:val="22"/>
        </w:rPr>
        <w:t xml:space="preserve">Use 50 kg as the quantity (not 1 ton—larger numbers will seem unrealistic to buyers and raise scam flags).</w:t>
      </w:r>
    </w:p>
    <w:p>
      <w:pPr>
        <w:pStyle w:val="ListParagraph"/>
        <w:numPr>
          <w:ilvl w:val="0"/>
          <w:numId w:val="9"/>
        </w:numPr>
        <w:spacing w:before="40" w:after="40"/>
      </w:pPr>
      <w:r>
        <w:rPr>
          <w:rFonts w:ascii="Arial" w:cs="Arial" w:eastAsia="Arial" w:hAnsi="Arial"/>
          <w:color w:val="1A1A1A"/>
          <w:sz w:val="22"/>
          <w:szCs w:val="22"/>
        </w:rPr>
        <w:t xml:space="preserve">Do not disclose the source country. If asked, name non-controversial gold-producing countries: Zambia, South Africa, Guinea-Conakry. Never mention DRC, Uganda, or Kenya.</w:t>
      </w:r>
    </w:p>
    <w:p>
      <w:pPr>
        <w:pStyle w:val="ListParagraph"/>
        <w:numPr>
          <w:ilvl w:val="0"/>
          <w:numId w:val="9"/>
        </w:numPr>
        <w:spacing w:before="40" w:after="40"/>
      </w:pPr>
      <w:r>
        <w:rPr>
          <w:rFonts w:ascii="Arial" w:cs="Arial" w:eastAsia="Arial" w:hAnsi="Arial"/>
          <w:color w:val="1A1A1A"/>
          <w:sz w:val="22"/>
          <w:szCs w:val="22"/>
        </w:rPr>
        <w:t xml:space="preserve">Offer to cover all escrow fees—there is zero cost to the buyer.</w:t>
      </w:r>
    </w:p>
    <w:p>
      <w:pPr>
        <w:pStyle w:val="ListParagraph"/>
        <w:numPr>
          <w:ilvl w:val="0"/>
          <w:numId w:val="9"/>
        </w:numPr>
        <w:spacing w:before="40" w:after="40"/>
      </w:pPr>
      <w:r>
        <w:rPr>
          <w:rFonts w:ascii="Arial" w:cs="Arial" w:eastAsia="Arial" w:hAnsi="Arial"/>
          <w:color w:val="1A1A1A"/>
          <w:sz w:val="22"/>
          <w:szCs w:val="22"/>
        </w:rPr>
        <w:t xml:space="preserve">Standard discount offer: -1% on spot price, negotiable for larger quantities.</w:t>
      </w:r>
    </w:p>
    <w:p>
      <w:pPr>
        <w:pStyle w:val="Heading2"/>
        <w:spacing w:before="280" w:after="160"/>
      </w:pPr>
      <w:r>
        <w:rPr>
          <w:rFonts w:ascii="Arial" w:cs="Arial" w:eastAsia="Arial" w:hAnsi="Arial"/>
          <w:b/>
          <w:bCs/>
          <w:color w:val="8B6914"/>
          <w:sz w:val="26"/>
          <w:szCs w:val="26"/>
        </w:rPr>
        <w:t xml:space="preserve">5.3 Buyer Commitment Tiers</w:t>
      </w:r>
    </w:p>
    <w:p>
      <w:pPr>
        <w:spacing w:before="80" w:after="120"/>
        <w:jc w:val="left"/>
      </w:pPr>
      <w:r>
        <w:rPr>
          <w:rFonts w:ascii="Arial" w:cs="Arial" w:eastAsia="Arial" w:hAnsi="Arial"/>
          <w:b w:val="false"/>
          <w:bCs w:val="false"/>
          <w:i w:val="false"/>
          <w:iCs w:val="false"/>
          <w:color w:val="1A1A1A"/>
          <w:sz w:val="22"/>
          <w:szCs w:val="22"/>
        </w:rPr>
        <w:t xml:space="preserve">Buyers rarely commit to hard escrow arrangements upfront. We categorize buyer readiness into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Tier</w:t>
            </w:r>
          </w:p>
        </w:tc>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Commitment Level</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Use Case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2"/>
                <w:szCs w:val="22"/>
              </w:rPr>
              <w:t xml:space="preserve">Tier 1 (Best)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Full escrow with funds locked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Highest priority; guaranteed buyer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2"/>
                <w:szCs w:val="22"/>
              </w:rPr>
              <w:t xml:space="preserve">Tier 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Proof of Funds (bank statement)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Buffer capacity; likely buyer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2"/>
                <w:szCs w:val="22"/>
              </w:rPr>
              <w:t xml:space="preserve">Tier 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Verbal commitment / cash-and-carry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Backup; used for overflow</w:t>
            </w:r>
          </w:p>
        </w:tc>
      </w:tr>
    </w:tbl>
    <w:p>
      <w:pPr>
        <w:pStyle w:val="Heading2"/>
        <w:spacing w:before="280" w:after="160"/>
      </w:pPr>
      <w:r>
        <w:rPr>
          <w:rFonts w:ascii="Arial" w:cs="Arial" w:eastAsia="Arial" w:hAnsi="Arial"/>
          <w:b/>
          <w:bCs/>
          <w:color w:val="8B6914"/>
          <w:sz w:val="26"/>
          <w:szCs w:val="26"/>
        </w:rPr>
        <w:t xml:space="preserve">5.4 Critical: Buyer-Seller Separation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2"/>
              <w:left w:val="single" w:color="CC0000" w:sz="6"/>
              <w:bottom w:val="single" w:color="CC0000" w:sz="2"/>
              <w:right w:val="single" w:color="CC0000" w:sz="2"/>
            </w:tcBorders>
            <w:shd w:fill="FFF0F0" w:val="clear"/>
            <w:tcMar>
              <w:top w:type="dxa" w:w="120"/>
              <w:left w:type="dxa" w:w="200"/>
              <w:bottom w:type="dxa" w:w="120"/>
              <w:right w:type="dxa" w:w="200"/>
            </w:tcMar>
          </w:tcPr>
          <w:p>
            <w:pPr>
              <w:spacing w:after="60"/>
            </w:pPr>
            <w:r>
              <w:rPr>
                <w:rFonts w:ascii="Arial" w:cs="Arial" w:eastAsia="Arial" w:hAnsi="Arial"/>
                <w:b/>
                <w:bCs/>
                <w:color w:val="CC0000"/>
                <w:sz w:val="22"/>
                <w:szCs w:val="22"/>
              </w:rPr>
              <w:t xml:space="preserve">Absolute Rule: Buyers Must Never Know Our Sellers</w:t>
            </w:r>
          </w:p>
          <w:p>
            <w:r>
              <w:rPr>
                <w:rFonts w:ascii="Arial" w:cs="Arial" w:eastAsia="Arial" w:hAnsi="Arial"/>
                <w:color w:val="1A1A1A"/>
                <w:sz w:val="22"/>
                <w:szCs w:val="22"/>
              </w:rPr>
              <w:t xml:space="preserve">The entire business model depends on intermediation. If a buyer learns who our seller is and the price we pay, they will bypass us and deal directly. Even the refinery must not know our purchase price, as refineries own subsidiary companies across Africa and will exploit any information leak. Non-circumvention clauses are signed, but the primary defense is operational compartmentalization.</w:t>
            </w:r>
          </w:p>
        </w:tc>
      </w:tr>
    </w:tbl>
    <w:p>
      <w:r>
        <w:br w:type="page"/>
      </w:r>
    </w:p>
    <w:p>
      <w:pPr>
        <w:pStyle w:val="Heading1"/>
        <w:pBdr>
          <w:bottom w:val="single" w:color="B8860B" w:sz="3" w:space="4"/>
        </w:pBdr>
        <w:spacing w:before="360" w:after="200"/>
      </w:pPr>
      <w:r>
        <w:rPr>
          <w:rFonts w:ascii="Arial" w:cs="Arial" w:eastAsia="Arial" w:hAnsi="Arial"/>
          <w:b/>
          <w:bCs/>
          <w:color w:val="1B2A4A"/>
          <w:sz w:val="32"/>
          <w:szCs w:val="32"/>
        </w:rPr>
        <w:t xml:space="preserve">6. The Gold Supply Chain in Africa</w:t>
      </w:r>
    </w:p>
    <w:p>
      <w:pPr>
        <w:pStyle w:val="Heading2"/>
        <w:spacing w:before="280" w:after="160"/>
      </w:pPr>
      <w:r>
        <w:rPr>
          <w:rFonts w:ascii="Arial" w:cs="Arial" w:eastAsia="Arial" w:hAnsi="Arial"/>
          <w:b/>
          <w:bCs/>
          <w:color w:val="8B6914"/>
          <w:sz w:val="26"/>
          <w:szCs w:val="26"/>
        </w:rPr>
        <w:t xml:space="preserve">6.1 From Miner to Export Agent</w:t>
      </w:r>
    </w:p>
    <w:p>
      <w:pPr>
        <w:spacing w:before="80" w:after="120"/>
        <w:jc w:val="left"/>
      </w:pPr>
      <w:r>
        <w:rPr>
          <w:rFonts w:ascii="Arial" w:cs="Arial" w:eastAsia="Arial" w:hAnsi="Arial"/>
          <w:b w:val="false"/>
          <w:bCs w:val="false"/>
          <w:i w:val="false"/>
          <w:iCs w:val="false"/>
          <w:color w:val="1A1A1A"/>
          <w:sz w:val="22"/>
          <w:szCs w:val="22"/>
        </w:rPr>
        <w:t xml:space="preserve">Gold passes through multiple hands before reaching an international buyer:</w:t>
      </w:r>
    </w:p>
    <w:p>
      <w:pPr>
        <w:pStyle w:val="ListParagraph"/>
        <w:numPr>
          <w:ilvl w:val="0"/>
          <w:numId w:val="10"/>
        </w:numPr>
        <w:spacing w:before="40" w:after="40"/>
      </w:pPr>
      <w:r>
        <w:rPr>
          <w:rFonts w:ascii="Arial" w:cs="Arial" w:eastAsia="Arial" w:hAnsi="Arial"/>
          <w:color w:val="1A1A1A"/>
          <w:sz w:val="22"/>
          <w:szCs w:val="22"/>
        </w:rPr>
        <w:t xml:space="preserve">Artisanal Miners: Village-level individuals who extract gold manually. Many cannot read or write and do not speak international languages. They sell at extremely low prices.</w:t>
      </w:r>
    </w:p>
    <w:p>
      <w:pPr>
        <w:pStyle w:val="ListParagraph"/>
        <w:numPr>
          <w:ilvl w:val="0"/>
          <w:numId w:val="10"/>
        </w:numPr>
        <w:spacing w:before="40" w:after="40"/>
      </w:pPr>
      <w:r>
        <w:rPr>
          <w:rFonts w:ascii="Arial" w:cs="Arial" w:eastAsia="Arial" w:hAnsi="Arial"/>
          <w:color w:val="1A1A1A"/>
          <w:sz w:val="22"/>
          <w:szCs w:val="22"/>
        </w:rPr>
        <w:t xml:space="preserve">Cooperatives: Local aggregators with registered domestic companies and trading licenses. They buy from miners at cheap prices and consolidate quantities, but lack international connections.</w:t>
      </w:r>
    </w:p>
    <w:p>
      <w:pPr>
        <w:pStyle w:val="ListParagraph"/>
        <w:numPr>
          <w:ilvl w:val="0"/>
          <w:numId w:val="10"/>
        </w:numPr>
        <w:spacing w:before="40" w:after="40"/>
      </w:pPr>
      <w:r>
        <w:rPr>
          <w:rFonts w:ascii="Arial" w:cs="Arial" w:eastAsia="Arial" w:hAnsi="Arial"/>
          <w:color w:val="1A1A1A"/>
          <w:sz w:val="22"/>
          <w:szCs w:val="22"/>
        </w:rPr>
        <w:t xml:space="preserve">Export Agents: Individuals or companies with export licenses and international contacts. They receive gold from cooperatives, prepare paperwork, and manage the export process.</w:t>
      </w:r>
    </w:p>
    <w:p>
      <w:pPr>
        <w:pStyle w:val="ListParagraph"/>
        <w:numPr>
          <w:ilvl w:val="0"/>
          <w:numId w:val="10"/>
        </w:numPr>
        <w:spacing w:before="40" w:after="40"/>
      </w:pPr>
      <w:r>
        <w:rPr>
          <w:rFonts w:ascii="Arial" w:cs="Arial" w:eastAsia="Arial" w:hAnsi="Arial"/>
          <w:color w:val="1A1A1A"/>
          <w:sz w:val="22"/>
          <w:szCs w:val="22"/>
        </w:rPr>
        <w:t xml:space="preserve">International Buyers (Us): We typically interact with export agents, though occasionally with cooperatives who then source their own agents.</w:t>
      </w:r>
    </w:p>
    <w:p>
      <w:pPr>
        <w:pStyle w:val="Heading2"/>
        <w:spacing w:before="280" w:after="160"/>
      </w:pPr>
      <w:r>
        <w:rPr>
          <w:rFonts w:ascii="Arial" w:cs="Arial" w:eastAsia="Arial" w:hAnsi="Arial"/>
          <w:b/>
          <w:bCs/>
          <w:color w:val="8B6914"/>
          <w:sz w:val="26"/>
          <w:szCs w:val="26"/>
        </w:rPr>
        <w:t xml:space="preserve">6.2 Pricing Across the Chain</w:t>
      </w:r>
    </w:p>
    <w:p>
      <w:pPr>
        <w:spacing w:before="80" w:after="120"/>
        <w:jc w:val="left"/>
      </w:pPr>
      <w:r>
        <w:rPr>
          <w:rFonts w:ascii="Arial" w:cs="Arial" w:eastAsia="Arial" w:hAnsi="Arial"/>
          <w:b w:val="false"/>
          <w:bCs w:val="false"/>
          <w:i w:val="false"/>
          <w:iCs w:val="false"/>
          <w:color w:val="1A1A1A"/>
          <w:sz w:val="22"/>
          <w:szCs w:val="22"/>
        </w:rPr>
        <w:t xml:space="preserve">Understanding the pricing structure is essential for negotiation:</w:t>
      </w:r>
    </w:p>
    <w:p>
      <w:pPr>
        <w:pStyle w:val="ListParagraph"/>
        <w:numPr>
          <w:ilvl w:val="0"/>
          <w:numId w:val="11"/>
        </w:numPr>
        <w:spacing w:before="40" w:after="40"/>
      </w:pPr>
      <w:r>
        <w:rPr>
          <w:rFonts w:ascii="Arial" w:cs="Arial" w:eastAsia="Arial" w:hAnsi="Arial"/>
          <w:color w:val="1A1A1A"/>
          <w:sz w:val="22"/>
          <w:szCs w:val="22"/>
        </w:rPr>
        <w:t xml:space="preserve">Real cost to mine: approximately $1 per gram ($1,000 per kg).</w:t>
      </w:r>
    </w:p>
    <w:p>
      <w:pPr>
        <w:pStyle w:val="ListParagraph"/>
        <w:numPr>
          <w:ilvl w:val="0"/>
          <w:numId w:val="11"/>
        </w:numPr>
        <w:spacing w:before="40" w:after="40"/>
      </w:pPr>
      <w:r>
        <w:rPr>
          <w:rFonts w:ascii="Arial" w:cs="Arial" w:eastAsia="Arial" w:hAnsi="Arial"/>
          <w:color w:val="1A1A1A"/>
          <w:sz w:val="22"/>
          <w:szCs w:val="22"/>
        </w:rPr>
        <w:t xml:space="preserve">Artisanal miner sells to cooperative: $1,000–$2,000 per kg.</w:t>
      </w:r>
    </w:p>
    <w:p>
      <w:pPr>
        <w:pStyle w:val="ListParagraph"/>
        <w:numPr>
          <w:ilvl w:val="0"/>
          <w:numId w:val="11"/>
        </w:numPr>
        <w:spacing w:before="40" w:after="40"/>
      </w:pPr>
      <w:r>
        <w:rPr>
          <w:rFonts w:ascii="Arial" w:cs="Arial" w:eastAsia="Arial" w:hAnsi="Arial"/>
          <w:color w:val="1A1A1A"/>
          <w:sz w:val="22"/>
          <w:szCs w:val="22"/>
        </w:rPr>
        <w:t xml:space="preserve">Cooperative/agent sells to international buyer: $5,000–$50,000 per kg (wide range depending on intermediaries).</w:t>
      </w:r>
    </w:p>
    <w:p>
      <w:pPr>
        <w:pStyle w:val="ListParagraph"/>
        <w:numPr>
          <w:ilvl w:val="0"/>
          <w:numId w:val="11"/>
        </w:numPr>
        <w:spacing w:before="40" w:after="40"/>
      </w:pPr>
      <w:r>
        <w:rPr>
          <w:rFonts w:ascii="Arial" w:cs="Arial" w:eastAsia="Arial" w:hAnsi="Arial"/>
          <w:color w:val="1A1A1A"/>
          <w:sz w:val="22"/>
          <w:szCs w:val="22"/>
        </w:rPr>
        <w:t xml:space="preserve">Global market (refined, 24-karat): approximately $150,000–$160,000 per kg (fluctuates with spot price).</w:t>
      </w:r>
    </w:p>
    <w:p>
      <w:pPr>
        <w:pStyle w:val="ListParagraph"/>
        <w:numPr>
          <w:ilvl w:val="0"/>
          <w:numId w:val="11"/>
        </w:numPr>
        <w:spacing w:before="40" w:after="40"/>
      </w:pPr>
      <w:r>
        <w:rPr>
          <w:rFonts w:ascii="Arial" w:cs="Arial" w:eastAsia="Arial" w:hAnsi="Arial"/>
          <w:color w:val="1A1A1A"/>
          <w:sz w:val="22"/>
          <w:szCs w:val="22"/>
        </w:rPr>
        <w:t xml:space="preserve">Our negotiation target from sellers: $1,000 per kg. Realistic current deals: $15,000–$20,000 per kg.</w:t>
      </w:r>
    </w:p>
    <w:p>
      <w:pPr>
        <w:pStyle w:val="Heading2"/>
        <w:spacing w:before="280" w:after="160"/>
      </w:pPr>
      <w:r>
        <w:rPr>
          <w:rFonts w:ascii="Arial" w:cs="Arial" w:eastAsia="Arial" w:hAnsi="Arial"/>
          <w:b/>
          <w:bCs/>
          <w:color w:val="8B6914"/>
          <w:sz w:val="26"/>
          <w:szCs w:val="26"/>
        </w:rPr>
        <w:t xml:space="preserve">6.3 Strategic Goal: Vertical Integration</w:t>
      </w:r>
    </w:p>
    <w:p>
      <w:pPr>
        <w:spacing w:before="80" w:after="120"/>
        <w:jc w:val="left"/>
      </w:pPr>
      <w:r>
        <w:rPr>
          <w:rFonts w:ascii="Arial" w:cs="Arial" w:eastAsia="Arial" w:hAnsi="Arial"/>
          <w:b w:val="false"/>
          <w:bCs w:val="false"/>
          <w:i w:val="false"/>
          <w:iCs w:val="false"/>
          <w:color w:val="1A1A1A"/>
          <w:sz w:val="22"/>
          <w:szCs w:val="22"/>
        </w:rPr>
        <w:t xml:space="preserve">The long-term objective is to eliminate intermediaries by establishing direct relationships with mining communities. This means registering local companies, becoming the cooperative or export agent ourselves, and buying directly from miners at fair prices. This requires completing several initial deals through the current agent-based model to fully understand the on-ground processes, paperwork, and licensing requirements.</w:t>
      </w:r>
    </w:p>
    <w:p>
      <w:r>
        <w:br w:type="page"/>
      </w:r>
    </w:p>
    <w:p>
      <w:pPr>
        <w:pStyle w:val="Heading1"/>
        <w:pBdr>
          <w:bottom w:val="single" w:color="B8860B" w:sz="3" w:space="4"/>
        </w:pBdr>
        <w:spacing w:before="360" w:after="200"/>
      </w:pPr>
      <w:r>
        <w:rPr>
          <w:rFonts w:ascii="Arial" w:cs="Arial" w:eastAsia="Arial" w:hAnsi="Arial"/>
          <w:b/>
          <w:bCs/>
          <w:color w:val="1B2A4A"/>
          <w:sz w:val="32"/>
          <w:szCs w:val="32"/>
        </w:rPr>
        <w:t xml:space="preserve">7. Scam Awareness &amp; Red Flags</w:t>
      </w:r>
    </w:p>
    <w:p>
      <w:pPr>
        <w:spacing w:before="80" w:after="120"/>
        <w:jc w:val="left"/>
      </w:pPr>
      <w:r>
        <w:rPr>
          <w:rFonts w:ascii="Arial" w:cs="Arial" w:eastAsia="Arial" w:hAnsi="Arial"/>
          <w:b w:val="false"/>
          <w:bCs w:val="false"/>
          <w:i w:val="false"/>
          <w:iCs w:val="false"/>
          <w:color w:val="1A1A1A"/>
          <w:sz w:val="22"/>
          <w:szCs w:val="22"/>
        </w:rPr>
        <w:t xml:space="preserve">Gold trading is one of the most scam-prone industries in the world. The majority of initial leads will be fraudulent. The following are known scam patterns.</w:t>
      </w:r>
    </w:p>
    <w:p>
      <w:pPr>
        <w:pStyle w:val="Heading2"/>
        <w:spacing w:before="280" w:after="160"/>
      </w:pPr>
      <w:r>
        <w:rPr>
          <w:rFonts w:ascii="Arial" w:cs="Arial" w:eastAsia="Arial" w:hAnsi="Arial"/>
          <w:b/>
          <w:bCs/>
          <w:color w:val="8B6914"/>
          <w:sz w:val="26"/>
          <w:szCs w:val="26"/>
        </w:rPr>
        <w:t xml:space="preserve">7.1 Known Red Flags</w:t>
      </w:r>
    </w:p>
    <w:p>
      <w:pPr>
        <w:pStyle w:val="ListParagraph"/>
        <w:numPr>
          <w:ilvl w:val="0"/>
          <w:numId w:val="2"/>
        </w:numPr>
        <w:spacing w:before="40" w:after="40"/>
      </w:pPr>
      <w:r>
        <w:rPr>
          <w:rFonts w:ascii="Arial" w:cs="Arial" w:eastAsia="Arial" w:hAnsi="Arial"/>
          <w:b/>
          <w:bCs/>
          <w:color w:val="1A1A1A"/>
          <w:sz w:val="22"/>
          <w:szCs w:val="22"/>
        </w:rPr>
        <w:t xml:space="preserve">Claiming 24-karat gold at source: </w:t>
      </w:r>
      <w:r>
        <w:rPr>
          <w:rFonts w:ascii="Arial" w:cs="Arial" w:eastAsia="Arial" w:hAnsi="Arial"/>
          <w:color w:val="1A1A1A"/>
          <w:sz w:val="22"/>
          <w:szCs w:val="22"/>
        </w:rPr>
        <w:t xml:space="preserve">Raw gold in Africa is never 24 karat. If they claim this, they are either ignorant or lying. Call it out immediately.</w:t>
      </w:r>
    </w:p>
    <w:p>
      <w:pPr>
        <w:pStyle w:val="ListParagraph"/>
        <w:numPr>
          <w:ilvl w:val="0"/>
          <w:numId w:val="2"/>
        </w:numPr>
        <w:spacing w:before="40" w:after="40"/>
      </w:pPr>
      <w:r>
        <w:rPr>
          <w:rFonts w:ascii="Arial" w:cs="Arial" w:eastAsia="Arial" w:hAnsi="Arial"/>
          <w:b/>
          <w:bCs/>
          <w:color w:val="1A1A1A"/>
          <w:sz w:val="22"/>
          <w:szCs w:val="22"/>
        </w:rPr>
        <w:t xml:space="preserve">Escrow with a law firm: </w:t>
      </w:r>
      <w:r>
        <w:rPr>
          <w:rFonts w:ascii="Arial" w:cs="Arial" w:eastAsia="Arial" w:hAnsi="Arial"/>
          <w:color w:val="1A1A1A"/>
          <w:sz w:val="22"/>
          <w:szCs w:val="22"/>
        </w:rPr>
        <w:t xml:space="preserve">If someone insists that escrow must go through a lawyer or law firm rather than a bank, it is almost certainly a scam. Money sent to a law firm’s account simply disappears.</w:t>
      </w:r>
    </w:p>
    <w:p>
      <w:pPr>
        <w:pStyle w:val="ListParagraph"/>
        <w:numPr>
          <w:ilvl w:val="0"/>
          <w:numId w:val="2"/>
        </w:numPr>
        <w:spacing w:before="40" w:after="40"/>
      </w:pPr>
      <w:r>
        <w:rPr>
          <w:rFonts w:ascii="Arial" w:cs="Arial" w:eastAsia="Arial" w:hAnsi="Arial"/>
          <w:b/>
          <w:bCs/>
          <w:color w:val="1A1A1A"/>
          <w:sz w:val="22"/>
          <w:szCs w:val="22"/>
        </w:rPr>
        <w:t xml:space="preserve">Single custody collateral: </w:t>
      </w:r>
      <w:r>
        <w:rPr>
          <w:rFonts w:ascii="Arial" w:cs="Arial" w:eastAsia="Arial" w:hAnsi="Arial"/>
          <w:color w:val="1A1A1A"/>
          <w:sz w:val="22"/>
          <w:szCs w:val="22"/>
        </w:rPr>
        <w:t xml:space="preserve">Any arrangement where only one party controls the collateral is a fraud vector.</w:t>
      </w:r>
    </w:p>
    <w:p>
      <w:pPr>
        <w:pStyle w:val="ListParagraph"/>
        <w:numPr>
          <w:ilvl w:val="0"/>
          <w:numId w:val="2"/>
        </w:numPr>
        <w:spacing w:before="40" w:after="40"/>
      </w:pPr>
      <w:r>
        <w:rPr>
          <w:rFonts w:ascii="Arial" w:cs="Arial" w:eastAsia="Arial" w:hAnsi="Arial"/>
          <w:b/>
          <w:bCs/>
          <w:color w:val="1A1A1A"/>
          <w:sz w:val="22"/>
          <w:szCs w:val="22"/>
        </w:rPr>
        <w:t xml:space="preserve">"Keep the gold in your hotel": </w:t>
      </w:r>
      <w:r>
        <w:rPr>
          <w:rFonts w:ascii="Arial" w:cs="Arial" w:eastAsia="Arial" w:hAnsi="Arial"/>
          <w:color w:val="1A1A1A"/>
          <w:sz w:val="22"/>
          <w:szCs w:val="22"/>
        </w:rPr>
        <w:t xml:space="preserve">Sellers may offer to give you gold to hold personally. This is a setup—they may have stolen the gold and will then report you to police.</w:t>
      </w:r>
    </w:p>
    <w:p>
      <w:pPr>
        <w:pStyle w:val="ListParagraph"/>
        <w:numPr>
          <w:ilvl w:val="0"/>
          <w:numId w:val="2"/>
        </w:numPr>
        <w:spacing w:before="40" w:after="40"/>
      </w:pPr>
      <w:r>
        <w:rPr>
          <w:rFonts w:ascii="Arial" w:cs="Arial" w:eastAsia="Arial" w:hAnsi="Arial"/>
          <w:b/>
          <w:bCs/>
          <w:color w:val="1A1A1A"/>
          <w:sz w:val="22"/>
          <w:szCs w:val="22"/>
        </w:rPr>
        <w:t xml:space="preserve">Flying together to Dubai: </w:t>
      </w:r>
      <w:r>
        <w:rPr>
          <w:rFonts w:ascii="Arial" w:cs="Arial" w:eastAsia="Arial" w:hAnsi="Arial"/>
          <w:color w:val="1A1A1A"/>
          <w:sz w:val="22"/>
          <w:szCs w:val="22"/>
        </w:rPr>
        <w:t xml:space="preserve">If a seller insists you travel together, decline. If they’ve committed any fraud, you become complicit.</w:t>
      </w:r>
    </w:p>
    <w:p>
      <w:pPr>
        <w:pStyle w:val="ListParagraph"/>
        <w:numPr>
          <w:ilvl w:val="0"/>
          <w:numId w:val="2"/>
        </w:numPr>
        <w:spacing w:before="40" w:after="40"/>
      </w:pPr>
      <w:r>
        <w:rPr>
          <w:rFonts w:ascii="Arial" w:cs="Arial" w:eastAsia="Arial" w:hAnsi="Arial"/>
          <w:b/>
          <w:bCs/>
          <w:color w:val="1A1A1A"/>
          <w:sz w:val="22"/>
          <w:szCs w:val="22"/>
        </w:rPr>
        <w:t xml:space="preserve">Fake government websites: </w:t>
      </w:r>
      <w:r>
        <w:rPr>
          <w:rFonts w:ascii="Arial" w:cs="Arial" w:eastAsia="Arial" w:hAnsi="Arial"/>
          <w:color w:val="1A1A1A"/>
          <w:sz w:val="22"/>
          <w:szCs w:val="22"/>
        </w:rPr>
        <w:t xml:space="preserve">Some countries (e.g., Cameroon) have multiple unofficial government websites that respond to calls and emails. Verify everything through confirmed channels.</w:t>
      </w:r>
    </w:p>
    <w:p>
      <w:pPr>
        <w:pStyle w:val="ListParagraph"/>
        <w:numPr>
          <w:ilvl w:val="0"/>
          <w:numId w:val="2"/>
        </w:numPr>
        <w:spacing w:before="40" w:after="40"/>
      </w:pPr>
      <w:r>
        <w:rPr>
          <w:rFonts w:ascii="Arial" w:cs="Arial" w:eastAsia="Arial" w:hAnsi="Arial"/>
          <w:b/>
          <w:bCs/>
          <w:color w:val="1A1A1A"/>
          <w:sz w:val="22"/>
          <w:szCs w:val="22"/>
        </w:rPr>
        <w:t xml:space="preserve">Fake KYC documents: </w:t>
      </w:r>
      <w:r>
        <w:rPr>
          <w:rFonts w:ascii="Arial" w:cs="Arial" w:eastAsia="Arial" w:hAnsi="Arial"/>
          <w:color w:val="1A1A1A"/>
          <w:sz w:val="22"/>
          <w:szCs w:val="22"/>
        </w:rPr>
        <w:t xml:space="preserve">Edited passports, altered ID numbers. Our software detects these, but remain vigilant.</w:t>
      </w:r>
    </w:p>
    <w:p>
      <w:pPr>
        <w:pStyle w:val="Heading2"/>
        <w:spacing w:before="280" w:after="160"/>
      </w:pPr>
      <w:r>
        <w:rPr>
          <w:rFonts w:ascii="Arial" w:cs="Arial" w:eastAsia="Arial" w:hAnsi="Arial"/>
          <w:b/>
          <w:bCs/>
          <w:color w:val="8B6914"/>
          <w:sz w:val="26"/>
          <w:szCs w:val="26"/>
        </w:rPr>
        <w:t xml:space="preserve">7.2 Response Protocol</w:t>
      </w:r>
    </w:p>
    <w:p>
      <w:pPr>
        <w:spacing w:before="80" w:after="120"/>
        <w:jc w:val="left"/>
      </w:pPr>
      <w:r>
        <w:rPr>
          <w:rFonts w:ascii="Arial" w:cs="Arial" w:eastAsia="Arial" w:hAnsi="Arial"/>
          <w:b w:val="false"/>
          <w:bCs w:val="false"/>
          <w:i w:val="false"/>
          <w:iCs w:val="false"/>
          <w:color w:val="1A1A1A"/>
          <w:sz w:val="22"/>
          <w:szCs w:val="22"/>
        </w:rPr>
        <w:t xml:space="preserve">When you identify a scam, do not simply disengage—call it out. Tell the counterparty directly that you recognize the scam pattern. If they are legitimate, they will defend themselves and adjust. If they go silent, you have your answer. Maintain a master list of known scam contacts and share with the team through authorized channels only.</w:t>
      </w:r>
    </w:p>
    <w:p>
      <w:r>
        <w:br w:type="page"/>
      </w:r>
    </w:p>
    <w:p>
      <w:pPr>
        <w:pStyle w:val="Heading1"/>
        <w:pBdr>
          <w:bottom w:val="single" w:color="B8860B" w:sz="3" w:space="4"/>
        </w:pBdr>
        <w:spacing w:before="360" w:after="200"/>
      </w:pPr>
      <w:r>
        <w:rPr>
          <w:rFonts w:ascii="Arial" w:cs="Arial" w:eastAsia="Arial" w:hAnsi="Arial"/>
          <w:b/>
          <w:bCs/>
          <w:color w:val="1B2A4A"/>
          <w:sz w:val="32"/>
          <w:szCs w:val="32"/>
        </w:rPr>
        <w:t xml:space="preserve">8. Negotiation Principles</w:t>
      </w:r>
    </w:p>
    <w:p>
      <w:pPr>
        <w:pStyle w:val="Heading2"/>
        <w:spacing w:before="280" w:after="160"/>
      </w:pPr>
      <w:r>
        <w:rPr>
          <w:rFonts w:ascii="Arial" w:cs="Arial" w:eastAsia="Arial" w:hAnsi="Arial"/>
          <w:b/>
          <w:bCs/>
          <w:color w:val="8B6914"/>
          <w:sz w:val="26"/>
          <w:szCs w:val="26"/>
        </w:rPr>
        <w:t xml:space="preserve">8.1 Core Mindset</w:t>
      </w:r>
    </w:p>
    <w:p>
      <w:pPr>
        <w:spacing w:before="80" w:after="120"/>
        <w:jc w:val="left"/>
      </w:pPr>
      <w:r>
        <w:rPr>
          <w:rFonts w:ascii="Arial" w:cs="Arial" w:eastAsia="Arial" w:hAnsi="Arial"/>
          <w:b w:val="false"/>
          <w:bCs w:val="false"/>
          <w:i w:val="false"/>
          <w:iCs w:val="false"/>
          <w:color w:val="1A1A1A"/>
          <w:sz w:val="22"/>
          <w:szCs w:val="22"/>
        </w:rPr>
        <w:t xml:space="preserve">You must own every call. You drive the conversation, you set the terms, and you demonstrate mastery of the business. If a counterparty senses weakness or ignorance, they will exploit it.</w:t>
      </w:r>
    </w:p>
    <w:p>
      <w:pPr>
        <w:pStyle w:val="Heading2"/>
        <w:spacing w:before="280" w:after="160"/>
      </w:pPr>
      <w:r>
        <w:rPr>
          <w:rFonts w:ascii="Arial" w:cs="Arial" w:eastAsia="Arial" w:hAnsi="Arial"/>
          <w:b/>
          <w:bCs/>
          <w:color w:val="8B6914"/>
          <w:sz w:val="26"/>
          <w:szCs w:val="26"/>
        </w:rPr>
        <w:t xml:space="preserve">8.2 Preparation Requirements</w:t>
      </w:r>
    </w:p>
    <w:p>
      <w:pPr>
        <w:pStyle w:val="ListParagraph"/>
        <w:numPr>
          <w:ilvl w:val="0"/>
          <w:numId w:val="2"/>
        </w:numPr>
        <w:spacing w:before="40" w:after="40"/>
      </w:pPr>
      <w:r>
        <w:rPr>
          <w:rFonts w:ascii="Arial" w:cs="Arial" w:eastAsia="Arial" w:hAnsi="Arial"/>
          <w:color w:val="1A1A1A"/>
          <w:sz w:val="22"/>
          <w:szCs w:val="22"/>
        </w:rPr>
        <w:t xml:space="preserve">Know the full supply chain, pricing structure, and compliance requirements before any call.</w:t>
      </w:r>
    </w:p>
    <w:p>
      <w:pPr>
        <w:pStyle w:val="ListParagraph"/>
        <w:numPr>
          <w:ilvl w:val="0"/>
          <w:numId w:val="2"/>
        </w:numPr>
        <w:spacing w:before="40" w:after="40"/>
      </w:pPr>
      <w:r>
        <w:rPr>
          <w:rFonts w:ascii="Arial" w:cs="Arial" w:eastAsia="Arial" w:hAnsi="Arial"/>
          <w:color w:val="1A1A1A"/>
          <w:sz w:val="22"/>
          <w:szCs w:val="22"/>
        </w:rPr>
        <w:t xml:space="preserve">Understand the laws, tax implications, and export procedures for the specific country.</w:t>
      </w:r>
    </w:p>
    <w:p>
      <w:pPr>
        <w:pStyle w:val="ListParagraph"/>
        <w:numPr>
          <w:ilvl w:val="0"/>
          <w:numId w:val="2"/>
        </w:numPr>
        <w:spacing w:before="40" w:after="40"/>
      </w:pPr>
      <w:r>
        <w:rPr>
          <w:rFonts w:ascii="Arial" w:cs="Arial" w:eastAsia="Arial" w:hAnsi="Arial"/>
          <w:color w:val="1A1A1A"/>
          <w:sz w:val="22"/>
          <w:szCs w:val="22"/>
        </w:rPr>
        <w:t xml:space="preserve">Be prepared to cite specific facts, statistics, and industry knowledge to establish credibility.</w:t>
      </w:r>
    </w:p>
    <w:p>
      <w:pPr>
        <w:pStyle w:val="ListParagraph"/>
        <w:numPr>
          <w:ilvl w:val="0"/>
          <w:numId w:val="2"/>
        </w:numPr>
        <w:spacing w:before="40" w:after="40"/>
      </w:pPr>
      <w:r>
        <w:rPr>
          <w:rFonts w:ascii="Arial" w:cs="Arial" w:eastAsia="Arial" w:hAnsi="Arial"/>
          <w:color w:val="1A1A1A"/>
          <w:sz w:val="22"/>
          <w:szCs w:val="22"/>
        </w:rPr>
        <w:t xml:space="preserve">Do not rely on AI-generated information without verifying against primary sources (constitutions, central bank laws, official government publications).</w:t>
      </w:r>
    </w:p>
    <w:p>
      <w:pPr>
        <w:pStyle w:val="Heading2"/>
        <w:spacing w:before="280" w:after="160"/>
      </w:pPr>
      <w:r>
        <w:rPr>
          <w:rFonts w:ascii="Arial" w:cs="Arial" w:eastAsia="Arial" w:hAnsi="Arial"/>
          <w:b/>
          <w:bCs/>
          <w:color w:val="8B6914"/>
          <w:sz w:val="26"/>
          <w:szCs w:val="26"/>
        </w:rPr>
        <w:t xml:space="preserve">8.3 Tactical Approaches</w:t>
      </w:r>
    </w:p>
    <w:p>
      <w:pPr>
        <w:pStyle w:val="ListParagraph"/>
        <w:numPr>
          <w:ilvl w:val="0"/>
          <w:numId w:val="2"/>
        </w:numPr>
        <w:spacing w:before="40" w:after="40"/>
      </w:pPr>
      <w:r>
        <w:rPr>
          <w:rFonts w:ascii="Arial" w:cs="Arial" w:eastAsia="Arial" w:hAnsi="Arial"/>
          <w:b/>
          <w:bCs/>
          <w:color w:val="1A1A1A"/>
          <w:sz w:val="22"/>
          <w:szCs w:val="22"/>
        </w:rPr>
        <w:t xml:space="preserve">Buffer principle: </w:t>
      </w:r>
      <w:r>
        <w:rPr>
          <w:rFonts w:ascii="Arial" w:cs="Arial" w:eastAsia="Arial" w:hAnsi="Arial"/>
          <w:color w:val="1A1A1A"/>
          <w:sz w:val="22"/>
          <w:szCs w:val="22"/>
        </w:rPr>
        <w:t xml:space="preserve">Never present yourself as the decision-maker. You are always a representative with senior management in Dubai. This creates a buffer—if the first call goes poorly, your “senior” can handle the next one.</w:t>
      </w:r>
    </w:p>
    <w:p>
      <w:pPr>
        <w:pStyle w:val="ListParagraph"/>
        <w:numPr>
          <w:ilvl w:val="0"/>
          <w:numId w:val="2"/>
        </w:numPr>
        <w:spacing w:before="40" w:after="40"/>
      </w:pPr>
      <w:r>
        <w:rPr>
          <w:rFonts w:ascii="Arial" w:cs="Arial" w:eastAsia="Arial" w:hAnsi="Arial"/>
          <w:b/>
          <w:bCs/>
          <w:color w:val="1A1A1A"/>
          <w:sz w:val="22"/>
          <w:szCs w:val="22"/>
        </w:rPr>
        <w:t xml:space="preserve">Price anchoring: </w:t>
      </w:r>
      <w:r>
        <w:rPr>
          <w:rFonts w:ascii="Arial" w:cs="Arial" w:eastAsia="Arial" w:hAnsi="Arial"/>
          <w:color w:val="1A1A1A"/>
          <w:sz w:val="22"/>
          <w:szCs w:val="22"/>
        </w:rPr>
        <w:t xml:space="preserve">With sellers, open with an extremely low price target ($1,000/kg). Even if the final price is higher, you’ve set the anchor. With buyers, start at -1% discount and negotiate from there.</w:t>
      </w:r>
    </w:p>
    <w:p>
      <w:pPr>
        <w:pStyle w:val="ListParagraph"/>
        <w:numPr>
          <w:ilvl w:val="0"/>
          <w:numId w:val="2"/>
        </w:numPr>
        <w:spacing w:before="40" w:after="40"/>
      </w:pPr>
      <w:r>
        <w:rPr>
          <w:rFonts w:ascii="Arial" w:cs="Arial" w:eastAsia="Arial" w:hAnsi="Arial"/>
          <w:b/>
          <w:bCs/>
          <w:color w:val="1A1A1A"/>
          <w:sz w:val="22"/>
          <w:szCs w:val="22"/>
        </w:rPr>
        <w:t xml:space="preserve">Controlled gaslighting: </w:t>
      </w:r>
      <w:r>
        <w:rPr>
          <w:rFonts w:ascii="Arial" w:cs="Arial" w:eastAsia="Arial" w:hAnsi="Arial"/>
          <w:color w:val="1A1A1A"/>
          <w:sz w:val="22"/>
          <w:szCs w:val="22"/>
        </w:rPr>
        <w:t xml:space="preserve">When you know the business and the counterparty tries to inflate prices or terms, challenge them directly with facts. “You and I both know this gold comes from DRC and the real cost is $1 per gram. Let’s talk real numbers.”</w:t>
      </w:r>
    </w:p>
    <w:p>
      <w:pPr>
        <w:pStyle w:val="ListParagraph"/>
        <w:numPr>
          <w:ilvl w:val="0"/>
          <w:numId w:val="2"/>
        </w:numPr>
        <w:spacing w:before="40" w:after="40"/>
      </w:pPr>
      <w:r>
        <w:rPr>
          <w:rFonts w:ascii="Arial" w:cs="Arial" w:eastAsia="Arial" w:hAnsi="Arial"/>
          <w:b/>
          <w:bCs/>
          <w:color w:val="1A1A1A"/>
          <w:sz w:val="22"/>
          <w:szCs w:val="22"/>
        </w:rPr>
        <w:t xml:space="preserve">Confidence projection: </w:t>
      </w:r>
      <w:r>
        <w:rPr>
          <w:rFonts w:ascii="Arial" w:cs="Arial" w:eastAsia="Arial" w:hAnsi="Arial"/>
          <w:color w:val="1A1A1A"/>
          <w:sz w:val="22"/>
          <w:szCs w:val="22"/>
        </w:rPr>
        <w:t xml:space="preserve">Present the organization as having $300M+ in liquid assets, 20+ years in the industry, and operations in 100+ countries. This is not fabrication—it reflects the aggregate reality of the UAN network.</w:t>
      </w:r>
    </w:p>
    <w:p>
      <w:pPr>
        <w:pStyle w:val="Heading2"/>
        <w:spacing w:before="280" w:after="160"/>
      </w:pPr>
      <w:r>
        <w:rPr>
          <w:rFonts w:ascii="Arial" w:cs="Arial" w:eastAsia="Arial" w:hAnsi="Arial"/>
          <w:b/>
          <w:bCs/>
          <w:color w:val="8B6914"/>
          <w:sz w:val="26"/>
          <w:szCs w:val="26"/>
        </w:rPr>
        <w:t xml:space="preserve">8.4 Transaction Terms We Set</w:t>
      </w:r>
    </w:p>
    <w:p>
      <w:pPr>
        <w:pStyle w:val="ListParagraph"/>
        <w:numPr>
          <w:ilvl w:val="0"/>
          <w:numId w:val="3"/>
        </w:numPr>
        <w:spacing w:before="40" w:after="40"/>
      </w:pPr>
      <w:r>
        <w:rPr>
          <w:rFonts w:ascii="Arial" w:cs="Arial" w:eastAsia="Arial" w:hAnsi="Arial"/>
          <w:color w:val="1A1A1A"/>
          <w:sz w:val="22"/>
          <w:szCs w:val="22"/>
        </w:rPr>
        <w:t xml:space="preserve">We always use our own SPA template.</w:t>
      </w:r>
    </w:p>
    <w:p>
      <w:pPr>
        <w:pStyle w:val="ListParagraph"/>
        <w:numPr>
          <w:ilvl w:val="0"/>
          <w:numId w:val="3"/>
        </w:numPr>
        <w:spacing w:before="40" w:after="40"/>
      </w:pPr>
      <w:r>
        <w:rPr>
          <w:rFonts w:ascii="Arial" w:cs="Arial" w:eastAsia="Arial" w:hAnsi="Arial"/>
          <w:color w:val="1A1A1A"/>
          <w:sz w:val="22"/>
          <w:szCs w:val="22"/>
        </w:rPr>
        <w:t xml:space="preserve">We choose the refinery and the clearance agents in Dubai.</w:t>
      </w:r>
    </w:p>
    <w:p>
      <w:pPr>
        <w:pStyle w:val="ListParagraph"/>
        <w:numPr>
          <w:ilvl w:val="0"/>
          <w:numId w:val="3"/>
        </w:numPr>
        <w:spacing w:before="40" w:after="40"/>
      </w:pPr>
      <w:r>
        <w:rPr>
          <w:rFonts w:ascii="Arial" w:cs="Arial" w:eastAsia="Arial" w:hAnsi="Arial"/>
          <w:color w:val="1A1A1A"/>
          <w:sz w:val="22"/>
          <w:szCs w:val="22"/>
        </w:rPr>
        <w:t xml:space="preserve">Escrow is always with a bank, never a law firm.</w:t>
      </w:r>
    </w:p>
    <w:p>
      <w:pPr>
        <w:pStyle w:val="ListParagraph"/>
        <w:numPr>
          <w:ilvl w:val="0"/>
          <w:numId w:val="3"/>
        </w:numPr>
        <w:spacing w:before="40" w:after="40"/>
      </w:pPr>
      <w:r>
        <w:rPr>
          <w:rFonts w:ascii="Arial" w:cs="Arial" w:eastAsia="Arial" w:hAnsi="Arial"/>
          <w:color w:val="1A1A1A"/>
          <w:sz w:val="22"/>
          <w:szCs w:val="22"/>
        </w:rPr>
        <w:t xml:space="preserve">Collateral is always in joint custody with a reputed security company or bank.</w:t>
      </w:r>
    </w:p>
    <w:p>
      <w:pPr>
        <w:pStyle w:val="ListParagraph"/>
        <w:numPr>
          <w:ilvl w:val="0"/>
          <w:numId w:val="3"/>
        </w:numPr>
        <w:spacing w:before="40" w:after="40"/>
      </w:pPr>
      <w:r>
        <w:rPr>
          <w:rFonts w:ascii="Arial" w:cs="Arial" w:eastAsia="Arial" w:hAnsi="Arial"/>
          <w:color w:val="1A1A1A"/>
          <w:sz w:val="22"/>
          <w:szCs w:val="22"/>
        </w:rPr>
        <w:t xml:space="preserve">Bank transfers only—no cash transactions.</w:t>
      </w:r>
    </w:p>
    <w:p>
      <w:pPr>
        <w:pStyle w:val="ListParagraph"/>
        <w:numPr>
          <w:ilvl w:val="0"/>
          <w:numId w:val="3"/>
        </w:numPr>
        <w:spacing w:before="40" w:after="40"/>
      </w:pPr>
      <w:r>
        <w:rPr>
          <w:rFonts w:ascii="Arial" w:cs="Arial" w:eastAsia="Arial" w:hAnsi="Arial"/>
          <w:color w:val="1A1A1A"/>
          <w:sz w:val="22"/>
          <w:szCs w:val="22"/>
        </w:rPr>
        <w:t xml:space="preserve">Recurring deals: lock sellers into 5-year exclusive supply agreements at fixed prices.</w:t>
      </w:r>
    </w:p>
    <w:p>
      <w:r>
        <w:br w:type="page"/>
      </w:r>
    </w:p>
    <w:p>
      <w:pPr>
        <w:pStyle w:val="Heading1"/>
        <w:pBdr>
          <w:bottom w:val="single" w:color="B8860B" w:sz="3" w:space="4"/>
        </w:pBdr>
        <w:spacing w:before="360" w:after="200"/>
      </w:pPr>
      <w:r>
        <w:rPr>
          <w:rFonts w:ascii="Arial" w:cs="Arial" w:eastAsia="Arial" w:hAnsi="Arial"/>
          <w:b/>
          <w:bCs/>
          <w:color w:val="1B2A4A"/>
          <w:sz w:val="32"/>
          <w:szCs w:val="32"/>
        </w:rPr>
        <w:t xml:space="preserve">9. Operational Security &amp; Protocols</w:t>
      </w:r>
    </w:p>
    <w:p>
      <w:pPr>
        <w:pStyle w:val="Heading2"/>
        <w:spacing w:before="280" w:after="160"/>
      </w:pPr>
      <w:r>
        <w:rPr>
          <w:rFonts w:ascii="Arial" w:cs="Arial" w:eastAsia="Arial" w:hAnsi="Arial"/>
          <w:b/>
          <w:bCs/>
          <w:color w:val="8B6914"/>
          <w:sz w:val="26"/>
          <w:szCs w:val="26"/>
        </w:rPr>
        <w:t xml:space="preserve">9.1 Confidentiality</w:t>
      </w:r>
    </w:p>
    <w:p>
      <w:pPr>
        <w:spacing w:before="80" w:after="120"/>
        <w:jc w:val="left"/>
      </w:pPr>
      <w:r>
        <w:rPr>
          <w:rFonts w:ascii="Arial" w:cs="Arial" w:eastAsia="Arial" w:hAnsi="Arial"/>
          <w:b w:val="false"/>
          <w:bCs w:val="false"/>
          <w:i w:val="false"/>
          <w:iCs w:val="false"/>
          <w:color w:val="1A1A1A"/>
          <w:sz w:val="22"/>
          <w:szCs w:val="22"/>
        </w:rPr>
        <w:t xml:space="preserve">Confidentiality is the single most important operational principle. Violations can result in lost deals worth millions and exposure to security risks.</w:t>
      </w:r>
    </w:p>
    <w:p>
      <w:pPr>
        <w:pStyle w:val="ListParagraph"/>
        <w:numPr>
          <w:ilvl w:val="0"/>
          <w:numId w:val="7"/>
        </w:numPr>
        <w:spacing w:before="40" w:after="40"/>
      </w:pPr>
      <w:r>
        <w:rPr>
          <w:rFonts w:ascii="Arial" w:cs="Arial" w:eastAsia="Arial" w:hAnsi="Arial"/>
          <w:color w:val="1A1A1A"/>
          <w:sz w:val="22"/>
          <w:szCs w:val="22"/>
        </w:rPr>
        <w:t xml:space="preserve">Report only through authorized channels (currently Sundareshwara, subject to change).</w:t>
      </w:r>
    </w:p>
    <w:p>
      <w:pPr>
        <w:pStyle w:val="ListParagraph"/>
        <w:numPr>
          <w:ilvl w:val="0"/>
          <w:numId w:val="7"/>
        </w:numPr>
        <w:spacing w:before="40" w:after="40"/>
      </w:pPr>
      <w:r>
        <w:rPr>
          <w:rFonts w:ascii="Arial" w:cs="Arial" w:eastAsia="Arial" w:hAnsi="Arial"/>
          <w:color w:val="1A1A1A"/>
          <w:sz w:val="22"/>
          <w:szCs w:val="22"/>
        </w:rPr>
        <w:t xml:space="preserve">Never share deal information with other team members unless explicitly authorized.</w:t>
      </w:r>
    </w:p>
    <w:p>
      <w:pPr>
        <w:pStyle w:val="ListParagraph"/>
        <w:numPr>
          <w:ilvl w:val="0"/>
          <w:numId w:val="7"/>
        </w:numPr>
        <w:spacing w:before="40" w:after="40"/>
      </w:pPr>
      <w:r>
        <w:rPr>
          <w:rFonts w:ascii="Arial" w:cs="Arial" w:eastAsia="Arial" w:hAnsi="Arial"/>
          <w:color w:val="1A1A1A"/>
          <w:sz w:val="22"/>
          <w:szCs w:val="22"/>
        </w:rPr>
        <w:t xml:space="preserve">Buyers must never know seller identities or purchase prices.</w:t>
      </w:r>
    </w:p>
    <w:p>
      <w:pPr>
        <w:pStyle w:val="ListParagraph"/>
        <w:numPr>
          <w:ilvl w:val="0"/>
          <w:numId w:val="7"/>
        </w:numPr>
        <w:spacing w:before="40" w:after="40"/>
      </w:pPr>
      <w:r>
        <w:rPr>
          <w:rFonts w:ascii="Arial" w:cs="Arial" w:eastAsia="Arial" w:hAnsi="Arial"/>
          <w:color w:val="1A1A1A"/>
          <w:sz w:val="22"/>
          <w:szCs w:val="22"/>
        </w:rPr>
        <w:t xml:space="preserve">Sellers must never know buyer identities or sale prices.</w:t>
      </w:r>
    </w:p>
    <w:p>
      <w:pPr>
        <w:pStyle w:val="ListParagraph"/>
        <w:numPr>
          <w:ilvl w:val="0"/>
          <w:numId w:val="7"/>
        </w:numPr>
        <w:spacing w:before="40" w:after="40"/>
      </w:pPr>
      <w:r>
        <w:rPr>
          <w:rFonts w:ascii="Arial" w:cs="Arial" w:eastAsia="Arial" w:hAnsi="Arial"/>
          <w:color w:val="1A1A1A"/>
          <w:sz w:val="22"/>
          <w:szCs w:val="22"/>
        </w:rPr>
        <w:t xml:space="preserve">Refineries must not know our purchase prices.</w:t>
      </w:r>
    </w:p>
    <w:p>
      <w:pPr>
        <w:pStyle w:val="ListParagraph"/>
        <w:numPr>
          <w:ilvl w:val="0"/>
          <w:numId w:val="7"/>
        </w:numPr>
        <w:spacing w:before="40" w:after="40"/>
      </w:pPr>
      <w:r>
        <w:rPr>
          <w:rFonts w:ascii="Arial" w:cs="Arial" w:eastAsia="Arial" w:hAnsi="Arial"/>
          <w:color w:val="1A1A1A"/>
          <w:sz w:val="22"/>
          <w:szCs w:val="22"/>
        </w:rPr>
        <w:t xml:space="preserve">Even between team members, information is shared on a need-to-know basis only.</w:t>
      </w:r>
    </w:p>
    <w:p>
      <w:pPr>
        <w:pStyle w:val="Heading2"/>
        <w:spacing w:before="280" w:after="160"/>
      </w:pPr>
      <w:r>
        <w:rPr>
          <w:rFonts w:ascii="Arial" w:cs="Arial" w:eastAsia="Arial" w:hAnsi="Arial"/>
          <w:b/>
          <w:bCs/>
          <w:color w:val="8B6914"/>
          <w:sz w:val="26"/>
          <w:szCs w:val="26"/>
        </w:rPr>
        <w:t xml:space="preserve">9.2 Chain of Command</w:t>
      </w:r>
    </w:p>
    <w:p>
      <w:pPr>
        <w:spacing w:before="80" w:after="120"/>
        <w:jc w:val="left"/>
      </w:pPr>
      <w:r>
        <w:rPr>
          <w:rFonts w:ascii="Arial" w:cs="Arial" w:eastAsia="Arial" w:hAnsi="Arial"/>
          <w:b w:val="false"/>
          <w:bCs w:val="false"/>
          <w:i w:val="false"/>
          <w:iCs w:val="false"/>
          <w:color w:val="1A1A1A"/>
          <w:sz w:val="22"/>
          <w:szCs w:val="22"/>
        </w:rPr>
        <w:t xml:space="preserve">Strict hierarchy applies. Instructions from your superior are executed without bypassing the chain. You do not independently share information, make commitments, or engage new contacts without authorization—regardless of whether the motivation is fear (“I’m not sure about this deal, let me check with a colleague”) or greed (“This deal is amazing, I want to tell someone”).</w:t>
      </w:r>
    </w:p>
    <w:p>
      <w:pPr>
        <w:pStyle w:val="Heading2"/>
        <w:spacing w:before="280" w:after="160"/>
      </w:pPr>
      <w:r>
        <w:rPr>
          <w:rFonts w:ascii="Arial" w:cs="Arial" w:eastAsia="Arial" w:hAnsi="Arial"/>
          <w:b/>
          <w:bCs/>
          <w:color w:val="8B6914"/>
          <w:sz w:val="26"/>
          <w:szCs w:val="26"/>
        </w:rPr>
        <w:t xml:space="preserve">9.3 Identity Protection</w:t>
      </w:r>
    </w:p>
    <w:p>
      <w:pPr>
        <w:pStyle w:val="ListParagraph"/>
        <w:numPr>
          <w:ilvl w:val="0"/>
          <w:numId w:val="8"/>
        </w:numPr>
        <w:spacing w:before="40" w:after="40"/>
      </w:pPr>
      <w:r>
        <w:rPr>
          <w:rFonts w:ascii="Arial" w:cs="Arial" w:eastAsia="Arial" w:hAnsi="Arial"/>
          <w:color w:val="1A1A1A"/>
          <w:sz w:val="22"/>
          <w:szCs w:val="22"/>
        </w:rPr>
        <w:t xml:space="preserve">Always use proxy names in all external communications.</w:t>
      </w:r>
    </w:p>
    <w:p>
      <w:pPr>
        <w:pStyle w:val="ListParagraph"/>
        <w:numPr>
          <w:ilvl w:val="0"/>
          <w:numId w:val="8"/>
        </w:numPr>
        <w:spacing w:before="40" w:after="40"/>
      </w:pPr>
      <w:r>
        <w:rPr>
          <w:rFonts w:ascii="Arial" w:cs="Arial" w:eastAsia="Arial" w:hAnsi="Arial"/>
          <w:color w:val="1A1A1A"/>
          <w:sz w:val="22"/>
          <w:szCs w:val="22"/>
        </w:rPr>
        <w:t xml:space="preserve">Never provide personal KYC—only company documents are shared.</w:t>
      </w:r>
    </w:p>
    <w:p>
      <w:pPr>
        <w:pStyle w:val="ListParagraph"/>
        <w:numPr>
          <w:ilvl w:val="0"/>
          <w:numId w:val="8"/>
        </w:numPr>
        <w:spacing w:before="40" w:after="40"/>
      </w:pPr>
      <w:r>
        <w:rPr>
          <w:rFonts w:ascii="Arial" w:cs="Arial" w:eastAsia="Arial" w:hAnsi="Arial"/>
          <w:color w:val="1A1A1A"/>
          <w:sz w:val="22"/>
          <w:szCs w:val="22"/>
        </w:rPr>
        <w:t xml:space="preserve">Your personal identity does not appear in any company registration, shareholding, or banking documentation.</w:t>
      </w:r>
    </w:p>
    <w:p>
      <w:pPr>
        <w:pStyle w:val="ListParagraph"/>
        <w:numPr>
          <w:ilvl w:val="0"/>
          <w:numId w:val="8"/>
        </w:numPr>
        <w:spacing w:before="40" w:after="40"/>
      </w:pPr>
      <w:r>
        <w:rPr>
          <w:rFonts w:ascii="Arial" w:cs="Arial" w:eastAsia="Arial" w:hAnsi="Arial"/>
          <w:color w:val="1A1A1A"/>
          <w:sz w:val="22"/>
          <w:szCs w:val="22"/>
        </w:rPr>
        <w:t xml:space="preserve">Official email communication begins only after initial vetting is complete. All preliminary exchanges happen via WhatsApp.</w:t>
      </w:r>
    </w:p>
    <w:p>
      <w:pPr>
        <w:pStyle w:val="Heading2"/>
        <w:spacing w:before="280" w:after="160"/>
      </w:pPr>
      <w:r>
        <w:rPr>
          <w:rFonts w:ascii="Arial" w:cs="Arial" w:eastAsia="Arial" w:hAnsi="Arial"/>
          <w:b/>
          <w:bCs/>
          <w:color w:val="8B6914"/>
          <w:sz w:val="26"/>
          <w:szCs w:val="26"/>
        </w:rPr>
        <w:t xml:space="preserve">9.4 On-Ground Safety</w:t>
      </w:r>
    </w:p>
    <w:p>
      <w:pPr>
        <w:spacing w:before="80" w:after="120"/>
        <w:jc w:val="left"/>
      </w:pPr>
      <w:r>
        <w:rPr>
          <w:rFonts w:ascii="Arial" w:cs="Arial" w:eastAsia="Arial" w:hAnsi="Arial"/>
          <w:b w:val="false"/>
          <w:bCs w:val="false"/>
          <w:i w:val="false"/>
          <w:iCs w:val="false"/>
          <w:color w:val="1A1A1A"/>
          <w:sz w:val="22"/>
          <w:szCs w:val="22"/>
        </w:rPr>
        <w:t xml:space="preserve">When operating in African countries:</w:t>
      </w:r>
    </w:p>
    <w:p>
      <w:pPr>
        <w:pStyle w:val="ListParagraph"/>
        <w:numPr>
          <w:ilvl w:val="0"/>
          <w:numId w:val="9"/>
        </w:numPr>
        <w:spacing w:before="40" w:after="40"/>
      </w:pPr>
      <w:r>
        <w:rPr>
          <w:rFonts w:ascii="Arial" w:cs="Arial" w:eastAsia="Arial" w:hAnsi="Arial"/>
          <w:color w:val="1A1A1A"/>
          <w:sz w:val="22"/>
          <w:szCs w:val="22"/>
        </w:rPr>
        <w:t xml:space="preserve">Conduct thorough due diligence on every person you meet—even brief association with a criminal puts you on law enforcement radar.</w:t>
      </w:r>
    </w:p>
    <w:p>
      <w:pPr>
        <w:pStyle w:val="ListParagraph"/>
        <w:numPr>
          <w:ilvl w:val="0"/>
          <w:numId w:val="9"/>
        </w:numPr>
        <w:spacing w:before="40" w:after="40"/>
      </w:pPr>
      <w:r>
        <w:rPr>
          <w:rFonts w:ascii="Arial" w:cs="Arial" w:eastAsia="Arial" w:hAnsi="Arial"/>
          <w:color w:val="1A1A1A"/>
          <w:sz w:val="22"/>
          <w:szCs w:val="22"/>
        </w:rPr>
        <w:t xml:space="preserve">Never accept physical gold in your personal possession (hotel, personal vault).</w:t>
      </w:r>
    </w:p>
    <w:p>
      <w:pPr>
        <w:pStyle w:val="ListParagraph"/>
        <w:numPr>
          <w:ilvl w:val="0"/>
          <w:numId w:val="9"/>
        </w:numPr>
        <w:spacing w:before="40" w:after="40"/>
      </w:pPr>
      <w:r>
        <w:rPr>
          <w:rFonts w:ascii="Arial" w:cs="Arial" w:eastAsia="Arial" w:hAnsi="Arial"/>
          <w:color w:val="1A1A1A"/>
          <w:sz w:val="22"/>
          <w:szCs w:val="22"/>
        </w:rPr>
        <w:t xml:space="preserve">All gold must be handled through authorized third-party agents.</w:t>
      </w:r>
    </w:p>
    <w:p>
      <w:pPr>
        <w:pStyle w:val="ListParagraph"/>
        <w:numPr>
          <w:ilvl w:val="0"/>
          <w:numId w:val="9"/>
        </w:numPr>
        <w:spacing w:before="40" w:after="40"/>
      </w:pPr>
      <w:r>
        <w:rPr>
          <w:rFonts w:ascii="Arial" w:cs="Arial" w:eastAsia="Arial" w:hAnsi="Arial"/>
          <w:color w:val="1A1A1A"/>
          <w:sz w:val="22"/>
          <w:szCs w:val="22"/>
        </w:rPr>
        <w:t xml:space="preserve">Maintain awareness of local political and security conditions at all times.</w:t>
      </w:r>
    </w:p>
    <w:p>
      <w:r>
        <w:br w:type="page"/>
      </w:r>
    </w:p>
    <w:p>
      <w:pPr>
        <w:pStyle w:val="Heading1"/>
        <w:pBdr>
          <w:bottom w:val="single" w:color="B8860B" w:sz="3" w:space="4"/>
        </w:pBdr>
        <w:spacing w:before="360" w:after="200"/>
      </w:pPr>
      <w:r>
        <w:rPr>
          <w:rFonts w:ascii="Arial" w:cs="Arial" w:eastAsia="Arial" w:hAnsi="Arial"/>
          <w:b/>
          <w:bCs/>
          <w:color w:val="1B2A4A"/>
          <w:sz w:val="32"/>
          <w:szCs w:val="32"/>
        </w:rPr>
        <w:t xml:space="preserve">10. Tax Implications &amp; Country Research</w:t>
      </w:r>
    </w:p>
    <w:p>
      <w:pPr>
        <w:pStyle w:val="Heading2"/>
        <w:spacing w:before="280" w:after="160"/>
      </w:pPr>
      <w:r>
        <w:rPr>
          <w:rFonts w:ascii="Arial" w:cs="Arial" w:eastAsia="Arial" w:hAnsi="Arial"/>
          <w:b/>
          <w:bCs/>
          <w:color w:val="8B6914"/>
          <w:sz w:val="26"/>
          <w:szCs w:val="26"/>
        </w:rPr>
        <w:t xml:space="preserve">10.1 Key Tax Considerations</w:t>
      </w:r>
    </w:p>
    <w:p>
      <w:pPr>
        <w:spacing w:before="80" w:after="120"/>
        <w:jc w:val="left"/>
      </w:pPr>
      <w:r>
        <w:rPr>
          <w:rFonts w:ascii="Arial" w:cs="Arial" w:eastAsia="Arial" w:hAnsi="Arial"/>
          <w:b w:val="false"/>
          <w:bCs w:val="false"/>
          <w:i w:val="false"/>
          <w:iCs w:val="false"/>
          <w:color w:val="1A1A1A"/>
          <w:sz w:val="22"/>
          <w:szCs w:val="22"/>
        </w:rPr>
        <w:t xml:space="preserve">Every country has a unique tax landscape for gold. The following categories of tax must be researched for each market:</w:t>
      </w:r>
    </w:p>
    <w:p>
      <w:pPr>
        <w:pStyle w:val="ListParagraph"/>
        <w:numPr>
          <w:ilvl w:val="0"/>
          <w:numId w:val="11"/>
        </w:numPr>
        <w:spacing w:before="40" w:after="40"/>
      </w:pPr>
      <w:r>
        <w:rPr>
          <w:rFonts w:ascii="Arial" w:cs="Arial" w:eastAsia="Arial" w:hAnsi="Arial"/>
          <w:color w:val="1A1A1A"/>
          <w:sz w:val="22"/>
          <w:szCs w:val="22"/>
        </w:rPr>
        <w:t xml:space="preserve">Export tax (paid by the seller/exporter in the source country).</w:t>
      </w:r>
    </w:p>
    <w:p>
      <w:pPr>
        <w:pStyle w:val="ListParagraph"/>
        <w:numPr>
          <w:ilvl w:val="0"/>
          <w:numId w:val="11"/>
        </w:numPr>
        <w:spacing w:before="40" w:after="40"/>
      </w:pPr>
      <w:r>
        <w:rPr>
          <w:rFonts w:ascii="Arial" w:cs="Arial" w:eastAsia="Arial" w:hAnsi="Arial"/>
          <w:color w:val="1A1A1A"/>
          <w:sz w:val="22"/>
          <w:szCs w:val="22"/>
        </w:rPr>
        <w:t xml:space="preserve">Income tax (on profits earned from gold trading).</w:t>
      </w:r>
    </w:p>
    <w:p>
      <w:pPr>
        <w:pStyle w:val="ListParagraph"/>
        <w:numPr>
          <w:ilvl w:val="0"/>
          <w:numId w:val="11"/>
        </w:numPr>
        <w:spacing w:before="40" w:after="40"/>
      </w:pPr>
      <w:r>
        <w:rPr>
          <w:rFonts w:ascii="Arial" w:cs="Arial" w:eastAsia="Arial" w:hAnsi="Arial"/>
          <w:color w:val="1A1A1A"/>
          <w:sz w:val="22"/>
          <w:szCs w:val="22"/>
        </w:rPr>
        <w:t xml:space="preserve">Value Added Tax / GST (varies widely by country).</w:t>
      </w:r>
    </w:p>
    <w:p>
      <w:pPr>
        <w:pStyle w:val="ListParagraph"/>
        <w:numPr>
          <w:ilvl w:val="0"/>
          <w:numId w:val="11"/>
        </w:numPr>
        <w:spacing w:before="40" w:after="40"/>
      </w:pPr>
      <w:r>
        <w:rPr>
          <w:rFonts w:ascii="Arial" w:cs="Arial" w:eastAsia="Arial" w:hAnsi="Arial"/>
          <w:color w:val="1A1A1A"/>
          <w:sz w:val="22"/>
          <w:szCs w:val="22"/>
        </w:rPr>
        <w:t xml:space="preserve">Government levies and environmental taxes (e.g., Rwanda has an environment tax).</w:t>
      </w:r>
    </w:p>
    <w:p>
      <w:pPr>
        <w:pStyle w:val="ListParagraph"/>
        <w:numPr>
          <w:ilvl w:val="0"/>
          <w:numId w:val="11"/>
        </w:numPr>
        <w:spacing w:before="40" w:after="40"/>
      </w:pPr>
      <w:r>
        <w:rPr>
          <w:rFonts w:ascii="Arial" w:cs="Arial" w:eastAsia="Arial" w:hAnsi="Arial"/>
          <w:color w:val="1A1A1A"/>
          <w:sz w:val="22"/>
          <w:szCs w:val="22"/>
        </w:rPr>
        <w:t xml:space="preserve">Repatriation restrictions (whether profits can be moved out of the country).</w:t>
      </w:r>
    </w:p>
    <w:p>
      <w:pPr>
        <w:pStyle w:val="Heading2"/>
        <w:spacing w:before="280" w:after="160"/>
      </w:pPr>
      <w:r>
        <w:rPr>
          <w:rFonts w:ascii="Arial" w:cs="Arial" w:eastAsia="Arial" w:hAnsi="Arial"/>
          <w:b/>
          <w:bCs/>
          <w:color w:val="8B6914"/>
          <w:sz w:val="26"/>
          <w:szCs w:val="26"/>
        </w:rPr>
        <w:t xml:space="preserve">10.2 Notable Country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Country</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2"/>
                <w:szCs w:val="22"/>
              </w:rPr>
              <w:t xml:space="preserve">Dubai/UAE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Zero tax on gold within DMCC. No repatriation restrictions. Full profit retention.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2"/>
                <w:szCs w:val="22"/>
              </w:rPr>
              <w:t xml:space="preserve">Rwanda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30% standard income tax, but only 1.5% on 24-karat gold sales—special treatment.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2"/>
                <w:szCs w:val="22"/>
              </w:rPr>
              <w:t xml:space="preserve">Uganda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~27% income tax. Export licenses valid only 3 days. Strong origin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2"/>
                <w:szCs w:val="22"/>
              </w:rPr>
              <w:t xml:space="preserve">Ghana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Government-controlled gold market. Purchase price is only 3–4% below global. Impractical for our model.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2"/>
                <w:szCs w:val="22"/>
              </w:rPr>
              <w:t xml:space="preserve">Switzerland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Strict origin restrictions. Will not accept gold directly from many African countries. Accepts Dubai-refined gold.</w:t>
            </w:r>
          </w:p>
        </w:tc>
      </w:tr>
    </w:tbl>
    <w:p>
      <w:pPr>
        <w:pStyle w:val="Heading2"/>
        <w:spacing w:before="280" w:after="160"/>
      </w:pPr>
      <w:r>
        <w:rPr>
          <w:rFonts w:ascii="Arial" w:cs="Arial" w:eastAsia="Arial" w:hAnsi="Arial"/>
          <w:b/>
          <w:bCs/>
          <w:color w:val="8B6914"/>
          <w:sz w:val="26"/>
          <w:szCs w:val="26"/>
        </w:rPr>
        <w:t xml:space="preserve">10.3 Tax Optimization Strategy</w:t>
      </w:r>
    </w:p>
    <w:p>
      <w:pPr>
        <w:spacing w:before="80" w:after="120"/>
        <w:jc w:val="left"/>
      </w:pPr>
      <w:r>
        <w:rPr>
          <w:rFonts w:ascii="Arial" w:cs="Arial" w:eastAsia="Arial" w:hAnsi="Arial"/>
          <w:b w:val="false"/>
          <w:bCs w:val="false"/>
          <w:i w:val="false"/>
          <w:iCs w:val="false"/>
          <w:color w:val="1A1A1A"/>
          <w:sz w:val="22"/>
          <w:szCs w:val="22"/>
        </w:rPr>
        <w:t xml:space="preserve">A critical question for every jurisdiction: Who pays the tax—the seller or the buyer? If a country allows repatriation and the tax burden falls on the local buyer rather than the foreign seller, it may be viable even with higher tax rates. All tax research must be verified against primary legal sources—never rely solely on AI-generated summaries. Read the actual laws, central bank regulations, and constitutional provisions.</w:t>
      </w:r>
    </w:p>
    <w:p>
      <w:r>
        <w:br w:type="page"/>
      </w:r>
    </w:p>
    <w:p>
      <w:pPr>
        <w:pStyle w:val="Heading1"/>
        <w:pBdr>
          <w:bottom w:val="single" w:color="B8860B" w:sz="3" w:space="4"/>
        </w:pBdr>
        <w:spacing w:before="360" w:after="200"/>
      </w:pPr>
      <w:r>
        <w:rPr>
          <w:rFonts w:ascii="Arial" w:cs="Arial" w:eastAsia="Arial" w:hAnsi="Arial"/>
          <w:b/>
          <w:bCs/>
          <w:color w:val="1B2A4A"/>
          <w:sz w:val="32"/>
          <w:szCs w:val="32"/>
        </w:rPr>
        <w:t xml:space="preserve">11. Network Building Requirements</w:t>
      </w:r>
    </w:p>
    <w:p>
      <w:pPr>
        <w:spacing w:before="80" w:after="120"/>
        <w:jc w:val="left"/>
      </w:pPr>
      <w:r>
        <w:rPr>
          <w:rFonts w:ascii="Arial" w:cs="Arial" w:eastAsia="Arial" w:hAnsi="Arial"/>
          <w:b w:val="false"/>
          <w:bCs w:val="false"/>
          <w:i w:val="false"/>
          <w:iCs w:val="false"/>
          <w:color w:val="1A1A1A"/>
          <w:sz w:val="22"/>
          <w:szCs w:val="22"/>
        </w:rPr>
        <w:t xml:space="preserve">The gold business is fundamentally a network business. The following networks must be built and maintained across every operational country:</w:t>
      </w:r>
    </w:p>
    <w:p>
      <w:pPr>
        <w:pStyle w:val="ListParagraph"/>
        <w:numPr>
          <w:ilvl w:val="0"/>
          <w:numId w:val="12"/>
        </w:numPr>
        <w:spacing w:before="40" w:after="40"/>
      </w:pPr>
      <w:r>
        <w:rPr>
          <w:rFonts w:ascii="Arial" w:cs="Arial" w:eastAsia="Arial" w:hAnsi="Arial"/>
          <w:color w:val="1A1A1A"/>
          <w:sz w:val="22"/>
          <w:szCs w:val="22"/>
        </w:rPr>
        <w:t xml:space="preserve">Sellers: Cooperatives and export agents with verified gold supply.</w:t>
      </w:r>
    </w:p>
    <w:p>
      <w:pPr>
        <w:pStyle w:val="ListParagraph"/>
        <w:numPr>
          <w:ilvl w:val="0"/>
          <w:numId w:val="12"/>
        </w:numPr>
        <w:spacing w:before="40" w:after="40"/>
      </w:pPr>
      <w:r>
        <w:rPr>
          <w:rFonts w:ascii="Arial" w:cs="Arial" w:eastAsia="Arial" w:hAnsi="Arial"/>
          <w:color w:val="1A1A1A"/>
          <w:sz w:val="22"/>
          <w:szCs w:val="22"/>
        </w:rPr>
        <w:t xml:space="preserve">Lawyers: Local legal counsel for due diligence and agreement review.</w:t>
      </w:r>
    </w:p>
    <w:p>
      <w:pPr>
        <w:pStyle w:val="ListParagraph"/>
        <w:numPr>
          <w:ilvl w:val="0"/>
          <w:numId w:val="12"/>
        </w:numPr>
        <w:spacing w:before="40" w:after="40"/>
      </w:pPr>
      <w:r>
        <w:rPr>
          <w:rFonts w:ascii="Arial" w:cs="Arial" w:eastAsia="Arial" w:hAnsi="Arial"/>
          <w:color w:val="1A1A1A"/>
          <w:sz w:val="22"/>
          <w:szCs w:val="22"/>
        </w:rPr>
        <w:t xml:space="preserve">Government Officials: Access through diplomatic leads for internal verification.</w:t>
      </w:r>
    </w:p>
    <w:p>
      <w:pPr>
        <w:pStyle w:val="ListParagraph"/>
        <w:numPr>
          <w:ilvl w:val="0"/>
          <w:numId w:val="12"/>
        </w:numPr>
        <w:spacing w:before="40" w:after="40"/>
      </w:pPr>
      <w:r>
        <w:rPr>
          <w:rFonts w:ascii="Arial" w:cs="Arial" w:eastAsia="Arial" w:hAnsi="Arial"/>
          <w:color w:val="1A1A1A"/>
          <w:sz w:val="22"/>
          <w:szCs w:val="22"/>
        </w:rPr>
        <w:t xml:space="preserve">Customs Agents: For managing export/import procedures.</w:t>
      </w:r>
    </w:p>
    <w:p>
      <w:pPr>
        <w:pStyle w:val="ListParagraph"/>
        <w:numPr>
          <w:ilvl w:val="0"/>
          <w:numId w:val="12"/>
        </w:numPr>
        <w:spacing w:before="40" w:after="40"/>
      </w:pPr>
      <w:r>
        <w:rPr>
          <w:rFonts w:ascii="Arial" w:cs="Arial" w:eastAsia="Arial" w:hAnsi="Arial"/>
          <w:color w:val="1A1A1A"/>
          <w:sz w:val="22"/>
          <w:szCs w:val="22"/>
        </w:rPr>
        <w:t xml:space="preserve">Logistics Agents: For secure transportation arrangements.</w:t>
      </w:r>
    </w:p>
    <w:p>
      <w:pPr>
        <w:pStyle w:val="ListParagraph"/>
        <w:numPr>
          <w:ilvl w:val="0"/>
          <w:numId w:val="12"/>
        </w:numPr>
        <w:spacing w:before="40" w:after="40"/>
      </w:pPr>
      <w:r>
        <w:rPr>
          <w:rFonts w:ascii="Arial" w:cs="Arial" w:eastAsia="Arial" w:hAnsi="Arial"/>
          <w:color w:val="1A1A1A"/>
          <w:sz w:val="22"/>
          <w:szCs w:val="22"/>
        </w:rPr>
        <w:t xml:space="preserve">Secured Transportation: Reputed security companies (G4S, Brinks, Transguard).</w:t>
      </w:r>
    </w:p>
    <w:p>
      <w:pPr>
        <w:pStyle w:val="ListParagraph"/>
        <w:numPr>
          <w:ilvl w:val="0"/>
          <w:numId w:val="12"/>
        </w:numPr>
        <w:spacing w:before="40" w:after="40"/>
      </w:pPr>
      <w:r>
        <w:rPr>
          <w:rFonts w:ascii="Arial" w:cs="Arial" w:eastAsia="Arial" w:hAnsi="Arial"/>
          <w:color w:val="1A1A1A"/>
          <w:sz w:val="22"/>
          <w:szCs w:val="22"/>
        </w:rPr>
        <w:t xml:space="preserve">Refineries: Certified facilities in destination countries.</w:t>
      </w:r>
    </w:p>
    <w:p>
      <w:pPr>
        <w:pStyle w:val="ListParagraph"/>
        <w:numPr>
          <w:ilvl w:val="0"/>
          <w:numId w:val="12"/>
        </w:numPr>
        <w:spacing w:before="40" w:after="40"/>
      </w:pPr>
      <w:r>
        <w:rPr>
          <w:rFonts w:ascii="Arial" w:cs="Arial" w:eastAsia="Arial" w:hAnsi="Arial"/>
          <w:color w:val="1A1A1A"/>
          <w:sz w:val="22"/>
          <w:szCs w:val="22"/>
        </w:rPr>
        <w:t xml:space="preserve">Buyers: Verified purchasers with proof of funds or escrow commitment.</w:t>
      </w:r>
    </w:p>
    <w:p>
      <w:pPr>
        <w:pStyle w:val="ListParagraph"/>
        <w:numPr>
          <w:ilvl w:val="0"/>
          <w:numId w:val="12"/>
        </w:numPr>
        <w:spacing w:before="40" w:after="40"/>
      </w:pPr>
      <w:r>
        <w:rPr>
          <w:rFonts w:ascii="Arial" w:cs="Arial" w:eastAsia="Arial" w:hAnsi="Arial"/>
          <w:color w:val="1A1A1A"/>
          <w:sz w:val="22"/>
          <w:szCs w:val="22"/>
        </w:rPr>
        <w:t xml:space="preserve">Banks: For escrow, fund management, and profit utilization.</w:t>
      </w:r>
    </w:p>
    <w:p>
      <w:pPr>
        <w:pStyle w:val="Heading2"/>
        <w:spacing w:before="280" w:after="160"/>
      </w:pPr>
      <w:r>
        <w:rPr>
          <w:rFonts w:ascii="Arial" w:cs="Arial" w:eastAsia="Arial" w:hAnsi="Arial"/>
          <w:b/>
          <w:bCs/>
          <w:color w:val="8B6914"/>
          <w:sz w:val="26"/>
          <w:szCs w:val="26"/>
        </w:rPr>
        <w:t xml:space="preserve">11.1 Geographic Priorities</w:t>
      </w:r>
    </w:p>
    <w:p>
      <w:pPr>
        <w:spacing w:before="80" w:after="120"/>
        <w:jc w:val="left"/>
      </w:pPr>
      <w:r>
        <w:rPr>
          <w:rFonts w:ascii="Arial" w:cs="Arial" w:eastAsia="Arial" w:hAnsi="Arial"/>
          <w:b w:val="false"/>
          <w:bCs w:val="false"/>
          <w:i w:val="false"/>
          <w:iCs w:val="false"/>
          <w:color w:val="1A1A1A"/>
          <w:sz w:val="22"/>
          <w:szCs w:val="22"/>
        </w:rPr>
        <w:t xml:space="preserve">Africa has approximately 54 countries, of which over 30 have gold. Our strategy requires company registrations, bank accounts, and operational networks in every viable gold-producing country. Key gold hotspots globally: Dubai (primary hub), Switzerland, Hong Kong, Australia, and India.</w:t>
      </w:r>
    </w:p>
    <w:p>
      <w:pPr>
        <w:pStyle w:val="Heading2"/>
        <w:spacing w:before="280" w:after="160"/>
      </w:pPr>
      <w:r>
        <w:rPr>
          <w:rFonts w:ascii="Arial" w:cs="Arial" w:eastAsia="Arial" w:hAnsi="Arial"/>
          <w:b/>
          <w:bCs/>
          <w:color w:val="8B6914"/>
          <w:sz w:val="26"/>
          <w:szCs w:val="26"/>
        </w:rPr>
        <w:t xml:space="preserve">11.2 Current Situation</w:t>
      </w:r>
    </w:p>
    <w:p>
      <w:pPr>
        <w:spacing w:before="80" w:after="120"/>
        <w:jc w:val="left"/>
      </w:pPr>
      <w:r>
        <w:rPr>
          <w:rFonts w:ascii="Arial" w:cs="Arial" w:eastAsia="Arial" w:hAnsi="Arial"/>
          <w:b w:val="false"/>
          <w:bCs w:val="false"/>
          <w:i w:val="false"/>
          <w:iCs w:val="false"/>
          <w:color w:val="1A1A1A"/>
          <w:sz w:val="22"/>
          <w:szCs w:val="22"/>
        </w:rPr>
        <w:t xml:space="preserve">Dubai operations are currently on hold due to Middle East airspace closures from the ongoing conflict. The immediate priority is identifying alternative export destinations where we can sell gold with minimal tax burden. This research has been assigned to the full team.</w:t>
      </w:r>
    </w:p>
    <w:p>
      <w:pPr>
        <w:pStyle w:val="Heading1"/>
        <w:pBdr>
          <w:bottom w:val="single" w:color="B8860B" w:sz="3" w:space="4"/>
        </w:pBdr>
        <w:spacing w:before="360" w:after="200"/>
      </w:pPr>
      <w:r>
        <w:rPr>
          <w:rFonts w:ascii="Arial" w:cs="Arial" w:eastAsia="Arial" w:hAnsi="Arial"/>
          <w:b/>
          <w:bCs/>
          <w:color w:val="1B2A4A"/>
          <w:sz w:val="32"/>
          <w:szCs w:val="32"/>
        </w:rPr>
        <w:t xml:space="preserve">12. Tools &amp; Systems</w:t>
      </w:r>
    </w:p>
    <w:p>
      <w:pPr>
        <w:pStyle w:val="ListParagraph"/>
        <w:numPr>
          <w:ilvl w:val="0"/>
          <w:numId w:val="2"/>
        </w:numPr>
        <w:spacing w:before="40" w:after="40"/>
      </w:pPr>
      <w:r>
        <w:rPr>
          <w:rFonts w:ascii="Arial" w:cs="Arial" w:eastAsia="Arial" w:hAnsi="Arial"/>
          <w:color w:val="1A1A1A"/>
          <w:sz w:val="22"/>
          <w:szCs w:val="22"/>
        </w:rPr>
        <w:t xml:space="preserve">ClickUp: Primary project management for tracking deals, workflows, scoring, and flagging. Custom automations are set up for seller intake.</w:t>
      </w:r>
    </w:p>
    <w:p>
      <w:pPr>
        <w:pStyle w:val="ListParagraph"/>
        <w:numPr>
          <w:ilvl w:val="0"/>
          <w:numId w:val="2"/>
        </w:numPr>
        <w:spacing w:before="40" w:after="40"/>
      </w:pPr>
      <w:r>
        <w:rPr>
          <w:rFonts w:ascii="Arial" w:cs="Arial" w:eastAsia="Arial" w:hAnsi="Arial"/>
          <w:color w:val="1A1A1A"/>
          <w:sz w:val="22"/>
          <w:szCs w:val="22"/>
        </w:rPr>
        <w:t xml:space="preserve">Wire: Secure internal communication channel for reporting.</w:t>
      </w:r>
    </w:p>
    <w:p>
      <w:pPr>
        <w:pStyle w:val="ListParagraph"/>
        <w:numPr>
          <w:ilvl w:val="0"/>
          <w:numId w:val="2"/>
        </w:numPr>
        <w:spacing w:before="40" w:after="40"/>
      </w:pPr>
      <w:r>
        <w:rPr>
          <w:rFonts w:ascii="Arial" w:cs="Arial" w:eastAsia="Arial" w:hAnsi="Arial"/>
          <w:color w:val="1A1A1A"/>
          <w:sz w:val="22"/>
          <w:szCs w:val="22"/>
        </w:rPr>
        <w:t xml:space="preserve">Due Diligence Software: Automated document verification, facial biometrics, and KYB screening.</w:t>
      </w:r>
    </w:p>
    <w:p>
      <w:pPr>
        <w:pStyle w:val="ListParagraph"/>
        <w:numPr>
          <w:ilvl w:val="0"/>
          <w:numId w:val="2"/>
        </w:numPr>
        <w:spacing w:before="40" w:after="40"/>
      </w:pPr>
      <w:r>
        <w:rPr>
          <w:rFonts w:ascii="Arial" w:cs="Arial" w:eastAsia="Arial" w:hAnsi="Arial"/>
          <w:color w:val="1A1A1A"/>
          <w:sz w:val="22"/>
          <w:szCs w:val="22"/>
        </w:rPr>
        <w:t xml:space="preserve">World Monitor (.net): Open-source intelligence tool for monitoring gold prices, dollar values, war situation, sanctions, and global trends. Bookmark this tool.</w:t>
      </w:r>
    </w:p>
    <w:p>
      <w:pPr>
        <w:pStyle w:val="ListParagraph"/>
        <w:numPr>
          <w:ilvl w:val="0"/>
          <w:numId w:val="2"/>
        </w:numPr>
        <w:spacing w:before="40" w:after="40"/>
      </w:pPr>
      <w:r>
        <w:rPr>
          <w:rFonts w:ascii="Arial" w:cs="Arial" w:eastAsia="Arial" w:hAnsi="Arial"/>
          <w:color w:val="1A1A1A"/>
          <w:sz w:val="22"/>
          <w:szCs w:val="22"/>
        </w:rPr>
        <w:t xml:space="preserve">Claude AI Skills: Custom skills have been built for processing gold seller data—intake, scoring, flagging, and pipeline management.</w:t>
      </w:r>
    </w:p>
    <w:p>
      <w:r>
        <w:br w:type="page"/>
      </w:r>
    </w:p>
    <w:p>
      <w:pPr>
        <w:pStyle w:val="Heading1"/>
        <w:pBdr>
          <w:bottom w:val="single" w:color="B8860B" w:sz="3" w:space="4"/>
        </w:pBdr>
        <w:spacing w:before="360" w:after="200"/>
      </w:pPr>
      <w:r>
        <w:rPr>
          <w:rFonts w:ascii="Arial" w:cs="Arial" w:eastAsia="Arial" w:hAnsi="Arial"/>
          <w:b/>
          <w:bCs/>
          <w:color w:val="1B2A4A"/>
          <w:sz w:val="32"/>
          <w:szCs w:val="32"/>
        </w:rPr>
        <w:t xml:space="preserve">13. First Assignment</w:t>
      </w:r>
    </w:p>
    <w:p>
      <w:pPr>
        <w:spacing w:before="80" w:after="120"/>
        <w:jc w:val="left"/>
      </w:pPr>
      <w:r>
        <w:rPr>
          <w:rFonts w:ascii="Arial" w:cs="Arial" w:eastAsia="Arial" w:hAnsi="Arial"/>
          <w:b w:val="false"/>
          <w:bCs w:val="false"/>
          <w:i w:val="false"/>
          <w:iCs w:val="false"/>
          <w:color w:val="1A1A1A"/>
          <w:sz w:val="22"/>
          <w:szCs w:val="22"/>
        </w:rPr>
        <w:t xml:space="preserve">Every team member’s first task is a comprehensive research exercise. The deliverable is a country-by-country analysis covering:</w:t>
      </w:r>
    </w:p>
    <w:p>
      <w:pPr>
        <w:pStyle w:val="ListParagraph"/>
        <w:numPr>
          <w:ilvl w:val="0"/>
          <w:numId w:val="4"/>
        </w:numPr>
        <w:spacing w:before="40" w:after="40"/>
      </w:pPr>
      <w:r>
        <w:rPr>
          <w:rFonts w:ascii="Arial" w:cs="Arial" w:eastAsia="Arial" w:hAnsi="Arial"/>
          <w:color w:val="1A1A1A"/>
          <w:sz w:val="22"/>
          <w:szCs w:val="22"/>
        </w:rPr>
        <w:t xml:space="preserve">All countries where gold is available for sale (seller markets).</w:t>
      </w:r>
    </w:p>
    <w:p>
      <w:pPr>
        <w:pStyle w:val="ListParagraph"/>
        <w:numPr>
          <w:ilvl w:val="0"/>
          <w:numId w:val="4"/>
        </w:numPr>
        <w:spacing w:before="40" w:after="40"/>
      </w:pPr>
      <w:r>
        <w:rPr>
          <w:rFonts w:ascii="Arial" w:cs="Arial" w:eastAsia="Arial" w:hAnsi="Arial"/>
          <w:color w:val="1A1A1A"/>
          <w:sz w:val="22"/>
          <w:szCs w:val="22"/>
        </w:rPr>
        <w:t xml:space="preserve">All countries where buyers exist for refined gold (buyer markets).</w:t>
      </w:r>
    </w:p>
    <w:p>
      <w:pPr>
        <w:pStyle w:val="ListParagraph"/>
        <w:numPr>
          <w:ilvl w:val="0"/>
          <w:numId w:val="4"/>
        </w:numPr>
        <w:spacing w:before="40" w:after="40"/>
      </w:pPr>
      <w:r>
        <w:rPr>
          <w:rFonts w:ascii="Arial" w:cs="Arial" w:eastAsia="Arial" w:hAnsi="Arial"/>
          <w:color w:val="1A1A1A"/>
          <w:sz w:val="22"/>
          <w:szCs w:val="22"/>
        </w:rPr>
        <w:t xml:space="preserve">Complete tax implications for each country: export tax, income tax, VAT/GST, government levies, environmental taxes, and any special treatment for gold.</w:t>
      </w:r>
    </w:p>
    <w:p>
      <w:pPr>
        <w:pStyle w:val="ListParagraph"/>
        <w:numPr>
          <w:ilvl w:val="0"/>
          <w:numId w:val="4"/>
        </w:numPr>
        <w:spacing w:before="40" w:after="40"/>
      </w:pPr>
      <w:r>
        <w:rPr>
          <w:rFonts w:ascii="Arial" w:cs="Arial" w:eastAsia="Arial" w:hAnsi="Arial"/>
          <w:color w:val="1A1A1A"/>
          <w:sz w:val="22"/>
          <w:szCs w:val="22"/>
        </w:rPr>
        <w:t xml:space="preserve">Repatriation rules: Can profits be moved out of the country?</w:t>
      </w:r>
    </w:p>
    <w:p>
      <w:pPr>
        <w:pStyle w:val="ListParagraph"/>
        <w:numPr>
          <w:ilvl w:val="0"/>
          <w:numId w:val="4"/>
        </w:numPr>
        <w:spacing w:before="40" w:after="40"/>
      </w:pPr>
      <w:r>
        <w:rPr>
          <w:rFonts w:ascii="Arial" w:cs="Arial" w:eastAsia="Arial" w:hAnsi="Arial"/>
          <w:color w:val="1A1A1A"/>
          <w:sz w:val="22"/>
          <w:szCs w:val="22"/>
        </w:rPr>
        <w:t xml:space="preserve">Identify where gold flows globally—which countries feed into Dubai, Switzerland, Hong Kong, and other hubs?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E6C4" w:sz="1"/>
              <w:left w:val="single" w:color="B8860B" w:sz="6"/>
              <w:bottom w:val="single" w:color="F5E6C4" w:sz="1"/>
              <w:right w:val="single" w:color="F5E6C4" w:sz="1"/>
            </w:tcBorders>
            <w:shd w:fill="FFF8E7" w:val="clear"/>
            <w:tcMar>
              <w:top w:type="dxa" w:w="120"/>
              <w:left w:type="dxa" w:w="200"/>
              <w:bottom w:type="dxa" w:w="120"/>
              <w:right w:type="dxa" w:w="200"/>
            </w:tcMar>
          </w:tcPr>
          <w:p>
            <w:r>
              <w:rPr>
                <w:rFonts w:ascii="Arial" w:cs="Arial" w:eastAsia="Arial" w:hAnsi="Arial"/>
                <w:i/>
                <w:iCs/>
                <w:color w:val="1B2A4A"/>
                <w:sz w:val="22"/>
                <w:szCs w:val="22"/>
              </w:rPr>
              <w:t xml:space="preserve">This is not a timed assignment, but a meeting can be called at any point to review progress. The expectation is that team members demonstrate genuine excitement and involvement by diving deep into the research immediately, going beyond surface-level AI summaries to study actual laws, constitutions, and central bank regulations.</w:t>
            </w:r>
          </w:p>
        </w:tc>
      </w:tr>
    </w:tbl>
    <w:p>
      <w:pPr>
        <w:spacing w:before="80" w:after="120"/>
        <w:jc w:val="left"/>
      </w:pPr>
      <w:r>
        <w:rPr>
          <w:rFonts w:ascii="Arial" w:cs="Arial" w:eastAsia="Arial" w:hAnsi="Arial"/>
          <w:b w:val="false"/>
          <w:bCs w:val="false"/>
          <w:i w:val="false"/>
          <w:iCs w:val="false"/>
          <w:color w:val="1A1A1A"/>
          <w:sz w:val="22"/>
          <w:szCs w:val="22"/>
        </w:rPr>
        <w:t xml:space="preserve">All findings are to be reported via Wire to the designated reporting channel. Based on individual performance and areas of strength, team members will be directed toward specialized roles (deal-making, logistics, due diligence, buyer relations, etc.).</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  UAN Commercial Wing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2" w:space="4"/>
      </w:pBdr>
    </w:pPr>
    <w:r>
      <w:rPr>
        <w:rFonts w:ascii="Arial" w:cs="Arial" w:eastAsia="Arial" w:hAnsi="Arial"/>
        <w:i/>
        <w:iCs/>
        <w:color w:val="666666"/>
        <w:sz w:val="16"/>
        <w:szCs w:val="16"/>
      </w:rPr>
      <w:t xml:space="preserve">SWARNA PEETAM — Gold Trading Operations Manual</w:t>
    </w:r>
    <w:r>
      <w:rPr>
        <w:rFonts w:ascii="Arial" w:cs="Arial" w:eastAsia="Arial" w:hAnsi="Arial"/>
        <w:b/>
        <w:bCs/>
        <w:color w:val="CC0000"/>
        <w:sz w:val="16"/>
        <w:szCs w:val="16"/>
      </w:rPr>
      <w:ptab w:alignment="right" w:relativeTo="margin" w:leader="none"/>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8"/>
    <w:lvlOverride w:ilvl="0">
      <w:startOverride w:val="1"/>
    </w:lvlOverride>
  </w:num>
  <w:num w:numId="5">
    <w:abstractNumId w:val="9"/>
    <w:lvlOverride w:ilvl="0">
      <w:startOverride w:val="1"/>
    </w:lvlOverride>
  </w:num>
  <w:num w:numId="6">
    <w:abstractNumId w:val="10"/>
    <w:lvlOverride w:ilvl="0">
      <w:startOverride w:val="1"/>
    </w:lvlOverride>
  </w:num>
  <w:num w:numId="7">
    <w:abstractNumId w:val="4"/>
    <w:lvlOverride w:ilvl="0">
      <w:startOverride w:val="1"/>
    </w:lvlOverride>
  </w:num>
  <w:num w:numId="8">
    <w:abstractNumId w:val="5"/>
    <w:lvlOverride w:ilvl="0">
      <w:startOverride w:val="1"/>
    </w:lvlOverride>
  </w:num>
  <w:num w:numId="9">
    <w:abstractNumId w:val="6"/>
    <w:lvlOverride w:ilvl="0">
      <w:startOverride w:val="1"/>
    </w:lvlOverride>
  </w:num>
  <w:num w:numId="10">
    <w:abstractNumId w:val="11"/>
    <w:lvlOverride w:ilvl="0">
      <w:startOverride w:val="1"/>
    </w:lvlOverride>
  </w:num>
  <w:num w:numId="11">
    <w:abstractNumId w:val="7"/>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8B691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2026-03-28T20:38:50.783Z</dcterms:created>
  <dcterms:modified xsi:type="dcterms:W3CDTF">2026-03-28T20:38:50.783Z</dcterms:modified>
</cp:coreProperties>
</file>

<file path=docProps/custom.xml><?xml version="1.0" encoding="utf-8"?>
<Properties xmlns="http://schemas.openxmlformats.org/officeDocument/2006/custom-properties" xmlns:vt="http://schemas.openxmlformats.org/officeDocument/2006/docPropsVTypes"/>
</file>