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T070 | PS-118 | WEEK 1 – DESIGN</w:t>
      </w:r>
    </w:p>
    <w:p>
      <w:pPr>
        <w:jc w:val="center"/>
      </w:pPr>
      <w:r>
        <w:rPr>
          <w:i/>
          <w:sz w:val="20"/>
        </w:rPr>
        <w:t>Court Case Listing and Adjournment Scheduling Engine</w:t>
      </w:r>
    </w:p>
    <w:p>
      <w:pPr>
        <w:pStyle w:val="Heading1"/>
      </w:pPr>
      <w:r>
        <w:t>4. Class Diagram</w:t>
      </w:r>
    </w:p>
    <w:p>
      <w:r>
        <w:t>The model separates case data from bench calendars, hearing events and generated cause-list entries. Services coordinate the business rules; input/output logic remains separate from domain logic.</w:t>
      </w:r>
    </w:p>
    <w:p>
      <w:r>
        <w:t>Core classes and fields:</w:t>
      </w:r>
    </w:p>
    <w:p>
      <w:r>
        <w:t>Case</w:t>
      </w:r>
    </w:p>
    <w:p>
      <w:pPr>
        <w:pStyle w:val="ListBullet"/>
      </w:pPr>
      <w:r>
        <w:t>case_id, case_type, subject, party_ids, filing_date, cause_of_action_date/order_date, claim_value</w:t>
      </w:r>
    </w:p>
    <w:p>
      <w:pPr>
        <w:pStyle w:val="ListBullet"/>
      </w:pPr>
      <w:r>
        <w:t>urgency, stage, status, adjournment_history, flags, assigned_bench_id, next_date</w:t>
      </w:r>
    </w:p>
    <w:p>
      <w:r>
        <w:t>Bench</w:t>
      </w:r>
    </w:p>
    <w:p>
      <w:pPr>
        <w:pStyle w:val="ListBullet"/>
      </w:pPr>
      <w:r>
        <w:t>bench_id, subjects, sitting_days, daily_capacity, leave_dates, conflict_party_ids</w:t>
      </w:r>
    </w:p>
    <w:p>
      <w:pPr>
        <w:pStyle w:val="ListBullet"/>
      </w:pPr>
      <w:r>
        <w:t>designated_family_days, round_robin_position</w:t>
      </w:r>
    </w:p>
    <w:p>
      <w:r>
        <w:t>HearingEvent</w:t>
      </w:r>
    </w:p>
    <w:p>
      <w:pPr>
        <w:pStyle w:val="ListBullet"/>
      </w:pPr>
      <w:r>
        <w:t>event_id, case_id, event_date, outcome, reason, requesting_party_id, consent_flag, mentioned_at, notes</w:t>
      </w:r>
    </w:p>
    <w:p>
      <w:r>
        <w:t>CauseListEntry</w:t>
      </w:r>
    </w:p>
    <w:p>
      <w:pPr>
        <w:pStyle w:val="ListBullet"/>
      </w:pPr>
      <w:r>
        <w:t>case_id, bench_id, listing_date, priority_band, carry_over_count, final_hearing, position, overboard_flag</w:t>
      </w:r>
    </w:p>
    <w:p>
      <w:r>
        <w:t>CalendarService</w:t>
      </w:r>
    </w:p>
    <w:p>
      <w:pPr>
        <w:pStyle w:val="ListBullet"/>
      </w:pPr>
      <w:r>
        <w:t>holidays, working-day checks, next eligible sitting day</w:t>
      </w:r>
    </w:p>
    <w:p>
      <w:r>
        <w:t>AdmissionResult</w:t>
      </w:r>
    </w:p>
    <w:p>
      <w:pPr>
        <w:pStyle w:val="ListBullet"/>
      </w:pPr>
      <w:r>
        <w:t>case_id, decision, fee_due, fee_paid, cure_deadline, reason, flags</w:t>
      </w:r>
    </w:p>
    <w:p>
      <w:r>
        <w:t>Key relationships: a case has one or more parties and hearing events; a bench handles many cases and has its own calendar; a cause-list entry links a case to a bench and date; services use the calendar, limitation and fee components. A transfer preserves the case's stage and history while changing its assigned bench.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T070 | PS-118 | Week 1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