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T070 | PS-118 | WEEK 1 – DESIGN</w:t>
      </w:r>
    </w:p>
    <w:p>
      <w:pPr>
        <w:jc w:val="center"/>
      </w:pPr>
      <w:r>
        <w:rPr>
          <w:i/>
          <w:sz w:val="20"/>
        </w:rPr>
        <w:t>Court Case Listing and Adjournment Scheduling Engine</w:t>
      </w:r>
    </w:p>
    <w:p>
      <w:pPr>
        <w:pStyle w:val="Heading1"/>
      </w:pPr>
      <w:r>
        <w:t>5. State Diagrams</w:t>
      </w:r>
    </w:p>
    <w:p>
      <w:r>
        <w:t>5.1 Conceptual case lifecycle</w:t>
      </w:r>
    </w:p>
    <w:p>
      <w:r>
        <w:t>FILED → UNDER SCRUTINY → ADMITTED → ALLOCATED → LISTED → HEARD → DECIDED</w:t>
      </w:r>
    </w:p>
    <w:p>
      <w:r>
        <w:t>A filing may be marked DEFECTIVE and then RETURNED / REJECTED if the fee is not cured within 7 days. A hearing may be ADJOURNED; adjourned cases return to scheduling. A transfer preserves stage and history.</w:t>
      </w:r>
    </w:p>
    <w:p>
      <w:r>
        <w:t>The diagram is a high-level design. Actual transitions must follow the official rule register. A case may be listed and heard repeatedly; an adjournment returns it to scheduling. Transfer changes the assigned bench but preserves stage and history.</w:t>
      </w:r>
    </w:p>
    <w:p>
      <w:r>
        <w:t>5.2 Stage progression</w:t>
      </w:r>
    </w:p>
    <w:p>
      <w:r>
        <w:t>PLEADINGS → ISSUES → EVIDENCE → ARGUMENTS → JUDGMENT</w:t>
      </w:r>
    </w:p>
    <w:p>
      <w:r>
        <w:t>A stage cannot be skipped unless the hearing event contains a consent flag. Reaching ARGUMENTS gives final-hearing priority, subject to the daily limit of eight final-hearing matters. A case in EVIDENCE for more than 180 days receives a DELAY flag and is included in the principal-judge report.</w:t>
      </w:r>
    </w:p>
    <w:p>
      <w:r>
        <w:t>5.3 Admission and scheduling decision order</w:t>
      </w:r>
    </w:p>
    <w:p>
      <w:r>
        <w:rPr>
          <w:b/>
        </w:rPr>
        <w:t xml:space="preserve">Admission 1 — </w:t>
      </w:r>
      <w:r>
        <w:t>Check limitation, including wrong-forum exclusion and holiday extension.</w:t>
      </w:r>
    </w:p>
    <w:p>
      <w:r>
        <w:rPr>
          <w:b/>
        </w:rPr>
        <w:t xml:space="preserve">Admission 2 — </w:t>
      </w:r>
      <w:r>
        <w:t>Check fee sufficiency; mark DEFECTIVE and set a seven-day cure deadline if deficient.</w:t>
      </w:r>
    </w:p>
    <w:p>
      <w:r>
        <w:rPr>
          <w:b/>
        </w:rPr>
        <w:t xml:space="preserve">Admission 3 — </w:t>
      </w:r>
      <w:r>
        <w:t>Check roster eligibility, then party conflicts and allocation availability.</w:t>
      </w:r>
    </w:p>
    <w:p>
      <w:r>
        <w:rPr>
          <w:b/>
        </w:rPr>
        <w:t xml:space="preserve">Listing 1 — </w:t>
      </w:r>
      <w:r>
        <w:t>Commercial disposal target overrides ordinary priorities; then urgent matters.</w:t>
      </w:r>
    </w:p>
    <w:p>
      <w:r>
        <w:rPr>
          <w:b/>
        </w:rPr>
        <w:t xml:space="preserve">Listing 2 — </w:t>
      </w:r>
      <w:r>
        <w:t>Apply carry-over priority bumps, then standard priority bands and oldest filing date first.</w:t>
      </w:r>
    </w:p>
    <w:p>
      <w:r>
        <w:rPr>
          <w:b/>
        </w:rPr>
        <w:t xml:space="preserve">Listing 3 — </w:t>
      </w:r>
      <w:r>
        <w:t>Apply daily capacity (40) and final-hearing cap (8), plus special calendar constraints.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T070 | PS-118 | Week 1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