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T070 | PS-118 | WEEK 1 – DESIGN</w:t>
      </w:r>
    </w:p>
    <w:p>
      <w:pPr>
        <w:jc w:val="center"/>
      </w:pPr>
      <w:r>
        <w:rPr>
          <w:i/>
          <w:sz w:val="20"/>
        </w:rPr>
        <w:t>Court Case Listing and Adjournment Scheduling Engine</w:t>
      </w:r>
    </w:p>
    <w:p>
      <w:pPr>
        <w:pStyle w:val="Heading1"/>
      </w:pPr>
      <w:r>
        <w:t>6. Business-Rule Register (BR-01 to BR-51)</w:t>
      </w:r>
    </w:p>
    <w:p>
      <w:r>
        <w:rPr>
          <w:b/>
        </w:rPr>
        <w:t xml:space="preserve">BR-01 Bench registration — </w:t>
      </w:r>
      <w:r>
        <w:t>Register each bench with subject jurisdictions, sitting days, daily capacity, leave dates and conflict party IDs.</w:t>
      </w:r>
    </w:p>
    <w:p>
      <w:r>
        <w:rPr>
          <w:b/>
        </w:rPr>
        <w:t xml:space="preserve">BR-02 Subject eligibility — </w:t>
      </w:r>
      <w:r>
        <w:t>Assign cases only to benches whose roster includes the case subject: civil, criminal, family or commercial.</w:t>
      </w:r>
    </w:p>
    <w:p>
      <w:r>
        <w:rPr>
          <w:b/>
        </w:rPr>
        <w:t xml:space="preserve">BR-03 Commercial threshold — </w:t>
      </w:r>
      <w:r>
        <w:t>Commercial claims over ₹3 lakh must go to a commercial bench.</w:t>
      </w:r>
    </w:p>
    <w:p>
      <w:r>
        <w:rPr>
          <w:b/>
        </w:rPr>
        <w:t xml:space="preserve">BR-04 Party conflicts — </w:t>
      </w:r>
      <w:r>
        <w:t>Skip an otherwise eligible bench if its conflict list contains any party ID from the case.</w:t>
      </w:r>
    </w:p>
    <w:p>
      <w:r>
        <w:rPr>
          <w:b/>
        </w:rPr>
        <w:t xml:space="preserve">BR-05 Round-robin allocation — </w:t>
      </w:r>
      <w:r>
        <w:t>Distribute among eligible benches in round-robin order; maintain the next bench position per relevant roster/subject.</w:t>
      </w:r>
    </w:p>
    <w:p>
      <w:r>
        <w:rPr>
          <w:b/>
        </w:rPr>
        <w:t xml:space="preserve">BR-06 No eligible bench — </w:t>
      </w:r>
      <w:r>
        <w:t>If none is eligible, report the case as unallocated with a reason; document the chosen status.</w:t>
      </w:r>
    </w:p>
    <w:p>
      <w:r>
        <w:rPr>
          <w:b/>
        </w:rPr>
        <w:t xml:space="preserve">BR-07 Limitation periods — </w:t>
      </w:r>
      <w:r>
        <w:t>Civil suits and money recovery: 3 years; appeals: 30 days from order; revisions: 90 days.</w:t>
      </w:r>
    </w:p>
    <w:p>
      <w:r>
        <w:rPr>
          <w:b/>
        </w:rPr>
        <w:t xml:space="preserve">BR-08 Wrong-forum exclusion — </w:t>
      </w:r>
      <w:r>
        <w:t>Exclude supplied wrong-forum time when calculating limitation.</w:t>
      </w:r>
    </w:p>
    <w:p>
      <w:r>
        <w:rPr>
          <w:b/>
        </w:rPr>
        <w:t xml:space="preserve">BR-09 Holiday deadline — </w:t>
      </w:r>
      <w:r>
        <w:t>If the limitation deadline falls on a court holiday, extend it to the next working day.</w:t>
      </w:r>
    </w:p>
    <w:p>
      <w:r>
        <w:rPr>
          <w:b/>
        </w:rPr>
        <w:t xml:space="preserve">BR-10 Late filing with condonation — </w:t>
      </w:r>
      <w:r>
        <w:t>A late filing is accepted only with a condonation application and is flagged DELAY_CONDONATION_PENDING.</w:t>
      </w:r>
    </w:p>
    <w:p>
      <w:r>
        <w:rPr>
          <w:b/>
        </w:rPr>
        <w:t xml:space="preserve">BR-11 Late filing without application — </w:t>
      </w:r>
      <w:r>
        <w:t>Reject or return a late filing without a condonation application, with a clear reason; record selected status.</w:t>
      </w:r>
    </w:p>
    <w:p>
      <w:r>
        <w:rPr>
          <w:b/>
        </w:rPr>
        <w:t xml:space="preserve">BR-12 Admission order — </w:t>
      </w:r>
      <w:r>
        <w:t>Apply limitation (including exclusions and holiday extension) → fee sufficiency → roster → conflicts/allocation.</w:t>
      </w:r>
    </w:p>
    <w:p>
      <w:r>
        <w:rPr>
          <w:b/>
        </w:rPr>
        <w:t xml:space="preserve">BR-13 Progressive fee bands — </w:t>
      </w:r>
      <w:r>
        <w:t>Apply 5% up to ₹1 lakh; 4% on the portion above ₹1 lakh up to ₹10 lakh; 2% on the portion above ₹10 lakh.</w:t>
      </w:r>
    </w:p>
    <w:p>
      <w:r>
        <w:rPr>
          <w:b/>
        </w:rPr>
        <w:t xml:space="preserve">BR-14 Fee cap — </w:t>
      </w:r>
      <w:r>
        <w:t>Cap the calculated fee at ₹3 lakh.</w:t>
      </w:r>
    </w:p>
    <w:p>
      <w:r>
        <w:rPr>
          <w:b/>
        </w:rPr>
        <w:t xml:space="preserve">BR-15 Appeal fee — </w:t>
      </w:r>
      <w:r>
        <w:t>Appeals pay 50% of the original fee.</w:t>
      </w:r>
    </w:p>
    <w:p>
      <w:r>
        <w:rPr>
          <w:b/>
        </w:rPr>
        <w:t xml:space="preserve">BR-16 Deficient fee — </w:t>
      </w:r>
      <w:r>
        <w:t>If fee is deficient, register as DEFECTIVE and allow 7 days to cure.</w:t>
      </w:r>
    </w:p>
    <w:p>
      <w:r>
        <w:rPr>
          <w:b/>
        </w:rPr>
        <w:t xml:space="preserve">BR-17 Uncured fee defect — </w:t>
      </w:r>
      <w:r>
        <w:t>If not cured within 7 days, return the filing.</w:t>
      </w:r>
    </w:p>
    <w:p>
      <w:r>
        <w:rPr>
          <w:b/>
        </w:rPr>
        <w:t xml:space="preserve">BR-18 Fee boundaries — </w:t>
      </w:r>
      <w:r>
        <w:t>Apply fee-band boundaries consistently at exactly ₹1 lakh and ₹10 lakh; document the progressive marginal-band interpretation.</w:t>
      </w:r>
    </w:p>
    <w:p>
      <w:r>
        <w:rPr>
          <w:b/>
        </w:rPr>
        <w:t xml:space="preserve">BR-19 Priority bands — </w:t>
      </w:r>
      <w:r>
        <w:t>Highest first: (1) urgent/bail, (2) part-heard, (3) 3+ adjournments, (4) older than 2 years, (5) final hearing, (6) all others.</w:t>
      </w:r>
    </w:p>
    <w:p>
      <w:r>
        <w:rPr>
          <w:b/>
        </w:rPr>
        <w:t xml:space="preserve">BR-20 Within-band order — </w:t>
      </w:r>
      <w:r>
        <w:t>Within a priority band, list oldest filing date first.</w:t>
      </w:r>
    </w:p>
    <w:p>
      <w:r>
        <w:rPr>
          <w:b/>
        </w:rPr>
        <w:t xml:space="preserve">BR-21 Daily board capacity — </w:t>
      </w:r>
      <w:r>
        <w:t>Maximum 40 matters per bench per day.</w:t>
      </w:r>
    </w:p>
    <w:p>
      <w:r>
        <w:rPr>
          <w:b/>
        </w:rPr>
        <w:t xml:space="preserve">BR-22 Final-hearing cap — </w:t>
      </w:r>
      <w:r>
        <w:t>Maximum 8 final-hearing matters per bench per day.</w:t>
      </w:r>
    </w:p>
    <w:p>
      <w:r>
        <w:rPr>
          <w:b/>
        </w:rPr>
        <w:t xml:space="preserve">BR-23 Carry-over — </w:t>
      </w:r>
      <w:r>
        <w:t>Unreached matters carry to the next sitting day and go first within their band.</w:t>
      </w:r>
    </w:p>
    <w:p>
      <w:r>
        <w:rPr>
          <w:b/>
        </w:rPr>
        <w:t xml:space="preserve">BR-24 Unreached escalation — </w:t>
      </w:r>
      <w:r>
        <w:t>A matter unreached on 3 consecutive sittings moves up one band.</w:t>
      </w:r>
    </w:p>
    <w:p>
      <w:r>
        <w:rPr>
          <w:b/>
        </w:rPr>
        <w:t xml:space="preserve">BR-25 Commercial disposal target — </w:t>
      </w:r>
      <w:r>
        <w:t>Commercial cases past 12 months from filing are listed every 7 days until decided; this target overrides ordinary priorities.</w:t>
      </w:r>
    </w:p>
    <w:p>
      <w:r>
        <w:rPr>
          <w:b/>
        </w:rPr>
        <w:t xml:space="preserve">BR-26 Family/minor matters — </w:t>
      </w:r>
      <w:r>
        <w:t>Family cases involving a minor are heard in camera and listed only on designated days; designated days must be supplied or agreed as an assumption.</w:t>
      </w:r>
    </w:p>
    <w:p>
      <w:r>
        <w:rPr>
          <w:b/>
        </w:rPr>
        <w:t xml:space="preserve">BR-27 Urgent/bail mention — </w:t>
      </w:r>
      <w:r>
        <w:t>Mention before 10:30: same day if board has fewer than 40 matters; otherwise next sitting day at position 1.</w:t>
      </w:r>
    </w:p>
    <w:p>
      <w:r>
        <w:rPr>
          <w:b/>
        </w:rPr>
        <w:t xml:space="preserve">BR-28 Priority precedence — </w:t>
      </w:r>
      <w:r>
        <w:t>Precedence: disposal target → urgent → carry-over bumps → standard bands → capacity caps.</w:t>
      </w:r>
    </w:p>
    <w:p>
      <w:r>
        <w:rPr>
          <w:b/>
        </w:rPr>
        <w:t xml:space="preserve">BR-29 Hearing outcomes — </w:t>
      </w:r>
      <w:r>
        <w:t>Support HEARD, PART_HEARD, ADJOURNED, DECIDED and TRANSFERRED.</w:t>
      </w:r>
    </w:p>
    <w:p>
      <w:r>
        <w:rPr>
          <w:b/>
        </w:rPr>
        <w:t xml:space="preserve">BR-30 Case stages — </w:t>
      </w:r>
      <w:r>
        <w:t>Stages progress PLEADINGS → ISSUES → EVIDENCE → ARGUMENTS → JUDGMENT.</w:t>
      </w:r>
    </w:p>
    <w:p>
      <w:r>
        <w:rPr>
          <w:b/>
        </w:rPr>
        <w:t xml:space="preserve">BR-31 No stage skipping — </w:t>
      </w:r>
      <w:r>
        <w:t>Do not skip stages unless the event has a consent flag.</w:t>
      </w:r>
    </w:p>
    <w:p>
      <w:r>
        <w:rPr>
          <w:b/>
        </w:rPr>
        <w:t xml:space="preserve">BR-32 Arguments priority — </w:t>
      </w:r>
      <w:r>
        <w:t>Reaching ARGUMENTS gives final-hearing priority, still subject to the cap of 8.</w:t>
      </w:r>
    </w:p>
    <w:p>
      <w:r>
        <w:rPr>
          <w:b/>
        </w:rPr>
        <w:t xml:space="preserve">BR-33 Evidence delay — </w:t>
      </w:r>
      <w:r>
        <w:t>More than 180 days in EVIDENCE triggers a DELAY flag and principal-judge report.</w:t>
      </w:r>
    </w:p>
    <w:p>
      <w:r>
        <w:rPr>
          <w:b/>
        </w:rPr>
        <w:t xml:space="preserve">BR-34 Adjournment limit — </w:t>
      </w:r>
      <w:r>
        <w:t>Maximum 3 adjournments per party per stage; refuse the 4th unless reason is MEDICAL or COURT_OCCASIONED.</w:t>
      </w:r>
    </w:p>
    <w:p>
      <w:r>
        <w:rPr>
          <w:b/>
        </w:rPr>
        <w:t xml:space="preserve">BR-35 Court-occasioned adjournment — </w:t>
      </w:r>
      <w:r>
        <w:t>Court-occasioned adjournments do not count against a party.</w:t>
      </w:r>
    </w:p>
    <w:p>
      <w:r>
        <w:rPr>
          <w:b/>
        </w:rPr>
        <w:t xml:space="preserve">BR-36 Party adjournment cost — </w:t>
      </w:r>
      <w:r>
        <w:t>A party adjournment after 2 earlier adjournments costs ₹2,000.</w:t>
      </w:r>
    </w:p>
    <w:p>
      <w:r>
        <w:rPr>
          <w:b/>
        </w:rPr>
        <w:t xml:space="preserve">BR-37 Commercial adjournment cost — </w:t>
      </w:r>
      <w:r>
        <w:t>Double the adjournment cost for commercial cases (₹4,000).</w:t>
      </w:r>
    </w:p>
    <w:p>
      <w:r>
        <w:rPr>
          <w:b/>
        </w:rPr>
        <w:t xml:space="preserve">BR-38 Cost payment timing — </w:t>
      </w:r>
      <w:r>
        <w:t>Adjournment cost is payable before the next date.</w:t>
      </w:r>
    </w:p>
    <w:p>
      <w:r>
        <w:rPr>
          <w:b/>
        </w:rPr>
        <w:t xml:space="preserve">BR-39 Minimum interval to next date — </w:t>
      </w:r>
      <w:r>
        <w:t>Next date is the next eligible bench sitting day at least 14 days after adjournment, or 7 days for urgent cases.</w:t>
      </w:r>
    </w:p>
    <w:p>
      <w:r>
        <w:rPr>
          <w:b/>
        </w:rPr>
        <w:t xml:space="preserve">BR-40 Calendar exclusions — </w:t>
      </w:r>
      <w:r>
        <w:t>Skip bench leave days and court holidays.</w:t>
      </w:r>
    </w:p>
    <w:p>
      <w:r>
        <w:rPr>
          <w:b/>
        </w:rPr>
        <w:t xml:space="preserve">BR-41 Capacity on next date — </w:t>
      </w:r>
      <w:r>
        <w:t>The selected next date must have board capacity.</w:t>
      </w:r>
    </w:p>
    <w:p>
      <w:r>
        <w:rPr>
          <w:b/>
        </w:rPr>
        <w:t xml:space="preserve">BR-42 Overboard fallback — </w:t>
      </w:r>
      <w:r>
        <w:t>If no date has capacity within 60 days, list on day 60 and add OVERBOARD.</w:t>
      </w:r>
    </w:p>
    <w:p>
      <w:r>
        <w:rPr>
          <w:b/>
        </w:rPr>
        <w:t xml:space="preserve">BR-43 Medical fourth adjournment — </w:t>
      </w:r>
      <w:r>
        <w:t>MEDICAL permits a fourth adjournment under the exception; whether it incurs a cost is unspecified and must be documented.</w:t>
      </w:r>
    </w:p>
    <w:p>
      <w:r>
        <w:rPr>
          <w:b/>
        </w:rPr>
        <w:t xml:space="preserve">BR-44 Transfer limit and reason — </w:t>
      </w:r>
      <w:r>
        <w:t>Transfer a case at most once, and only because of roster change or conflict.</w:t>
      </w:r>
    </w:p>
    <w:p>
      <w:r>
        <w:rPr>
          <w:b/>
        </w:rPr>
        <w:t xml:space="preserve">BR-45 Destination eligibility — </w:t>
      </w:r>
      <w:r>
        <w:t>Check destination roster eligibility and conflicts against all case parties.</w:t>
      </w:r>
    </w:p>
    <w:p>
      <w:r>
        <w:rPr>
          <w:b/>
        </w:rPr>
        <w:t xml:space="preserve">BR-46 Preserve history on transfer — </w:t>
      </w:r>
      <w:r>
        <w:t>Preserve stage and adjournment history when transferring.</w:t>
      </w:r>
    </w:p>
    <w:p>
      <w:r>
        <w:rPr>
          <w:b/>
        </w:rPr>
        <w:t xml:space="preserve">BR-47 Transfer counts as adjournment — </w:t>
      </w:r>
      <w:r>
        <w:t>Count a transfer as an adjournment.</w:t>
      </w:r>
    </w:p>
    <w:p>
      <w:r>
        <w:rPr>
          <w:b/>
        </w:rPr>
        <w:t xml:space="preserve">BR-48 Recompute after transfer — </w:t>
      </w:r>
      <w:r>
        <w:t>Recompute next date using the destination bench calendar, leave, holidays and capacity.</w:t>
      </w:r>
    </w:p>
    <w:p>
      <w:r>
        <w:rPr>
          <w:b/>
        </w:rPr>
        <w:t xml:space="preserve">BR-49 Cause-list report — </w:t>
      </w:r>
      <w:r>
        <w:t>Print daily cause lists by bench, showing order and carry-over where applicable.</w:t>
      </w:r>
    </w:p>
    <w:p>
      <w:r>
        <w:rPr>
          <w:b/>
        </w:rPr>
        <w:t xml:space="preserve">BR-50 Case diary — </w:t>
      </w:r>
      <w:r>
        <w:t>Include admission, fee, bench, stage, hearing history, adjournments/costs, flags and next date.</w:t>
      </w:r>
    </w:p>
    <w:p>
      <w:r>
        <w:rPr>
          <w:b/>
        </w:rPr>
        <w:t xml:space="preserve">BR-51 Pendency report — </w:t>
      </w:r>
      <w:r>
        <w:t>Include pending cases, age, stage, overdue commercial targets and evidence-delay flags.</w:t>
      </w:r>
    </w:p>
    <w:p/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T070 | PS-118 | Week 1 Design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