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T070 | PS-118 | WEEK 1 – DESIGN</w:t>
      </w:r>
    </w:p>
    <w:p>
      <w:pPr>
        <w:jc w:val="center"/>
      </w:pPr>
      <w:r>
        <w:rPr>
          <w:i/>
          <w:sz w:val="20"/>
        </w:rPr>
        <w:t>Court Case Listing and Adjournment Scheduling Engine</w:t>
      </w:r>
    </w:p>
    <w:p>
      <w:pPr>
        <w:pStyle w:val="Heading1"/>
      </w:pPr>
      <w:r>
        <w:t>7. Assumptions and Decision Log</w:t>
      </w:r>
    </w:p>
    <w:p>
      <w:r>
        <w:t>The source brief explicitly asks the team to document unresolved interpretations. Confirm these with the mentor where possible. If guidance is unavailable, record one consistent interpretation, its reason and an example.</w:t>
      </w:r>
    </w:p>
    <w:p>
      <w:r>
        <w:rPr>
          <w:b/>
        </w:rPr>
        <w:t xml:space="preserve">DEC-01 — </w:t>
      </w:r>
      <w:r>
        <w:t>3+ adjournments priority band: Decide whether the count is per case, per party or per stage.</w:t>
      </w:r>
    </w:p>
    <w:p>
      <w:r>
        <w:rPr>
          <w:b/>
        </w:rPr>
        <w:t xml:space="preserve">DEC-02 — </w:t>
      </w:r>
      <w:r>
        <w:t>Medical fourth adjournment cost: Clarify whether the permitted fourth MEDICAL adjournment incurs a cost; document the chosen interpretation.</w:t>
      </w:r>
    </w:p>
    <w:p>
      <w:r>
        <w:rPr>
          <w:b/>
        </w:rPr>
        <w:t xml:space="preserve">DEC-03 — </w:t>
      </w:r>
      <w:r>
        <w:t>Progressive court fee: Confirm marginal-band arithmetic and exact ₹1 lakh / ₹10 lakh boundaries.</w:t>
      </w:r>
    </w:p>
    <w:p>
      <w:r>
        <w:rPr>
          <w:b/>
        </w:rPr>
        <w:t xml:space="preserve">DEC-04 — </w:t>
      </w:r>
      <w:r>
        <w:t>Calendar format: Specify how court holidays, working days, sitting days and bench leave are represented.</w:t>
      </w:r>
    </w:p>
    <w:p>
      <w:r>
        <w:rPr>
          <w:b/>
        </w:rPr>
        <w:t xml:space="preserve">DEC-05 — </w:t>
      </w:r>
      <w:r>
        <w:t>Family/minor designated days: Obtain supplied designated days or document an agreed assumption.</w:t>
      </w:r>
    </w:p>
    <w:p>
      <w:r>
        <w:rPr>
          <w:b/>
        </w:rPr>
        <w:t xml:space="preserve">DEC-06 — </w:t>
      </w:r>
      <w:r>
        <w:t>Late filing without condonation: Choose the status/reason used for rejected or returned filing.</w:t>
      </w:r>
    </w:p>
    <w:p>
      <w:r>
        <w:rPr>
          <w:b/>
        </w:rPr>
        <w:t xml:space="preserve">DEC-07 — </w:t>
      </w:r>
      <w:r>
        <w:t>Transfer destination conflict: Define the result if the proposed destination bench conflicts with a party; do not silently bypass BR-45.</w:t>
      </w:r>
    </w:p>
    <w:p>
      <w:r>
        <w:rPr>
          <w:b/>
        </w:rPr>
        <w:t xml:space="preserve">DEC-08 — </w:t>
      </w:r>
      <w:r>
        <w:t>Urgent matter next day full: Clarify behavior if the next sitting day cannot fit the urgent matter despite the position-1 rule.</w:t>
      </w:r>
    </w:p>
    <w:p>
      <w:r>
        <w:rPr>
          <w:b/>
        </w:rPr>
        <w:t xml:space="preserve">DEC-09 — </w:t>
      </w:r>
      <w:r>
        <w:t>Exactly 14 days later: Confirm whether the 14th day is valid when it is an eligible sitting day with capacity.</w:t>
      </w:r>
    </w:p>
    <w:p>
      <w:r>
        <w:rPr>
          <w:b/>
        </w:rPr>
        <w:t xml:space="preserve">DEC-10 — </w:t>
      </w:r>
      <w:r>
        <w:t>Day-60 fallback: Clarify behavior if day 60 is a holiday or non-sitting day.</w:t>
      </w:r>
    </w:p>
    <w:p>
      <w:r>
        <w:rPr>
          <w:b/>
        </w:rPr>
        <w:t xml:space="preserve">DEC-11 — </w:t>
      </w:r>
      <w:r>
        <w:t>No eligible bench: Select and document the unallocated status and reason.</w:t>
      </w:r>
    </w:p>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T070 | PS-118 | Week 1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