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8. Edge Cases and Validation Checklist</w:t>
      </w:r>
    </w:p>
    <w:p>
      <w:pPr>
        <w:pStyle w:val="ListBullet"/>
      </w:pPr>
      <w:r>
        <w:t>Limitation deadline falls on court holiday — Extend deadline to next working day.</w:t>
      </w:r>
    </w:p>
    <w:p>
      <w:pPr>
        <w:pStyle w:val="ListBullet"/>
      </w:pPr>
      <w:r>
        <w:t>Claim value exactly ₹1 lakh or ₹10 lakh — Apply documented progressive fee-band boundaries consistently.</w:t>
      </w:r>
    </w:p>
    <w:p>
      <w:pPr>
        <w:pStyle w:val="ListBullet"/>
      </w:pPr>
      <w:r>
        <w:t>Fourth adjournment reason is MEDICAL — Permit the exception; apply documented cost interpretation.</w:t>
      </w:r>
    </w:p>
    <w:p>
      <w:pPr>
        <w:pStyle w:val="ListBullet"/>
      </w:pPr>
      <w:r>
        <w:t>Urgent mention at 10:29 when board has 40 matters — List next sitting day at position 1, subject to clarified capacity edge behavior.</w:t>
      </w:r>
    </w:p>
    <w:p>
      <w:pPr>
        <w:pStyle w:val="ListBullet"/>
      </w:pPr>
      <w:r>
        <w:t>Date exactly 14 days after adjournment is bench leave — Skip that date and find next eligible sitting.</w:t>
      </w:r>
    </w:p>
    <w:p>
      <w:pPr>
        <w:pStyle w:val="ListBullet"/>
      </w:pPr>
      <w:r>
        <w:t>Case unreached on exactly 3 consecutive sittings — Move it up one priority band.</w:t>
      </w:r>
    </w:p>
    <w:p>
      <w:pPr>
        <w:pStyle w:val="ListBullet"/>
      </w:pPr>
      <w:r>
        <w:t>Commercial case crosses 12 months while adjourned — Apply disposal-target priority and list every 7 days until decided.</w:t>
      </w:r>
    </w:p>
    <w:p>
      <w:pPr>
        <w:pStyle w:val="ListBullet"/>
      </w:pPr>
      <w:r>
        <w:t>Transfer destination bench conflicts with a party — Do not allocate to conflicted bench; apply documented transfer-failure behavior.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