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Vulnerability Assessment &amp; Penetration Testing Report</w:t>
      </w:r>
    </w:p>
    <w:p>
      <w:r>
        <w:t>Client: Test Client   |   Project: Security Assessment   |   Date: 2026-08-17</w:t>
        <w:br/>
      </w:r>
    </w:p>
    <w:p>
      <w:pPr>
        <w:pStyle w:val="Heading1"/>
      </w:pPr>
      <w:r>
        <w:t>Executive Dashboard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Security Grade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Vulnerabilities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CVSS Risk 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 Avg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8"/>
              </w:rPr>
              <w:t>F</w:t>
            </w:r>
          </w:p>
        </w:tc>
        <w:tc>
          <w:tcPr>
            <w:tcW w:type="dxa" w:w="2160"/>
          </w:tcPr>
          <w:p>
            <w:r>
              <w:rPr>
                <w:b/>
                <w:sz w:val="2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/>
                <w:sz w:val="28"/>
              </w:rPr>
              <w:t>10.0 / 10</w:t>
            </w:r>
          </w:p>
        </w:tc>
        <w:tc>
          <w:tcPr>
            <w:tcW w:type="dxa" w:w="2160"/>
          </w:tcPr>
          <w:p>
            <w:r>
              <w:rPr>
                <w:b/>
                <w:sz w:val="28"/>
              </w:rPr>
              <w:t>60.0%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During the security assessment conducted for Test Client under project 'Security Assessment', a total of 4 unique security vulnerabilities were identified across the target scope.</w:t>
        <w:br/>
        <w:br/>
        <w:t>Overall Security Posture Rating: CRITICAL (Health Grade: F)</w:t>
        <w:br/>
        <w:t>Breakdown: 2 Critical, 1 High, 0 Medium, 1 Low, and 0 Informational issues.</w:t>
        <w:br/>
        <w:br/>
        <w:t>Immediate executive intervention is strongly advised to address high-severity vulnerabilities before production exposure.</w:t>
      </w:r>
    </w:p>
    <w:p>
      <w:pPr>
        <w:pStyle w:val="Heading1"/>
      </w:pPr>
      <w:r>
        <w:t>Regulatory Compliance Posture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Regulatory Framework</w:t>
            </w:r>
          </w:p>
        </w:tc>
        <w:tc>
          <w:tcPr>
            <w:tcW w:type="dxa" w:w="2160"/>
          </w:tcPr>
          <w:p>
            <w:r>
              <w:t>Violations</w:t>
            </w:r>
          </w:p>
        </w:tc>
        <w:tc>
          <w:tcPr>
            <w:tcW w:type="dxa" w:w="2160"/>
          </w:tcPr>
          <w:p>
            <w:r>
              <w:t>Compliance Score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PCI-DSS 4.0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60.0%</w:t>
            </w:r>
          </w:p>
        </w:tc>
        <w:tc>
          <w:tcPr>
            <w:tcW w:type="dxa" w:w="2160"/>
          </w:tcPr>
          <w:p>
            <w:r>
              <w:t>NON-COMPLIANT</w:t>
            </w:r>
          </w:p>
        </w:tc>
      </w:tr>
      <w:tr>
        <w:tc>
          <w:tcPr>
            <w:tcW w:type="dxa" w:w="2160"/>
          </w:tcPr>
          <w:p>
            <w:r>
              <w:t>HIPAA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60.0%</w:t>
            </w:r>
          </w:p>
        </w:tc>
        <w:tc>
          <w:tcPr>
            <w:tcW w:type="dxa" w:w="2160"/>
          </w:tcPr>
          <w:p>
            <w:r>
              <w:t>NON-COMPLIANT</w:t>
            </w:r>
          </w:p>
        </w:tc>
      </w:tr>
      <w:tr>
        <w:tc>
          <w:tcPr>
            <w:tcW w:type="dxa" w:w="2160"/>
          </w:tcPr>
          <w:p>
            <w:r>
              <w:t>GDPR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60.0%</w:t>
            </w:r>
          </w:p>
        </w:tc>
        <w:tc>
          <w:tcPr>
            <w:tcW w:type="dxa" w:w="2160"/>
          </w:tcPr>
          <w:p>
            <w:r>
              <w:t>NON-COMPLIANT</w:t>
            </w:r>
          </w:p>
        </w:tc>
      </w:tr>
      <w:tr>
        <w:tc>
          <w:tcPr>
            <w:tcW w:type="dxa" w:w="2160"/>
          </w:tcPr>
          <w:p>
            <w:r>
              <w:t>ISO 27001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60.0%</w:t>
            </w:r>
          </w:p>
        </w:tc>
        <w:tc>
          <w:tcPr>
            <w:tcW w:type="dxa" w:w="2160"/>
          </w:tcPr>
          <w:p>
            <w:r>
              <w:t>NON-COMPLIANT</w:t>
            </w:r>
          </w:p>
        </w:tc>
      </w:tr>
    </w:tbl>
    <w:p/>
    <w:p>
      <w:pPr>
        <w:pStyle w:val="Heading1"/>
      </w:pPr>
      <w:r>
        <w:t>Detailed Vulnerability Findings (4)</w:t>
      </w:r>
    </w:p>
    <w:p>
      <w:pPr>
        <w:pStyle w:val="Heading2"/>
      </w:pPr>
      <w:r>
        <w:t>#1. SQL Injection in Search Query Parameter [CRITICAL]</w:t>
      </w:r>
    </w:p>
    <w:p>
      <w:r>
        <w:rPr>
          <w:b/>
        </w:rPr>
        <w:t>Location: https://app.acme.com/search.php?q=test' OR 1=1--</w:t>
        <w:br/>
      </w:r>
      <w:r>
        <w:t>CVSS Score: 9.5   |   SLA Window: Immediate (within 24 hours)</w:t>
        <w:br/>
      </w:r>
      <w:r>
        <w:t>OWASP 2025: A05:2025 - Injection</w:t>
        <w:br/>
      </w:r>
      <w:r>
        <w:t>Description: Database error 'syntax error near OR 1=1' was returned, and arbitrary database extraction was demonstrated.</w:t>
        <w:br/>
        <w:br/>
        <w:t>Parameter 'q' is concatenated directly into SQL queries without sanitization.</w:t>
        <w:br/>
      </w:r>
    </w:p>
    <w:p>
      <w:pPr>
        <w:pStyle w:val="Heading3"/>
      </w:pPr>
      <w:r>
        <w:t>Remediation Recommendation</w:t>
      </w:r>
    </w:p>
    <w:p>
      <w:r>
        <w:t>Use parameterized SQL queries (prepared statements) for all database operations.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#2. AWS EC2 Instance Metadata SSRF Leak [CRITICAL]</w:t>
      </w:r>
    </w:p>
    <w:p>
      <w:r>
        <w:rPr>
          <w:b/>
        </w:rPr>
        <w:t>Location: https://api.acme.com/proxy?url=http://169.254.169.254/latest/meta-data/iam/security-credentials/</w:t>
        <w:br/>
      </w:r>
      <w:r>
        <w:t>CVSS Score: 9.1   |   SLA Window: Immediate (within 24 hours)</w:t>
        <w:br/>
      </w:r>
      <w:r>
        <w:t>OWASP 2025: A01:2025 - Broken Access Control</w:t>
        <w:br/>
      </w:r>
      <w:r>
        <w:t>Description: Server-Side Request Forgery allows accessing AWS IMDSv1 internal endpoint at http://169.254.169.254/latest/meta-data/</w:t>
        <w:br/>
      </w:r>
    </w:p>
    <w:p>
      <w:pPr>
        <w:pStyle w:val="Heading3"/>
      </w:pPr>
      <w:r>
        <w:t>Proof of Concept / Evidence</w:t>
      </w:r>
    </w:p>
    <w:p>
      <w:r>
        <w:rPr>
          <w:rFonts w:ascii="Consolas" w:hAnsi="Consolas"/>
          <w:sz w:val="17"/>
        </w:rPr>
        <w:t>Curl Command:</w:t>
        <w:br/>
        <w:t>curl -X GET 'https://api.acme.com/proxy?url=http://169.254.169.254/latest/meta-data/iam/security-credentials/'</w:t>
        <w:br/>
        <w:br/>
        <w:t>Extracted Findings:</w:t>
        <w:br/>
        <w:t>AccessKeyId: ASIAIOSFODNN7EXAMPLE, SecretAccessKey: wJalrXUtnFEMI/K7MDENG/bPxRfiCYEXAMPLEKEY</w:t>
      </w:r>
    </w:p>
    <w:p>
      <w:pPr>
        <w:pStyle w:val="Heading3"/>
      </w:pPr>
      <w:r>
        <w:t>Remediation Recommendation</w:t>
      </w:r>
    </w:p>
    <w:p>
      <w:r>
        <w:t>Enforce IMDSv2 and restrict outbound HTTP requests to internal cloud metadata endpoints.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#3. Broken Object Level Authorization (BOLA / IDOR) [HIGH]</w:t>
      </w:r>
    </w:p>
    <w:p>
      <w:r>
        <w:rPr>
          <w:b/>
        </w:rPr>
        <w:t>Location: https://api.acme.com/api/v1/users/1024/profile</w:t>
        <w:br/>
      </w:r>
      <w:r>
        <w:t>CVSS Score: 7.5   |   SLA Window: High Priority (within 7 days)</w:t>
        <w:br/>
      </w:r>
      <w:r>
        <w:t>OWASP 2025: A01:2025 - Broken Access Control</w:t>
        <w:br/>
      </w:r>
      <w:r>
        <w:t>Description: By modifying the user ID parameter from 1024 to 1025, the application returns sensitive PII records of another tenant user without authentication errors.</w:t>
        <w:br/>
        <w:br/>
        <w:t>The application fails to enforce object-level authorization checks when accessing user profiles via numeric ID parameters.</w:t>
        <w:br/>
      </w:r>
    </w:p>
    <w:p>
      <w:pPr>
        <w:pStyle w:val="Heading3"/>
      </w:pPr>
      <w:r>
        <w:t>Remediation Recommendation</w:t>
      </w:r>
    </w:p>
    <w:p>
      <w:r>
        <w:t>Enforce server-side authorization checks on all REST endpoints.</w:t>
        <w:br/>
        <w:br/>
        <w:t>Implement proper access control checks validating that the authenticated user owns the requested object ID.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#4. Missing Strict-Transport-Security (HSTS) Header [LOW]</w:t>
      </w:r>
    </w:p>
    <w:p>
      <w:r>
        <w:rPr>
          <w:b/>
        </w:rPr>
        <w:t>Location: https://app.acme.com</w:t>
        <w:br/>
      </w:r>
      <w:r>
        <w:t>CVSS Score: 3.4   |   SLA Window: Low Priority (within 30 days)</w:t>
        <w:br/>
      </w:r>
      <w:r>
        <w:t>OWASP 2025: A04:2025 - Cryptographic Failures</w:t>
        <w:br/>
      </w:r>
      <w:r>
        <w:t>Description: HTTP Strict Transport Security header is missing, allowing potential Man-in-the-Middle SSL stripping attacks.</w:t>
        <w:br/>
      </w:r>
    </w:p>
    <w:p>
      <w:pPr>
        <w:pStyle w:val="Heading3"/>
      </w:pPr>
      <w:r>
        <w:t>Remediation Recommendation</w:t>
      </w:r>
    </w:p>
    <w:p>
      <w:r>
        <w:t>Configure HTTP Strict-Transport-Security response header with max-age &gt;= 31536000 and includeSubDomains.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