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Toplantı tutanağı — Şubat</w:t>
      </w:r>
    </w:p>
    <w:tbl>
      <w:tblPr>
        <w:tblW w:w="6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Ad</w:t>
            </w:r>
          </w:p>
        </w:tc>
        <w:tc>
          <w:tcPr>
            <w:tcW w:w="3000" w:type="dxa"/>
          </w:tcPr>
          <w:p>
            <w:r>
              <w:t xml:space="preserve">Şehir</w:t>
            </w:r>
          </w:p>
        </w:tc>
      </w:tr>
      <w:tr>
        <w:tc>
          <w:tcPr>
            <w:tcW w:w="3000" w:type="dxa"/>
          </w:tcPr>
          <w:p>
            <w:r>
              <w:t xml:space="preserve">Ayşe</w:t>
            </w:r>
          </w:p>
        </w:tc>
        <w:tc>
          <w:tcPr>
            <w:tcW w:w="3000" w:type="dxa"/>
          </w:tcPr>
          <w:p>
            <w:r>
              <w:t xml:space="preserve">İzmir</w:t>
            </w:r>
          </w:p>
        </w:tc>
      </w:tr>
    </w:tbl>
    <w:p>
      <w:r>
        <w:t xml:space="preserve">Son paragraf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