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jc w:val="center"/>
        <w:tblLook w:firstColumn="1" w:firstRow="1" w:lastColumn="0" w:lastRow="0" w:noHBand="0" w:noVBand="1" w:val="04A0"/>
      </w:tblPr>
      <w:tblGrid>
        <w:gridCol w:w="4788"/>
        <w:gridCol w:w="4788"/>
      </w:tblGrid>
      <w:tr>
        <w:tc>
          <w:tcPr>
            <w:tcW w:type="dxa" w:w="2268"/>
            <w:vAlign w:val="center"/>
            <w:shd w:fill="EAF2F8"/>
          </w:tcPr>
          <w:p>
            <w:pPr>
              <w:jc w:val="center"/>
            </w:pPr>
            <w:r/>
            <w:r>
              <w:rPr>
                <w:rFonts w:ascii="宋体" w:hAnsi="宋体" w:eastAsia="宋体"/>
                <w:b w:val="0"/>
                <w:sz w:val="21"/>
              </w:rPr>
              <w:t>报告编号</w:t>
            </w:r>
          </w:p>
        </w:tc>
        <w:tc>
          <w:tcPr>
            <w:tcW w:type="dxa" w:w="5669"/>
            <w:vAlign w:val="center"/>
          </w:tcPr>
          <w:p>
            <w:pPr>
              <w:jc w:val="center"/>
            </w:pPr>
            <w:r/>
            <w:r>
              <w:rPr>
                <w:rFonts w:ascii="宋体" w:hAnsi="宋体" w:eastAsia="宋体"/>
                <w:b w:val="0"/>
                <w:sz w:val="21"/>
              </w:rPr>
              <w:t>JMYD-SPBOT-TR-20260423</w:t>
            </w:r>
          </w:p>
        </w:tc>
      </w:tr>
      <w:tr>
        <w:tc>
          <w:tcPr>
            <w:tcW w:type="dxa" w:w="2268"/>
            <w:vAlign w:val="center"/>
            <w:shd w:fill="EAF2F8"/>
          </w:tcPr>
          <w:p>
            <w:pPr>
              <w:jc w:val="center"/>
            </w:pPr>
            <w:r/>
            <w:r>
              <w:rPr>
                <w:rFonts w:ascii="宋体" w:hAnsi="宋体" w:eastAsia="宋体"/>
                <w:b w:val="0"/>
                <w:sz w:val="21"/>
              </w:rPr>
              <w:t>总页数</w:t>
            </w:r>
          </w:p>
        </w:tc>
        <w:tc>
          <w:tcPr>
            <w:tcW w:type="dxa" w:w="5669"/>
            <w:vAlign w:val="center"/>
          </w:tcPr>
          <w:p>
            <w:pPr>
              <w:jc w:val="center"/>
            </w:pPr>
            <w:r/>
            <w:r>
              <w:rPr>
                <w:rFonts w:ascii="宋体" w:hAnsi="宋体" w:eastAsia="宋体"/>
                <w:b w:val="0"/>
                <w:sz w:val="21"/>
              </w:rPr>
              <w:t>以 Word 实际页码为准</w:t>
            </w:r>
          </w:p>
        </w:tc>
      </w:tr>
    </w:tbl>
    <w:p/>
    <w:p>
      <w:pPr>
        <w:jc w:val="center"/>
      </w:pPr>
      <w:r>
        <w:rPr>
          <w:rFonts w:ascii="黑体" w:hAnsi="黑体" w:eastAsia="黑体"/>
          <w:b/>
          <w:sz w:val="56"/>
        </w:rPr>
        <w:t>测试报告</w:t>
      </w:r>
    </w:p>
    <w:p/>
    <w:p/>
    <w:p/>
    <w:p/>
    <w:p/>
    <w:p/>
    <w:p>
      <w:pPr>
        <w:jc w:val="center"/>
      </w:pPr>
      <w:r>
        <w:rPr>
          <w:rFonts w:ascii="宋体" w:hAnsi="宋体" w:eastAsia="宋体"/>
          <w:sz w:val="28"/>
        </w:rPr>
        <w:t>产品名称：商务生产任务单智能体软件</w:t>
      </w:r>
    </w:p>
    <w:p>
      <w:pPr>
        <w:jc w:val="center"/>
      </w:pPr>
      <w:r>
        <w:rPr>
          <w:rFonts w:ascii="宋体" w:hAnsi="宋体" w:eastAsia="宋体"/>
          <w:sz w:val="28"/>
        </w:rPr>
        <w:t>报告版本：V1.0</w:t>
      </w:r>
    </w:p>
    <w:p>
      <w:pPr>
        <w:jc w:val="center"/>
      </w:pPr>
      <w:r>
        <w:rPr>
          <w:rFonts w:ascii="宋体" w:hAnsi="宋体" w:eastAsia="宋体"/>
          <w:sz w:val="28"/>
        </w:rPr>
        <w:t>委托单位：深圳积木易搭科技技术有限公司</w:t>
      </w:r>
    </w:p>
    <w:p>
      <w:pPr>
        <w:jc w:val="center"/>
      </w:pPr>
      <w:r>
        <w:rPr>
          <w:rFonts w:ascii="宋体" w:hAnsi="宋体" w:eastAsia="宋体"/>
          <w:sz w:val="28"/>
        </w:rPr>
        <w:t>测试类型：软件产品确认测试（MVP阶段）</w:t>
      </w:r>
    </w:p>
    <w:p>
      <w:pPr>
        <w:jc w:val="center"/>
      </w:pPr>
      <w:r>
        <w:rPr>
          <w:rFonts w:ascii="宋体" w:hAnsi="宋体" w:eastAsia="宋体"/>
          <w:sz w:val="28"/>
        </w:rPr>
        <w:t>测试机构：项目组内部测试</w:t>
      </w:r>
    </w:p>
    <w:p>
      <w:pPr>
        <w:jc w:val="center"/>
      </w:pPr>
      <w:r>
        <w:rPr>
          <w:rFonts w:ascii="宋体" w:hAnsi="宋体" w:eastAsia="宋体"/>
          <w:sz w:val="28"/>
        </w:rPr>
        <w:t>完成时间：2026年04月23日</w:t>
      </w:r>
    </w:p>
    <w:p>
      <w:pPr>
        <w:sectPr>
          <w:footerReference w:type="default" r:id="rId9"/>
          <w:pgSz w:w="12240" w:h="15840"/>
          <w:pgMar w:top="1304" w:right="1247" w:bottom="1134" w:left="1417" w:header="720" w:footer="720" w:gutter="0"/>
          <w:cols w:space="720"/>
          <w:docGrid w:linePitch="360"/>
        </w:sectPr>
      </w:pPr>
    </w:p>
    <w:p>
      <w:pPr>
        <w:pStyle w:val="Heading1"/>
      </w:pPr>
      <w:r>
        <w:t>测试报告</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701"/>
            <w:vAlign w:val="center"/>
          </w:tcPr>
          <w:p>
            <w:pPr>
              <w:jc w:val="center"/>
            </w:pPr>
            <w:r/>
            <w:r>
              <w:rPr>
                <w:rFonts w:ascii="宋体" w:hAnsi="宋体" w:eastAsia="宋体"/>
                <w:b w:val="0"/>
                <w:sz w:val="21"/>
              </w:rPr>
              <w:t>产品名称</w:t>
            </w:r>
          </w:p>
        </w:tc>
        <w:tc>
          <w:tcPr>
            <w:tcW w:type="dxa" w:w="3402"/>
            <w:vAlign w:val="center"/>
          </w:tcPr>
          <w:p>
            <w:pPr>
              <w:jc w:val="center"/>
            </w:pPr>
            <w:r/>
            <w:r>
              <w:rPr>
                <w:rFonts w:ascii="宋体" w:hAnsi="宋体" w:eastAsia="宋体"/>
                <w:b w:val="0"/>
                <w:sz w:val="21"/>
              </w:rPr>
              <w:t>商务生产任务单智能体软件</w:t>
            </w:r>
          </w:p>
        </w:tc>
        <w:tc>
          <w:tcPr>
            <w:tcW w:type="dxa" w:w="1417"/>
            <w:vAlign w:val="center"/>
          </w:tcPr>
          <w:p>
            <w:pPr>
              <w:jc w:val="center"/>
            </w:pPr>
            <w:r/>
            <w:r>
              <w:rPr>
                <w:rFonts w:ascii="宋体" w:hAnsi="宋体" w:eastAsia="宋体"/>
                <w:b w:val="0"/>
                <w:sz w:val="21"/>
              </w:rPr>
            </w:r>
          </w:p>
        </w:tc>
        <w:tc>
          <w:tcPr>
            <w:tcW w:type="dxa" w:w="1701"/>
            <w:vAlign w:val="center"/>
          </w:tcPr>
          <w:p>
            <w:pPr>
              <w:jc w:val="center"/>
            </w:pPr>
            <w:r/>
            <w:r>
              <w:rPr>
                <w:rFonts w:ascii="宋体" w:hAnsi="宋体" w:eastAsia="宋体"/>
                <w:b w:val="0"/>
                <w:sz w:val="21"/>
              </w:rPr>
            </w:r>
          </w:p>
        </w:tc>
        <w:tc>
          <w:tcPr>
            <w:tcW w:type="dxa" w:w="2268"/>
            <w:vAlign w:val="center"/>
          </w:tcPr>
          <w:p>
            <w:pPr>
              <w:jc w:val="center"/>
            </w:pPr>
            <w:r/>
            <w:r>
              <w:rPr>
                <w:rFonts w:ascii="宋体" w:hAnsi="宋体" w:eastAsia="宋体"/>
                <w:b w:val="0"/>
                <w:sz w:val="21"/>
              </w:rPr>
            </w:r>
          </w:p>
        </w:tc>
      </w:tr>
      <w:tr>
        <w:tc>
          <w:tcPr>
            <w:tcW w:type="dxa" w:w="1701"/>
            <w:vAlign w:val="center"/>
          </w:tcPr>
          <w:p>
            <w:pPr>
              <w:jc w:val="center"/>
            </w:pPr>
            <w:r/>
            <w:r>
              <w:rPr>
                <w:rFonts w:ascii="宋体" w:hAnsi="宋体" w:eastAsia="宋体"/>
                <w:b w:val="0"/>
                <w:sz w:val="21"/>
              </w:rPr>
              <w:t>委托单位</w:t>
            </w:r>
          </w:p>
        </w:tc>
        <w:tc>
          <w:tcPr>
            <w:tcW w:type="dxa" w:w="3402"/>
            <w:vAlign w:val="center"/>
          </w:tcPr>
          <w:p>
            <w:pPr>
              <w:jc w:val="center"/>
            </w:pPr>
            <w:r/>
            <w:r>
              <w:rPr>
                <w:rFonts w:ascii="宋体" w:hAnsi="宋体" w:eastAsia="宋体"/>
                <w:b w:val="0"/>
                <w:sz w:val="21"/>
              </w:rPr>
              <w:t>深圳积木易搭科技技术有限公司</w:t>
            </w:r>
          </w:p>
        </w:tc>
        <w:tc>
          <w:tcPr>
            <w:tcW w:type="dxa" w:w="1417"/>
            <w:vAlign w:val="center"/>
          </w:tcPr>
          <w:p>
            <w:pPr>
              <w:jc w:val="center"/>
            </w:pPr>
            <w:r/>
            <w:r>
              <w:rPr>
                <w:rFonts w:ascii="宋体" w:hAnsi="宋体" w:eastAsia="宋体"/>
                <w:b w:val="0"/>
                <w:sz w:val="21"/>
              </w:rPr>
            </w:r>
          </w:p>
        </w:tc>
        <w:tc>
          <w:tcPr>
            <w:tcW w:type="dxa" w:w="1701"/>
            <w:vAlign w:val="center"/>
          </w:tcPr>
          <w:p>
            <w:pPr>
              <w:jc w:val="center"/>
            </w:pPr>
            <w:r/>
            <w:r>
              <w:rPr>
                <w:rFonts w:ascii="宋体" w:hAnsi="宋体" w:eastAsia="宋体"/>
                <w:b w:val="0"/>
                <w:sz w:val="21"/>
              </w:rPr>
            </w:r>
          </w:p>
        </w:tc>
        <w:tc>
          <w:tcPr>
            <w:tcW w:type="dxa" w:w="2268"/>
            <w:vAlign w:val="center"/>
          </w:tcPr>
          <w:p>
            <w:pPr>
              <w:jc w:val="center"/>
            </w:pPr>
            <w:r/>
            <w:r>
              <w:rPr>
                <w:rFonts w:ascii="宋体" w:hAnsi="宋体" w:eastAsia="宋体"/>
                <w:b w:val="0"/>
                <w:sz w:val="21"/>
              </w:rPr>
            </w:r>
          </w:p>
        </w:tc>
      </w:tr>
      <w:tr>
        <w:tc>
          <w:tcPr>
            <w:tcW w:type="dxa" w:w="1701"/>
            <w:vAlign w:val="center"/>
          </w:tcPr>
          <w:p>
            <w:pPr>
              <w:jc w:val="center"/>
            </w:pPr>
            <w:r/>
            <w:r>
              <w:rPr>
                <w:rFonts w:ascii="宋体" w:hAnsi="宋体" w:eastAsia="宋体"/>
                <w:b w:val="0"/>
                <w:sz w:val="21"/>
              </w:rPr>
              <w:t>联系地址</w:t>
            </w:r>
          </w:p>
        </w:tc>
        <w:tc>
          <w:tcPr>
            <w:tcW w:type="dxa" w:w="3402"/>
            <w:vAlign w:val="center"/>
          </w:tcPr>
          <w:p>
            <w:pPr>
              <w:jc w:val="center"/>
            </w:pPr>
            <w:r/>
            <w:r>
              <w:rPr>
                <w:rFonts w:ascii="宋体" w:hAnsi="宋体" w:eastAsia="宋体"/>
                <w:b w:val="0"/>
                <w:sz w:val="21"/>
              </w:rPr>
              <w:t>深圳市南山区深南大道9996号李宁中心21楼AD</w:t>
            </w:r>
          </w:p>
        </w:tc>
        <w:tc>
          <w:tcPr>
            <w:tcW w:type="dxa" w:w="1417"/>
            <w:vAlign w:val="center"/>
          </w:tcPr>
          <w:p>
            <w:pPr>
              <w:jc w:val="center"/>
            </w:pPr>
            <w:r/>
            <w:r>
              <w:rPr>
                <w:rFonts w:ascii="宋体" w:hAnsi="宋体" w:eastAsia="宋体"/>
                <w:b w:val="0"/>
                <w:sz w:val="21"/>
              </w:rPr>
            </w:r>
          </w:p>
        </w:tc>
        <w:tc>
          <w:tcPr>
            <w:tcW w:type="dxa" w:w="1701"/>
            <w:vAlign w:val="center"/>
          </w:tcPr>
          <w:p>
            <w:pPr>
              <w:jc w:val="center"/>
            </w:pPr>
            <w:r/>
            <w:r>
              <w:rPr>
                <w:rFonts w:ascii="宋体" w:hAnsi="宋体" w:eastAsia="宋体"/>
                <w:b w:val="0"/>
                <w:sz w:val="21"/>
              </w:rPr>
            </w:r>
          </w:p>
        </w:tc>
        <w:tc>
          <w:tcPr>
            <w:tcW w:type="dxa" w:w="2268"/>
            <w:vAlign w:val="center"/>
          </w:tcPr>
          <w:p>
            <w:pPr>
              <w:jc w:val="center"/>
            </w:pPr>
            <w:r/>
            <w:r>
              <w:rPr>
                <w:rFonts w:ascii="宋体" w:hAnsi="宋体" w:eastAsia="宋体"/>
                <w:b w:val="0"/>
                <w:sz w:val="21"/>
              </w:rPr>
            </w:r>
          </w:p>
        </w:tc>
      </w:tr>
      <w:tr>
        <w:tc>
          <w:tcPr>
            <w:tcW w:type="dxa" w:w="1701"/>
            <w:vAlign w:val="center"/>
          </w:tcPr>
          <w:p>
            <w:pPr>
              <w:jc w:val="center"/>
            </w:pPr>
            <w:r/>
            <w:r>
              <w:rPr>
                <w:rFonts w:ascii="宋体" w:hAnsi="宋体" w:eastAsia="宋体"/>
                <w:b w:val="0"/>
                <w:sz w:val="21"/>
              </w:rPr>
              <w:t>测试周期</w:t>
            </w:r>
          </w:p>
        </w:tc>
        <w:tc>
          <w:tcPr>
            <w:tcW w:type="dxa" w:w="3402"/>
            <w:vAlign w:val="center"/>
          </w:tcPr>
          <w:p>
            <w:pPr>
              <w:jc w:val="center"/>
            </w:pPr>
            <w:r/>
            <w:r>
              <w:rPr>
                <w:rFonts w:ascii="宋体" w:hAnsi="宋体" w:eastAsia="宋体"/>
                <w:b w:val="0"/>
                <w:sz w:val="21"/>
              </w:rPr>
              <w:t>2026-04-21至2026-04-23</w:t>
            </w:r>
          </w:p>
        </w:tc>
        <w:tc>
          <w:tcPr>
            <w:tcW w:type="dxa" w:w="1417"/>
            <w:vAlign w:val="center"/>
          </w:tcPr>
          <w:p>
            <w:pPr>
              <w:jc w:val="center"/>
            </w:pPr>
            <w:r/>
            <w:r>
              <w:rPr>
                <w:rFonts w:ascii="宋体" w:hAnsi="宋体" w:eastAsia="宋体"/>
                <w:b w:val="0"/>
                <w:sz w:val="21"/>
              </w:rPr>
              <w:t>测试版本</w:t>
            </w:r>
          </w:p>
        </w:tc>
        <w:tc>
          <w:tcPr>
            <w:tcW w:type="dxa" w:w="1701"/>
            <w:vAlign w:val="center"/>
          </w:tcPr>
          <w:p>
            <w:pPr>
              <w:jc w:val="center"/>
            </w:pPr>
            <w:r/>
            <w:r>
              <w:rPr>
                <w:rFonts w:ascii="宋体" w:hAnsi="宋体" w:eastAsia="宋体"/>
                <w:b w:val="0"/>
                <w:sz w:val="21"/>
              </w:rPr>
              <w:t>MVP阶段构建，Git提交 dd33453</w:t>
            </w:r>
          </w:p>
        </w:tc>
        <w:tc>
          <w:tcPr>
            <w:tcW w:type="dxa" w:w="1915"/>
          </w:tcPr>
          <w:p/>
        </w:tc>
      </w:tr>
      <w:tr>
        <w:tc>
          <w:tcPr>
            <w:tcW w:type="dxa" w:w="1701"/>
            <w:vAlign w:val="center"/>
          </w:tcPr>
          <w:p>
            <w:pPr>
              <w:jc w:val="center"/>
            </w:pPr>
            <w:r/>
            <w:r>
              <w:rPr>
                <w:rFonts w:ascii="宋体" w:hAnsi="宋体" w:eastAsia="宋体"/>
                <w:b w:val="0"/>
                <w:sz w:val="21"/>
              </w:rPr>
              <w:t>测试类型</w:t>
            </w:r>
          </w:p>
        </w:tc>
        <w:tc>
          <w:tcPr>
            <w:tcW w:type="dxa" w:w="3402"/>
            <w:vAlign w:val="center"/>
          </w:tcPr>
          <w:p>
            <w:pPr>
              <w:jc w:val="center"/>
            </w:pPr>
            <w:r/>
            <w:r>
              <w:rPr>
                <w:rFonts w:ascii="宋体" w:hAnsi="宋体" w:eastAsia="宋体"/>
                <w:b w:val="0"/>
                <w:sz w:val="21"/>
              </w:rPr>
              <w:t>软件产品确认测试</w:t>
            </w:r>
          </w:p>
        </w:tc>
        <w:tc>
          <w:tcPr>
            <w:tcW w:type="dxa" w:w="1417"/>
            <w:vAlign w:val="center"/>
          </w:tcPr>
          <w:p>
            <w:pPr>
              <w:jc w:val="center"/>
            </w:pPr>
            <w:r/>
            <w:r>
              <w:rPr>
                <w:rFonts w:ascii="宋体" w:hAnsi="宋体" w:eastAsia="宋体"/>
                <w:b w:val="0"/>
                <w:sz w:val="21"/>
              </w:rPr>
              <w:t>测试结论</w:t>
            </w:r>
          </w:p>
        </w:tc>
        <w:tc>
          <w:tcPr>
            <w:tcW w:type="dxa" w:w="1701"/>
            <w:vAlign w:val="center"/>
          </w:tcPr>
          <w:p>
            <w:pPr>
              <w:jc w:val="center"/>
            </w:pPr>
            <w:r/>
            <w:r>
              <w:rPr>
                <w:rFonts w:ascii="宋体" w:hAnsi="宋体" w:eastAsia="宋体"/>
                <w:b w:val="0"/>
                <w:sz w:val="21"/>
              </w:rPr>
              <w:t>通过</w:t>
            </w:r>
          </w:p>
        </w:tc>
        <w:tc>
          <w:tcPr>
            <w:tcW w:type="dxa" w:w="1915"/>
          </w:tcPr>
          <w:p/>
        </w:tc>
      </w:tr>
    </w:tbl>
    <w:p>
      <w:pPr>
        <w:pStyle w:val="Heading1"/>
      </w:pPr>
      <w:r>
        <w:t>1.引言</w:t>
      </w:r>
    </w:p>
    <w:p>
      <w:pPr>
        <w:pStyle w:val="Heading2"/>
      </w:pPr>
      <w:r>
        <w:t>1.1.标识</w:t>
      </w:r>
    </w:p>
    <w:p>
      <w:r>
        <w:rPr>
          <w:rFonts w:ascii="宋体" w:hAnsi="宋体" w:eastAsia="宋体"/>
          <w:sz w:val="21"/>
        </w:rPr>
        <w:t>商务生产任务单智能体软件测试报告</w:t>
      </w:r>
    </w:p>
    <w:p>
      <w:pPr>
        <w:pStyle w:val="Heading2"/>
      </w:pPr>
      <w:r>
        <w:t>1.2.系统概述</w:t>
      </w:r>
    </w:p>
    <w:p>
      <w:r>
        <w:rPr>
          <w:rFonts w:ascii="宋体" w:hAnsi="宋体" w:eastAsia="宋体"/>
          <w:sz w:val="21"/>
        </w:rPr>
        <w:t>商务生产任务单智能体软件面向销售、商务、生产部门之间的生产订单邮件流转场景，通过腾讯企业邮箱 IMAP/SMTP 接入、邮件内容解析、附件解析、初审规则、外部大模型兜底识别、生产任务单生成、生产疑问沟通、销售补充重发、生产确认、异常管理和周报统计等能力，替代商务人员完成生产任务单邮件处理与过程统计工作。系统采用 FastAPI 后端、SQLite 数据存储、静态前端工作台和可配置模型服务组成，支持后台配置邮箱账号、生产部门邮箱、模型 Provider、限频策略、最大沟通轮次和周报收件人等运行参数。</w:t>
      </w:r>
    </w:p>
    <w:p>
      <w:pPr>
        <w:pStyle w:val="Heading1"/>
      </w:pPr>
      <w:r>
        <w:t>2.测试描述</w:t>
      </w:r>
    </w:p>
    <w:p>
      <w:pPr>
        <w:pStyle w:val="Heading2"/>
      </w:pPr>
      <w:r>
        <w:t>2.1测试范围与内容</w:t>
      </w:r>
    </w:p>
    <w:p>
      <w:r>
        <w:rPr>
          <w:rFonts w:ascii="宋体" w:hAnsi="宋体" w:eastAsia="宋体"/>
          <w:sz w:val="21"/>
        </w:rPr>
        <w:t>测试具体内容及要求：</w:t>
      </w:r>
    </w:p>
    <w:tbl>
      <w:tblPr>
        <w:tblStyle w:val="TableGrid"/>
        <w:tblW w:type="auto" w:w="0"/>
        <w:jc w:val="center"/>
        <w:tblLook w:firstColumn="1" w:firstRow="1" w:lastColumn="0" w:lastRow="0" w:noHBand="0" w:noVBand="1" w:val="04A0"/>
      </w:tblPr>
      <w:tblGrid>
        <w:gridCol w:w="3192"/>
        <w:gridCol w:w="3192"/>
        <w:gridCol w:w="3192"/>
      </w:tblGrid>
      <w:tr>
        <w:tc>
          <w:tcPr>
            <w:tcW w:type="dxa" w:w="1701"/>
            <w:vAlign w:val="center"/>
            <w:shd w:fill="D9EAF7"/>
          </w:tcPr>
          <w:p>
            <w:pPr>
              <w:jc w:val="center"/>
            </w:pPr>
            <w:r/>
            <w:r>
              <w:rPr>
                <w:rFonts w:ascii="宋体" w:hAnsi="宋体" w:eastAsia="宋体"/>
                <w:b/>
                <w:sz w:val="21"/>
              </w:rPr>
              <w:t>测试类别</w:t>
            </w:r>
          </w:p>
        </w:tc>
        <w:tc>
          <w:tcPr>
            <w:tcW w:type="dxa" w:w="4535"/>
            <w:vAlign w:val="center"/>
            <w:shd w:fill="D9EAF7"/>
          </w:tcPr>
          <w:p>
            <w:pPr>
              <w:jc w:val="center"/>
            </w:pPr>
            <w:r/>
            <w:r>
              <w:rPr>
                <w:rFonts w:ascii="宋体" w:hAnsi="宋体" w:eastAsia="宋体"/>
                <w:b/>
                <w:sz w:val="21"/>
              </w:rPr>
              <w:t>测试内容</w:t>
            </w:r>
          </w:p>
        </w:tc>
        <w:tc>
          <w:tcPr>
            <w:tcW w:type="dxa" w:w="3402"/>
            <w:vAlign w:val="center"/>
            <w:shd w:fill="D9EAF7"/>
          </w:tcPr>
          <w:p>
            <w:pPr>
              <w:jc w:val="center"/>
            </w:pPr>
            <w:r/>
            <w:r>
              <w:rPr>
                <w:rFonts w:ascii="宋体" w:hAnsi="宋体" w:eastAsia="宋体"/>
                <w:b/>
                <w:sz w:val="21"/>
              </w:rPr>
              <w:t>通过准则</w:t>
            </w:r>
          </w:p>
        </w:tc>
      </w:tr>
      <w:tr>
        <w:tc>
          <w:tcPr>
            <w:tcW w:type="dxa" w:w="1701"/>
            <w:vAlign w:val="center"/>
          </w:tcPr>
          <w:p>
            <w:pPr>
              <w:jc w:val="center"/>
            </w:pPr>
            <w:r/>
            <w:r>
              <w:rPr>
                <w:rFonts w:ascii="宋体" w:hAnsi="宋体" w:eastAsia="宋体"/>
                <w:b w:val="0"/>
                <w:sz w:val="21"/>
              </w:rPr>
              <w:t>功能测试</w:t>
            </w:r>
          </w:p>
        </w:tc>
        <w:tc>
          <w:tcPr>
            <w:tcW w:type="dxa" w:w="4535"/>
            <w:vAlign w:val="center"/>
          </w:tcPr>
          <w:p>
            <w:pPr>
              <w:jc w:val="center"/>
            </w:pPr>
            <w:r/>
            <w:r>
              <w:rPr>
                <w:rFonts w:ascii="宋体" w:hAnsi="宋体" w:eastAsia="宋体"/>
                <w:b w:val="0"/>
                <w:sz w:val="21"/>
              </w:rPr>
              <w:t>登录鉴权、接入配置、邮件入库、初审规则、任务单生成、工作流查看、生产确认/疑问、销售补充、周报、异常与运维</w:t>
            </w:r>
          </w:p>
        </w:tc>
        <w:tc>
          <w:tcPr>
            <w:tcW w:type="dxa" w:w="3402"/>
            <w:vAlign w:val="center"/>
          </w:tcPr>
          <w:p>
            <w:pPr>
              <w:jc w:val="center"/>
            </w:pPr>
            <w:r/>
            <w:r>
              <w:rPr>
                <w:rFonts w:ascii="宋体" w:hAnsi="宋体" w:eastAsia="宋体"/>
                <w:b w:val="0"/>
                <w:sz w:val="21"/>
              </w:rPr>
              <w:t>主要业务流程可按预期完成，关键状态和外发队列正确</w:t>
            </w:r>
          </w:p>
        </w:tc>
      </w:tr>
      <w:tr>
        <w:tc>
          <w:tcPr>
            <w:tcW w:type="dxa" w:w="1701"/>
            <w:vAlign w:val="center"/>
          </w:tcPr>
          <w:p>
            <w:pPr>
              <w:jc w:val="center"/>
            </w:pPr>
            <w:r/>
            <w:r>
              <w:rPr>
                <w:rFonts w:ascii="宋体" w:hAnsi="宋体" w:eastAsia="宋体"/>
                <w:b w:val="0"/>
                <w:sz w:val="21"/>
              </w:rPr>
              <w:t>接口与集成测试</w:t>
            </w:r>
          </w:p>
        </w:tc>
        <w:tc>
          <w:tcPr>
            <w:tcW w:type="dxa" w:w="4535"/>
            <w:vAlign w:val="center"/>
          </w:tcPr>
          <w:p>
            <w:pPr>
              <w:jc w:val="center"/>
            </w:pPr>
            <w:r/>
            <w:r>
              <w:rPr>
                <w:rFonts w:ascii="宋体" w:hAnsi="宋体" w:eastAsia="宋体"/>
                <w:b w:val="0"/>
                <w:sz w:val="21"/>
              </w:rPr>
              <w:t>腾讯企业邮箱 IMAP/SMTP 适配、Word/Excel/ZIP 附件解析、外部模型 Provider 调用、邮件发送限频与队列</w:t>
            </w:r>
          </w:p>
        </w:tc>
        <w:tc>
          <w:tcPr>
            <w:tcW w:type="dxa" w:w="3402"/>
            <w:vAlign w:val="center"/>
          </w:tcPr>
          <w:p>
            <w:pPr>
              <w:jc w:val="center"/>
            </w:pPr>
            <w:r/>
            <w:r>
              <w:rPr>
                <w:rFonts w:ascii="宋体" w:hAnsi="宋体" w:eastAsia="宋体"/>
                <w:b w:val="0"/>
                <w:sz w:val="21"/>
              </w:rPr>
              <w:t>接口配置可用，失败场景可提示、入库、重试或记录异常</w:t>
            </w:r>
          </w:p>
        </w:tc>
      </w:tr>
      <w:tr>
        <w:tc>
          <w:tcPr>
            <w:tcW w:type="dxa" w:w="1701"/>
            <w:vAlign w:val="center"/>
          </w:tcPr>
          <w:p>
            <w:pPr>
              <w:jc w:val="center"/>
            </w:pPr>
            <w:r/>
            <w:r>
              <w:rPr>
                <w:rFonts w:ascii="宋体" w:hAnsi="宋体" w:eastAsia="宋体"/>
                <w:b w:val="0"/>
                <w:sz w:val="21"/>
              </w:rPr>
              <w:t>可靠性测试</w:t>
            </w:r>
          </w:p>
        </w:tc>
        <w:tc>
          <w:tcPr>
            <w:tcW w:type="dxa" w:w="4535"/>
            <w:vAlign w:val="center"/>
          </w:tcPr>
          <w:p>
            <w:pPr>
              <w:jc w:val="center"/>
            </w:pPr>
            <w:r/>
            <w:r>
              <w:rPr>
                <w:rFonts w:ascii="宋体" w:hAnsi="宋体" w:eastAsia="宋体"/>
                <w:b w:val="0"/>
                <w:sz w:val="21"/>
              </w:rPr>
              <w:t>重复入库幂等、重复处理防重、异常合并、最大沟通轮次关闭、外发失败重试、自动 worker 周期</w:t>
            </w:r>
          </w:p>
        </w:tc>
        <w:tc>
          <w:tcPr>
            <w:tcW w:type="dxa" w:w="3402"/>
            <w:vAlign w:val="center"/>
          </w:tcPr>
          <w:p>
            <w:pPr>
              <w:jc w:val="center"/>
            </w:pPr>
            <w:r/>
            <w:r>
              <w:rPr>
                <w:rFonts w:ascii="宋体" w:hAnsi="宋体" w:eastAsia="宋体"/>
                <w:b w:val="0"/>
                <w:sz w:val="21"/>
              </w:rPr>
              <w:t>重复执行不会生成重复业务结果，异常可追踪</w:t>
            </w:r>
          </w:p>
        </w:tc>
      </w:tr>
      <w:tr>
        <w:tc>
          <w:tcPr>
            <w:tcW w:type="dxa" w:w="1701"/>
            <w:vAlign w:val="center"/>
          </w:tcPr>
          <w:p>
            <w:pPr>
              <w:jc w:val="center"/>
            </w:pPr>
            <w:r/>
            <w:r>
              <w:rPr>
                <w:rFonts w:ascii="宋体" w:hAnsi="宋体" w:eastAsia="宋体"/>
                <w:b w:val="0"/>
                <w:sz w:val="21"/>
              </w:rPr>
              <w:t>安全与配置测试</w:t>
            </w:r>
          </w:p>
        </w:tc>
        <w:tc>
          <w:tcPr>
            <w:tcW w:type="dxa" w:w="4535"/>
            <w:vAlign w:val="center"/>
          </w:tcPr>
          <w:p>
            <w:pPr>
              <w:jc w:val="center"/>
            </w:pPr>
            <w:r/>
            <w:r>
              <w:rPr>
                <w:rFonts w:ascii="宋体" w:hAnsi="宋体" w:eastAsia="宋体"/>
                <w:b w:val="0"/>
                <w:sz w:val="21"/>
              </w:rPr>
              <w:t>后台登录、Cookie 会话、防篡改、密码不回显、敏感配置不进入默认明文、运行期配置校验</w:t>
            </w:r>
          </w:p>
        </w:tc>
        <w:tc>
          <w:tcPr>
            <w:tcW w:type="dxa" w:w="3402"/>
            <w:vAlign w:val="center"/>
          </w:tcPr>
          <w:p>
            <w:pPr>
              <w:jc w:val="center"/>
            </w:pPr>
            <w:r/>
            <w:r>
              <w:rPr>
                <w:rFonts w:ascii="宋体" w:hAnsi="宋体" w:eastAsia="宋体"/>
                <w:b w:val="0"/>
                <w:sz w:val="21"/>
              </w:rPr>
              <w:t>未授权接口被拒绝，敏感字段受保护</w:t>
            </w:r>
          </w:p>
        </w:tc>
      </w:tr>
      <w:tr>
        <w:tc>
          <w:tcPr>
            <w:tcW w:type="dxa" w:w="1701"/>
            <w:vAlign w:val="center"/>
          </w:tcPr>
          <w:p>
            <w:pPr>
              <w:jc w:val="center"/>
            </w:pPr>
            <w:r/>
            <w:r>
              <w:rPr>
                <w:rFonts w:ascii="宋体" w:hAnsi="宋体" w:eastAsia="宋体"/>
                <w:b w:val="0"/>
                <w:sz w:val="21"/>
              </w:rPr>
              <w:t>兼容性测试</w:t>
            </w:r>
          </w:p>
        </w:tc>
        <w:tc>
          <w:tcPr>
            <w:tcW w:type="dxa" w:w="4535"/>
            <w:vAlign w:val="center"/>
          </w:tcPr>
          <w:p>
            <w:pPr>
              <w:jc w:val="center"/>
            </w:pPr>
            <w:r/>
            <w:r>
              <w:rPr>
                <w:rFonts w:ascii="宋体" w:hAnsi="宋体" w:eastAsia="宋体"/>
                <w:b w:val="0"/>
                <w:sz w:val="21"/>
              </w:rPr>
              <w:t>Chrome/Firefox 浏览器访问、macOS 本地运行环境、腾讯企业邮箱网页登录与服务接入</w:t>
            </w:r>
          </w:p>
        </w:tc>
        <w:tc>
          <w:tcPr>
            <w:tcW w:type="dxa" w:w="3402"/>
            <w:vAlign w:val="center"/>
          </w:tcPr>
          <w:p>
            <w:pPr>
              <w:jc w:val="center"/>
            </w:pPr>
            <w:r/>
            <w:r>
              <w:rPr>
                <w:rFonts w:ascii="宋体" w:hAnsi="宋体" w:eastAsia="宋体"/>
                <w:b w:val="0"/>
                <w:sz w:val="21"/>
              </w:rPr>
              <w:t>主要工作台页面和邮件流程可正常使用</w:t>
            </w:r>
          </w:p>
        </w:tc>
      </w:tr>
    </w:tbl>
    <w:p>
      <w:pPr>
        <w:pStyle w:val="Heading2"/>
      </w:pPr>
      <w:r>
        <w:t>2.2测试依据</w:t>
      </w:r>
    </w:p>
    <w:p>
      <w:pPr>
        <w:pStyle w:val="ListBullet"/>
      </w:pPr>
      <w:r>
        <w:rPr>
          <w:rFonts w:ascii="宋体" w:hAnsi="宋体" w:eastAsia="宋体"/>
          <w:sz w:val="21"/>
        </w:rPr>
        <w:t>GB/T 25000.51-2016《系统与软件工程 系统与软件质量要求和评价(SQuaRE) 第51部分：就绪可用软件产品(RUSP)的质量要求和测试细则》。</w:t>
      </w:r>
    </w:p>
    <w:p>
      <w:pPr>
        <w:pStyle w:val="ListBullet"/>
      </w:pPr>
      <w:r>
        <w:rPr>
          <w:rFonts w:ascii="宋体" w:hAnsi="宋体" w:eastAsia="宋体"/>
          <w:sz w:val="21"/>
        </w:rPr>
        <w:t>《商务生产任务单智能体 PRD 评审版 v0.2》。</w:t>
      </w:r>
    </w:p>
    <w:p>
      <w:pPr>
        <w:pStyle w:val="ListBullet"/>
      </w:pPr>
      <w:r>
        <w:rPr>
          <w:rFonts w:ascii="宋体" w:hAnsi="宋体" w:eastAsia="宋体"/>
          <w:sz w:val="21"/>
        </w:rPr>
        <w:t>《技术方案》《MVP任务列表》《数据库/工作流设计》。</w:t>
      </w:r>
    </w:p>
    <w:p>
      <w:pPr>
        <w:pStyle w:val="ListBullet"/>
      </w:pPr>
      <w:r>
        <w:rPr>
          <w:rFonts w:ascii="宋体" w:hAnsi="宋体" w:eastAsia="宋体"/>
          <w:sz w:val="21"/>
        </w:rPr>
        <w:t>开发方提供的系统源码、接口设计、默认运行配置和测试用例。</w:t>
      </w:r>
    </w:p>
    <w:p>
      <w:pPr>
        <w:pStyle w:val="ListBullet"/>
      </w:pPr>
      <w:r>
        <w:rPr>
          <w:rFonts w:ascii="宋体" w:hAnsi="宋体" w:eastAsia="宋体"/>
          <w:sz w:val="21"/>
        </w:rPr>
        <w:t>MVP阶段用户验收反馈与真实腾讯企业邮箱联调记录。</w:t>
      </w:r>
    </w:p>
    <w:p>
      <w:pPr>
        <w:pStyle w:val="Heading2"/>
      </w:pPr>
      <w:r>
        <w:t>2.3测试环境</w:t>
      </w:r>
    </w:p>
    <w:tbl>
      <w:tblPr>
        <w:tblStyle w:val="TableGrid"/>
        <w:tblW w:type="auto" w:w="0"/>
        <w:jc w:val="center"/>
        <w:tblLook w:firstColumn="1" w:firstRow="1" w:lastColumn="0" w:lastRow="0" w:noHBand="0" w:noVBand="1" w:val="04A0"/>
      </w:tblPr>
      <w:tblGrid>
        <w:gridCol w:w="4788"/>
        <w:gridCol w:w="4788"/>
      </w:tblGrid>
      <w:tr>
        <w:tc>
          <w:tcPr>
            <w:tcW w:type="dxa" w:w="2268"/>
            <w:vAlign w:val="center"/>
            <w:shd w:fill="D9EAF7"/>
          </w:tcPr>
          <w:p>
            <w:pPr>
              <w:jc w:val="center"/>
            </w:pPr>
            <w:r/>
            <w:r>
              <w:rPr>
                <w:rFonts w:ascii="宋体" w:hAnsi="宋体" w:eastAsia="宋体"/>
                <w:b/>
                <w:sz w:val="21"/>
              </w:rPr>
              <w:t>环境项</w:t>
            </w:r>
          </w:p>
        </w:tc>
        <w:tc>
          <w:tcPr>
            <w:tcW w:type="dxa" w:w="6803"/>
            <w:vAlign w:val="center"/>
            <w:shd w:fill="D9EAF7"/>
          </w:tcPr>
          <w:p>
            <w:pPr>
              <w:jc w:val="center"/>
            </w:pPr>
            <w:r/>
            <w:r>
              <w:rPr>
                <w:rFonts w:ascii="宋体" w:hAnsi="宋体" w:eastAsia="宋体"/>
                <w:b/>
                <w:sz w:val="21"/>
              </w:rPr>
              <w:t>配置</w:t>
            </w:r>
          </w:p>
        </w:tc>
      </w:tr>
      <w:tr>
        <w:tc>
          <w:tcPr>
            <w:tcW w:type="dxa" w:w="2268"/>
            <w:vAlign w:val="center"/>
          </w:tcPr>
          <w:p>
            <w:pPr>
              <w:jc w:val="center"/>
            </w:pPr>
            <w:r/>
            <w:r>
              <w:rPr>
                <w:rFonts w:ascii="宋体" w:hAnsi="宋体" w:eastAsia="宋体"/>
                <w:b w:val="0"/>
                <w:sz w:val="21"/>
              </w:rPr>
              <w:t>操作系统</w:t>
            </w:r>
          </w:p>
        </w:tc>
        <w:tc>
          <w:tcPr>
            <w:tcW w:type="dxa" w:w="6803"/>
            <w:vAlign w:val="center"/>
          </w:tcPr>
          <w:p>
            <w:pPr>
              <w:jc w:val="center"/>
            </w:pPr>
            <w:r/>
            <w:r>
              <w:rPr>
                <w:rFonts w:ascii="宋体" w:hAnsi="宋体" w:eastAsia="宋体"/>
                <w:b w:val="0"/>
                <w:sz w:val="21"/>
              </w:rPr>
              <w:t>macOS 本地开发测试环境</w:t>
            </w:r>
          </w:p>
        </w:tc>
      </w:tr>
      <w:tr>
        <w:tc>
          <w:tcPr>
            <w:tcW w:type="dxa" w:w="2268"/>
            <w:vAlign w:val="center"/>
          </w:tcPr>
          <w:p>
            <w:pPr>
              <w:jc w:val="center"/>
            </w:pPr>
            <w:r/>
            <w:r>
              <w:rPr>
                <w:rFonts w:ascii="宋体" w:hAnsi="宋体" w:eastAsia="宋体"/>
                <w:b w:val="0"/>
                <w:sz w:val="21"/>
              </w:rPr>
              <w:t>后端运行时</w:t>
            </w:r>
          </w:p>
        </w:tc>
        <w:tc>
          <w:tcPr>
            <w:tcW w:type="dxa" w:w="6803"/>
            <w:vAlign w:val="center"/>
          </w:tcPr>
          <w:p>
            <w:pPr>
              <w:jc w:val="center"/>
            </w:pPr>
            <w:r/>
            <w:r>
              <w:rPr>
                <w:rFonts w:ascii="宋体" w:hAnsi="宋体" w:eastAsia="宋体"/>
                <w:b w:val="0"/>
                <w:sz w:val="21"/>
              </w:rPr>
              <w:t>Python 3.10.10，FastAPI，Uvicorn</w:t>
            </w:r>
          </w:p>
        </w:tc>
      </w:tr>
      <w:tr>
        <w:tc>
          <w:tcPr>
            <w:tcW w:type="dxa" w:w="2268"/>
            <w:vAlign w:val="center"/>
          </w:tcPr>
          <w:p>
            <w:pPr>
              <w:jc w:val="center"/>
            </w:pPr>
            <w:r/>
            <w:r>
              <w:rPr>
                <w:rFonts w:ascii="宋体" w:hAnsi="宋体" w:eastAsia="宋体"/>
                <w:b w:val="0"/>
                <w:sz w:val="21"/>
              </w:rPr>
              <w:t>前端运行时</w:t>
            </w:r>
          </w:p>
        </w:tc>
        <w:tc>
          <w:tcPr>
            <w:tcW w:type="dxa" w:w="6803"/>
            <w:vAlign w:val="center"/>
          </w:tcPr>
          <w:p>
            <w:pPr>
              <w:jc w:val="center"/>
            </w:pPr>
            <w:r/>
            <w:r>
              <w:rPr>
                <w:rFonts w:ascii="宋体" w:hAnsi="宋体" w:eastAsia="宋体"/>
                <w:b w:val="0"/>
                <w:sz w:val="21"/>
              </w:rPr>
              <w:t>静态 HTML/CSS/JavaScript，Chrome/Firefox 浏览器</w:t>
            </w:r>
          </w:p>
        </w:tc>
      </w:tr>
      <w:tr>
        <w:tc>
          <w:tcPr>
            <w:tcW w:type="dxa" w:w="2268"/>
            <w:vAlign w:val="center"/>
          </w:tcPr>
          <w:p>
            <w:pPr>
              <w:jc w:val="center"/>
            </w:pPr>
            <w:r/>
            <w:r>
              <w:rPr>
                <w:rFonts w:ascii="宋体" w:hAnsi="宋体" w:eastAsia="宋体"/>
                <w:b w:val="0"/>
                <w:sz w:val="21"/>
              </w:rPr>
              <w:t>数据库</w:t>
            </w:r>
          </w:p>
        </w:tc>
        <w:tc>
          <w:tcPr>
            <w:tcW w:type="dxa" w:w="6803"/>
            <w:vAlign w:val="center"/>
          </w:tcPr>
          <w:p>
            <w:pPr>
              <w:jc w:val="center"/>
            </w:pPr>
            <w:r/>
            <w:r>
              <w:rPr>
                <w:rFonts w:ascii="宋体" w:hAnsi="宋体" w:eastAsia="宋体"/>
                <w:b w:val="0"/>
                <w:sz w:val="21"/>
              </w:rPr>
              <w:t>SQLite，本地 data/app.db</w:t>
            </w:r>
          </w:p>
        </w:tc>
      </w:tr>
      <w:tr>
        <w:tc>
          <w:tcPr>
            <w:tcW w:type="dxa" w:w="2268"/>
            <w:vAlign w:val="center"/>
          </w:tcPr>
          <w:p>
            <w:pPr>
              <w:jc w:val="center"/>
            </w:pPr>
            <w:r/>
            <w:r>
              <w:rPr>
                <w:rFonts w:ascii="宋体" w:hAnsi="宋体" w:eastAsia="宋体"/>
                <w:b w:val="0"/>
                <w:sz w:val="21"/>
              </w:rPr>
              <w:t>邮件服务</w:t>
            </w:r>
          </w:p>
        </w:tc>
        <w:tc>
          <w:tcPr>
            <w:tcW w:type="dxa" w:w="6803"/>
            <w:vAlign w:val="center"/>
          </w:tcPr>
          <w:p>
            <w:pPr>
              <w:jc w:val="center"/>
            </w:pPr>
            <w:r/>
            <w:r>
              <w:rPr>
                <w:rFonts w:ascii="宋体" w:hAnsi="宋体" w:eastAsia="宋体"/>
                <w:b w:val="0"/>
                <w:sz w:val="21"/>
              </w:rPr>
              <w:t>腾讯企业邮箱，IMAP/SMTP 已开启，使用运行期配置账号接入</w:t>
            </w:r>
          </w:p>
        </w:tc>
      </w:tr>
      <w:tr>
        <w:tc>
          <w:tcPr>
            <w:tcW w:type="dxa" w:w="2268"/>
            <w:vAlign w:val="center"/>
          </w:tcPr>
          <w:p>
            <w:pPr>
              <w:jc w:val="center"/>
            </w:pPr>
            <w:r/>
            <w:r>
              <w:rPr>
                <w:rFonts w:ascii="宋体" w:hAnsi="宋体" w:eastAsia="宋体"/>
                <w:b w:val="0"/>
                <w:sz w:val="21"/>
              </w:rPr>
              <w:t>模型服务</w:t>
            </w:r>
          </w:p>
        </w:tc>
        <w:tc>
          <w:tcPr>
            <w:tcW w:type="dxa" w:w="6803"/>
            <w:vAlign w:val="center"/>
          </w:tcPr>
          <w:p>
            <w:pPr>
              <w:jc w:val="center"/>
            </w:pPr>
            <w:r/>
            <w:r>
              <w:rPr>
                <w:rFonts w:ascii="宋体" w:hAnsi="宋体" w:eastAsia="宋体"/>
                <w:b w:val="0"/>
                <w:sz w:val="21"/>
              </w:rPr>
              <w:t>OpenAI兼容接口，可运行期配置 API Base、模型名称、API Key</w:t>
            </w:r>
          </w:p>
        </w:tc>
      </w:tr>
      <w:tr>
        <w:tc>
          <w:tcPr>
            <w:tcW w:type="dxa" w:w="2268"/>
            <w:vAlign w:val="center"/>
          </w:tcPr>
          <w:p>
            <w:pPr>
              <w:jc w:val="center"/>
            </w:pPr>
            <w:r/>
            <w:r>
              <w:rPr>
                <w:rFonts w:ascii="宋体" w:hAnsi="宋体" w:eastAsia="宋体"/>
                <w:b w:val="0"/>
                <w:sz w:val="21"/>
              </w:rPr>
              <w:t>附件处理</w:t>
            </w:r>
          </w:p>
        </w:tc>
        <w:tc>
          <w:tcPr>
            <w:tcW w:type="dxa" w:w="6803"/>
            <w:vAlign w:val="center"/>
          </w:tcPr>
          <w:p>
            <w:pPr>
              <w:jc w:val="center"/>
            </w:pPr>
            <w:r/>
            <w:r>
              <w:rPr>
                <w:rFonts w:ascii="宋体" w:hAnsi="宋体" w:eastAsia="宋体"/>
                <w:b w:val="0"/>
                <w:sz w:val="21"/>
              </w:rPr>
              <w:t>Word、Excel、ZIP 解析；ZIP 最大100M，解压层级默认1级</w:t>
            </w:r>
          </w:p>
        </w:tc>
      </w:tr>
      <w:tr>
        <w:tc>
          <w:tcPr>
            <w:tcW w:type="dxa" w:w="2268"/>
            <w:vAlign w:val="center"/>
          </w:tcPr>
          <w:p>
            <w:pPr>
              <w:jc w:val="center"/>
            </w:pPr>
            <w:r/>
            <w:r>
              <w:rPr>
                <w:rFonts w:ascii="宋体" w:hAnsi="宋体" w:eastAsia="宋体"/>
                <w:b w:val="0"/>
                <w:sz w:val="21"/>
              </w:rPr>
              <w:t>测试命令</w:t>
            </w:r>
          </w:p>
        </w:tc>
        <w:tc>
          <w:tcPr>
            <w:tcW w:type="dxa" w:w="6803"/>
            <w:vAlign w:val="center"/>
          </w:tcPr>
          <w:p>
            <w:pPr>
              <w:jc w:val="center"/>
            </w:pPr>
            <w:r/>
            <w:r>
              <w:rPr>
                <w:rFonts w:ascii="宋体" w:hAnsi="宋体" w:eastAsia="宋体"/>
                <w:b w:val="0"/>
                <w:sz w:val="21"/>
              </w:rPr>
              <w:t>python3 -m pytest；node --check backend/app/static/app.js；python3 -m compileall backend/app</w:t>
            </w:r>
          </w:p>
        </w:tc>
      </w:tr>
    </w:tbl>
    <w:p>
      <w:pPr>
        <w:pStyle w:val="Heading2"/>
      </w:pPr>
      <w:r>
        <w:t>2.4 测试时间及工作</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984"/>
            <w:vAlign w:val="center"/>
            <w:shd w:fill="D9EAF7"/>
          </w:tcPr>
          <w:p>
            <w:pPr>
              <w:jc w:val="center"/>
            </w:pPr>
            <w:r/>
            <w:r>
              <w:rPr>
                <w:rFonts w:ascii="宋体" w:hAnsi="宋体" w:eastAsia="宋体"/>
                <w:b/>
                <w:sz w:val="21"/>
              </w:rPr>
              <w:t>测试阶段</w:t>
            </w:r>
          </w:p>
        </w:tc>
        <w:tc>
          <w:tcPr>
            <w:tcW w:type="dxa" w:w="1701"/>
            <w:vAlign w:val="center"/>
            <w:shd w:fill="D9EAF7"/>
          </w:tcPr>
          <w:p>
            <w:pPr>
              <w:jc w:val="center"/>
            </w:pPr>
            <w:r/>
            <w:r>
              <w:rPr>
                <w:rFonts w:ascii="宋体" w:hAnsi="宋体" w:eastAsia="宋体"/>
                <w:b/>
                <w:sz w:val="21"/>
              </w:rPr>
              <w:t>开始时间</w:t>
            </w:r>
          </w:p>
        </w:tc>
        <w:tc>
          <w:tcPr>
            <w:tcW w:type="dxa" w:w="1701"/>
            <w:vAlign w:val="center"/>
            <w:shd w:fill="D9EAF7"/>
          </w:tcPr>
          <w:p>
            <w:pPr>
              <w:jc w:val="center"/>
            </w:pPr>
            <w:r/>
            <w:r>
              <w:rPr>
                <w:rFonts w:ascii="宋体" w:hAnsi="宋体" w:eastAsia="宋体"/>
                <w:b/>
                <w:sz w:val="21"/>
              </w:rPr>
              <w:t>完成时间</w:t>
            </w:r>
          </w:p>
        </w:tc>
        <w:tc>
          <w:tcPr>
            <w:tcW w:type="dxa" w:w="1701"/>
            <w:vAlign w:val="center"/>
            <w:shd w:fill="D9EAF7"/>
          </w:tcPr>
          <w:p>
            <w:pPr>
              <w:jc w:val="center"/>
            </w:pPr>
            <w:r/>
            <w:r>
              <w:rPr>
                <w:rFonts w:ascii="宋体" w:hAnsi="宋体" w:eastAsia="宋体"/>
                <w:b/>
                <w:sz w:val="21"/>
              </w:rPr>
              <w:t>责任方</w:t>
            </w:r>
          </w:p>
        </w:tc>
        <w:tc>
          <w:tcPr>
            <w:tcW w:type="dxa" w:w="2835"/>
            <w:vAlign w:val="center"/>
            <w:shd w:fill="D9EAF7"/>
          </w:tcPr>
          <w:p>
            <w:pPr>
              <w:jc w:val="center"/>
            </w:pPr>
            <w:r/>
            <w:r>
              <w:rPr>
                <w:rFonts w:ascii="宋体" w:hAnsi="宋体" w:eastAsia="宋体"/>
                <w:b/>
                <w:sz w:val="21"/>
              </w:rPr>
              <w:t>阶段完成标志</w:t>
            </w:r>
          </w:p>
        </w:tc>
      </w:tr>
      <w:tr>
        <w:tc>
          <w:tcPr>
            <w:tcW w:type="dxa" w:w="1984"/>
            <w:vAlign w:val="center"/>
          </w:tcPr>
          <w:p>
            <w:pPr>
              <w:jc w:val="center"/>
            </w:pPr>
            <w:r/>
            <w:r>
              <w:rPr>
                <w:rFonts w:ascii="宋体" w:hAnsi="宋体" w:eastAsia="宋体"/>
                <w:b w:val="0"/>
                <w:sz w:val="21"/>
              </w:rPr>
              <w:t>测试需求梳理</w:t>
            </w:r>
          </w:p>
        </w:tc>
        <w:tc>
          <w:tcPr>
            <w:tcW w:type="dxa" w:w="1701"/>
            <w:vAlign w:val="center"/>
          </w:tcPr>
          <w:p>
            <w:pPr>
              <w:jc w:val="center"/>
            </w:pPr>
            <w:r/>
            <w:r>
              <w:rPr>
                <w:rFonts w:ascii="宋体" w:hAnsi="宋体" w:eastAsia="宋体"/>
                <w:b w:val="0"/>
                <w:sz w:val="21"/>
              </w:rPr>
              <w:t>2026/04/21</w:t>
            </w:r>
          </w:p>
        </w:tc>
        <w:tc>
          <w:tcPr>
            <w:tcW w:type="dxa" w:w="1701"/>
            <w:vAlign w:val="center"/>
          </w:tcPr>
          <w:p>
            <w:pPr>
              <w:jc w:val="center"/>
            </w:pPr>
            <w:r/>
            <w:r>
              <w:rPr>
                <w:rFonts w:ascii="宋体" w:hAnsi="宋体" w:eastAsia="宋体"/>
                <w:b w:val="0"/>
                <w:sz w:val="21"/>
              </w:rPr>
              <w:t>2026/04/21</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形成PRD与MVP测试范围</w:t>
            </w:r>
          </w:p>
        </w:tc>
      </w:tr>
      <w:tr>
        <w:tc>
          <w:tcPr>
            <w:tcW w:type="dxa" w:w="1984"/>
            <w:vAlign w:val="center"/>
          </w:tcPr>
          <w:p>
            <w:pPr>
              <w:jc w:val="center"/>
            </w:pPr>
            <w:r/>
            <w:r>
              <w:rPr>
                <w:rFonts w:ascii="宋体" w:hAnsi="宋体" w:eastAsia="宋体"/>
                <w:b w:val="0"/>
                <w:sz w:val="21"/>
              </w:rPr>
              <w:t>测试环境准备</w:t>
            </w:r>
          </w:p>
        </w:tc>
        <w:tc>
          <w:tcPr>
            <w:tcW w:type="dxa" w:w="1701"/>
            <w:vAlign w:val="center"/>
          </w:tcPr>
          <w:p>
            <w:pPr>
              <w:jc w:val="center"/>
            </w:pPr>
            <w:r/>
            <w:r>
              <w:rPr>
                <w:rFonts w:ascii="宋体" w:hAnsi="宋体" w:eastAsia="宋体"/>
                <w:b w:val="0"/>
                <w:sz w:val="21"/>
              </w:rPr>
              <w:t>2026/04/21</w:t>
            </w:r>
          </w:p>
        </w:tc>
        <w:tc>
          <w:tcPr>
            <w:tcW w:type="dxa" w:w="1701"/>
            <w:vAlign w:val="center"/>
          </w:tcPr>
          <w:p>
            <w:pPr>
              <w:jc w:val="center"/>
            </w:pPr>
            <w:r/>
            <w:r>
              <w:rPr>
                <w:rFonts w:ascii="宋体" w:hAnsi="宋体" w:eastAsia="宋体"/>
                <w:b w:val="0"/>
                <w:sz w:val="21"/>
              </w:rPr>
              <w:t>2026/04/22</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后端、前端、数据库和邮箱配置可运行</w:t>
            </w:r>
          </w:p>
        </w:tc>
      </w:tr>
      <w:tr>
        <w:tc>
          <w:tcPr>
            <w:tcW w:type="dxa" w:w="1984"/>
            <w:vAlign w:val="center"/>
          </w:tcPr>
          <w:p>
            <w:pPr>
              <w:jc w:val="center"/>
            </w:pPr>
            <w:r/>
            <w:r>
              <w:rPr>
                <w:rFonts w:ascii="宋体" w:hAnsi="宋体" w:eastAsia="宋体"/>
                <w:b w:val="0"/>
                <w:sz w:val="21"/>
              </w:rPr>
              <w:t>功能与接口测试</w:t>
            </w:r>
          </w:p>
        </w:tc>
        <w:tc>
          <w:tcPr>
            <w:tcW w:type="dxa" w:w="1701"/>
            <w:vAlign w:val="center"/>
          </w:tcPr>
          <w:p>
            <w:pPr>
              <w:jc w:val="center"/>
            </w:pPr>
            <w:r/>
            <w:r>
              <w:rPr>
                <w:rFonts w:ascii="宋体" w:hAnsi="宋体" w:eastAsia="宋体"/>
                <w:b w:val="0"/>
                <w:sz w:val="21"/>
              </w:rPr>
              <w:t>2026/04/22</w:t>
            </w:r>
          </w:p>
        </w:tc>
        <w:tc>
          <w:tcPr>
            <w:tcW w:type="dxa" w:w="1701"/>
            <w:vAlign w:val="center"/>
          </w:tcPr>
          <w:p>
            <w:pPr>
              <w:jc w:val="center"/>
            </w:pPr>
            <w:r/>
            <w:r>
              <w:rPr>
                <w:rFonts w:ascii="宋体" w:hAnsi="宋体" w:eastAsia="宋体"/>
                <w:b w:val="0"/>
                <w:sz w:val="21"/>
              </w:rPr>
              <w:t>2026/04/23</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核心邮件工作流自动化测试通过</w:t>
            </w:r>
          </w:p>
        </w:tc>
      </w:tr>
      <w:tr>
        <w:tc>
          <w:tcPr>
            <w:tcW w:type="dxa" w:w="1984"/>
            <w:vAlign w:val="center"/>
          </w:tcPr>
          <w:p>
            <w:pPr>
              <w:jc w:val="center"/>
            </w:pPr>
            <w:r/>
            <w:r>
              <w:rPr>
                <w:rFonts w:ascii="宋体" w:hAnsi="宋体" w:eastAsia="宋体"/>
                <w:b w:val="0"/>
                <w:sz w:val="21"/>
              </w:rPr>
              <w:t>真实邮箱联调</w:t>
            </w:r>
          </w:p>
        </w:tc>
        <w:tc>
          <w:tcPr>
            <w:tcW w:type="dxa" w:w="1701"/>
            <w:vAlign w:val="center"/>
          </w:tcPr>
          <w:p>
            <w:pPr>
              <w:jc w:val="center"/>
            </w:pPr>
            <w:r/>
            <w:r>
              <w:rPr>
                <w:rFonts w:ascii="宋体" w:hAnsi="宋体" w:eastAsia="宋体"/>
                <w:b w:val="0"/>
                <w:sz w:val="21"/>
              </w:rPr>
              <w:t>2026/04/22</w:t>
            </w:r>
          </w:p>
        </w:tc>
        <w:tc>
          <w:tcPr>
            <w:tcW w:type="dxa" w:w="1701"/>
            <w:vAlign w:val="center"/>
          </w:tcPr>
          <w:p>
            <w:pPr>
              <w:jc w:val="center"/>
            </w:pPr>
            <w:r/>
            <w:r>
              <w:rPr>
                <w:rFonts w:ascii="宋体" w:hAnsi="宋体" w:eastAsia="宋体"/>
                <w:b w:val="0"/>
                <w:sz w:val="21"/>
              </w:rPr>
              <w:t>2026/04/23</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销售、生产、商务机器人邮箱完成主要收发验证</w:t>
            </w:r>
          </w:p>
        </w:tc>
      </w:tr>
      <w:tr>
        <w:tc>
          <w:tcPr>
            <w:tcW w:type="dxa" w:w="1984"/>
            <w:vAlign w:val="center"/>
          </w:tcPr>
          <w:p>
            <w:pPr>
              <w:jc w:val="center"/>
            </w:pPr>
            <w:r/>
            <w:r>
              <w:rPr>
                <w:rFonts w:ascii="宋体" w:hAnsi="宋体" w:eastAsia="宋体"/>
                <w:b w:val="0"/>
                <w:sz w:val="21"/>
              </w:rPr>
              <w:t>缺陷修复回归</w:t>
            </w:r>
          </w:p>
        </w:tc>
        <w:tc>
          <w:tcPr>
            <w:tcW w:type="dxa" w:w="1701"/>
            <w:vAlign w:val="center"/>
          </w:tcPr>
          <w:p>
            <w:pPr>
              <w:jc w:val="center"/>
            </w:pPr>
            <w:r/>
            <w:r>
              <w:rPr>
                <w:rFonts w:ascii="宋体" w:hAnsi="宋体" w:eastAsia="宋体"/>
                <w:b w:val="0"/>
                <w:sz w:val="21"/>
              </w:rPr>
              <w:t>2026/04/22</w:t>
            </w:r>
          </w:p>
        </w:tc>
        <w:tc>
          <w:tcPr>
            <w:tcW w:type="dxa" w:w="1701"/>
            <w:vAlign w:val="center"/>
          </w:tcPr>
          <w:p>
            <w:pPr>
              <w:jc w:val="center"/>
            </w:pPr>
            <w:r/>
            <w:r>
              <w:rPr>
                <w:rFonts w:ascii="宋体" w:hAnsi="宋体" w:eastAsia="宋体"/>
                <w:b w:val="0"/>
                <w:sz w:val="21"/>
              </w:rPr>
              <w:t>2026/04/23</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发现问题均已修复并回归通过</w:t>
            </w:r>
          </w:p>
        </w:tc>
      </w:tr>
      <w:tr>
        <w:tc>
          <w:tcPr>
            <w:tcW w:type="dxa" w:w="1984"/>
            <w:vAlign w:val="center"/>
          </w:tcPr>
          <w:p>
            <w:pPr>
              <w:jc w:val="center"/>
            </w:pPr>
            <w:r/>
            <w:r>
              <w:rPr>
                <w:rFonts w:ascii="宋体" w:hAnsi="宋体" w:eastAsia="宋体"/>
                <w:b w:val="0"/>
                <w:sz w:val="21"/>
              </w:rPr>
              <w:t>测试报告编写</w:t>
            </w:r>
          </w:p>
        </w:tc>
        <w:tc>
          <w:tcPr>
            <w:tcW w:type="dxa" w:w="1701"/>
            <w:vAlign w:val="center"/>
          </w:tcPr>
          <w:p>
            <w:pPr>
              <w:jc w:val="center"/>
            </w:pPr>
            <w:r/>
            <w:r>
              <w:rPr>
                <w:rFonts w:ascii="宋体" w:hAnsi="宋体" w:eastAsia="宋体"/>
                <w:b w:val="0"/>
                <w:sz w:val="21"/>
              </w:rPr>
              <w:t>2026/04/23</w:t>
            </w:r>
          </w:p>
        </w:tc>
        <w:tc>
          <w:tcPr>
            <w:tcW w:type="dxa" w:w="1701"/>
            <w:vAlign w:val="center"/>
          </w:tcPr>
          <w:p>
            <w:pPr>
              <w:jc w:val="center"/>
            </w:pPr>
            <w:r/>
            <w:r>
              <w:rPr>
                <w:rFonts w:ascii="宋体" w:hAnsi="宋体" w:eastAsia="宋体"/>
                <w:b w:val="0"/>
                <w:sz w:val="21"/>
              </w:rPr>
              <w:t>2026/04/23</w:t>
            </w:r>
          </w:p>
        </w:tc>
        <w:tc>
          <w:tcPr>
            <w:tcW w:type="dxa" w:w="1701"/>
            <w:vAlign w:val="center"/>
          </w:tcPr>
          <w:p>
            <w:pPr>
              <w:jc w:val="center"/>
            </w:pPr>
            <w:r/>
            <w:r>
              <w:rPr>
                <w:rFonts w:ascii="宋体" w:hAnsi="宋体" w:eastAsia="宋体"/>
                <w:b w:val="0"/>
                <w:sz w:val="21"/>
              </w:rPr>
              <w:t>项目组</w:t>
            </w:r>
          </w:p>
        </w:tc>
        <w:tc>
          <w:tcPr>
            <w:tcW w:type="dxa" w:w="2835"/>
            <w:vAlign w:val="center"/>
          </w:tcPr>
          <w:p>
            <w:pPr>
              <w:jc w:val="center"/>
            </w:pPr>
            <w:r/>
            <w:r>
              <w:rPr>
                <w:rFonts w:ascii="宋体" w:hAnsi="宋体" w:eastAsia="宋体"/>
                <w:b w:val="0"/>
                <w:sz w:val="21"/>
              </w:rPr>
              <w:t>输出测试报告文档</w:t>
            </w:r>
          </w:p>
        </w:tc>
      </w:tr>
    </w:tbl>
    <w:p>
      <w:pPr>
        <w:pStyle w:val="Heading2"/>
      </w:pPr>
      <w:r>
        <w:t>2.5 测试流程</w:t>
      </w:r>
    </w:p>
    <w:p>
      <w:r>
        <w:rPr>
          <w:rFonts w:ascii="宋体" w:hAnsi="宋体" w:eastAsia="宋体"/>
          <w:sz w:val="21"/>
        </w:rPr>
        <w:t>图1  测试流程图</w:t>
      </w:r>
    </w:p>
    <w:p>
      <w:pPr>
        <w:jc w:val="center"/>
      </w:pPr>
      <w:r>
        <w:rPr>
          <w:rFonts w:ascii="宋体" w:hAnsi="宋体" w:eastAsia="宋体"/>
          <w:sz w:val="22"/>
        </w:rPr>
        <w:t>需求与测试范围确认 → 测试环境准备 → 配置邮箱与模型服务 → 自动化用例执行 → 真实邮箱联调 → 缺陷修复回归 → 结果统计与报告输出</w:t>
      </w:r>
    </w:p>
    <w:p>
      <w:pPr>
        <w:pStyle w:val="Heading2"/>
      </w:pPr>
      <w:r>
        <w:t>2.6 测试过程</w:t>
      </w:r>
    </w:p>
    <w:p>
      <w:pPr>
        <w:pStyle w:val="Heading3"/>
      </w:pPr>
      <w:r>
        <w:t>2.6.1.功能测试过程</w:t>
      </w:r>
    </w:p>
    <w:p>
      <w:pPr>
        <w:pStyle w:val="Heading4"/>
      </w:pPr>
      <w:r>
        <w:t>2.6.1.1. 登录与后台鉴权</w:t>
      </w:r>
    </w:p>
    <w:p>
      <w:r>
        <w:rPr>
          <w:rFonts w:ascii="宋体" w:hAnsi="宋体" w:eastAsia="宋体"/>
          <w:sz w:val="21"/>
        </w:rPr>
        <w:t>测试流程：使用默认管理员账号登录工作台；验证未登录访问后台接口返回未认证；验证会话 Token 篡改后不可用。</w:t>
      </w:r>
    </w:p>
    <w:p>
      <w:r>
        <w:rPr>
          <w:rFonts w:ascii="宋体" w:hAnsi="宋体" w:eastAsia="宋体"/>
          <w:sz w:val="21"/>
        </w:rPr>
        <w:t>测试结论：登录、退出、鉴权保护和会话解析均符合预期。</w:t>
      </w:r>
    </w:p>
    <w:p>
      <w:pPr>
        <w:pStyle w:val="Heading4"/>
      </w:pPr>
      <w:r>
        <w:t>2.6.1.2. 邮箱接入配置</w:t>
      </w:r>
    </w:p>
    <w:p>
      <w:r>
        <w:rPr>
          <w:rFonts w:ascii="宋体" w:hAnsi="宋体" w:eastAsia="宋体"/>
          <w:sz w:val="21"/>
        </w:rPr>
        <w:t>测试流程：配置机器人邮箱、IMAP/SMTP 主机端口、显示名称、签名、worker 周期和邮箱限频；验证低于最小值时拒绝保存。</w:t>
      </w:r>
    </w:p>
    <w:p>
      <w:r>
        <w:rPr>
          <w:rFonts w:ascii="宋体" w:hAnsi="宋体" w:eastAsia="宋体"/>
          <w:sz w:val="21"/>
        </w:rPr>
        <w:t>测试结论：运行期配置可保存，密码不回显，限频校验生效。</w:t>
      </w:r>
    </w:p>
    <w:p>
      <w:pPr>
        <w:pStyle w:val="Heading4"/>
      </w:pPr>
      <w:r>
        <w:t>2.6.1.3. 销售订单邮件入库</w:t>
      </w:r>
    </w:p>
    <w:p>
      <w:r>
        <w:rPr>
          <w:rFonts w:ascii="宋体" w:hAnsi="宋体" w:eastAsia="宋体"/>
          <w:sz w:val="21"/>
        </w:rPr>
        <w:t>测试流程：模拟和真实销售邮箱发送自然语言订单需求；系统解析客户、产品、数量、交期、订单号并生成内部需求编号。</w:t>
      </w:r>
    </w:p>
    <w:p>
      <w:r>
        <w:rPr>
          <w:rFonts w:ascii="宋体" w:hAnsi="宋体" w:eastAsia="宋体"/>
          <w:sz w:val="21"/>
        </w:rPr>
        <w:t>测试结论：有效需求可入库；缺字段需求进入初审拒绝流程。</w:t>
      </w:r>
    </w:p>
    <w:p>
      <w:pPr>
        <w:pStyle w:val="Heading4"/>
      </w:pPr>
      <w:r>
        <w:t>2.6.1.4. 初审规则</w:t>
      </w:r>
    </w:p>
    <w:p>
      <w:r>
        <w:rPr>
          <w:rFonts w:ascii="宋体" w:hAnsi="宋体" w:eastAsia="宋体"/>
          <w:sz w:val="21"/>
        </w:rPr>
        <w:t>测试流程：启用必填项和自定义规则，发送缺少交期、订单号或触发规则的销售邮件。</w:t>
      </w:r>
    </w:p>
    <w:p>
      <w:r>
        <w:rPr>
          <w:rFonts w:ascii="宋体" w:hAnsi="宋体" w:eastAsia="宋体"/>
          <w:sz w:val="21"/>
        </w:rPr>
        <w:t>测试结论：系统回复销售补充原因，一封来源邮件只登记一条异常记录。</w:t>
      </w:r>
    </w:p>
    <w:p>
      <w:pPr>
        <w:pStyle w:val="Heading4"/>
      </w:pPr>
      <w:r>
        <w:t>2.6.1.5. 生产任务单生成与下达</w:t>
      </w:r>
    </w:p>
    <w:p>
      <w:r>
        <w:rPr>
          <w:rFonts w:ascii="宋体" w:hAnsi="宋体" w:eastAsia="宋体"/>
          <w:sz w:val="21"/>
        </w:rPr>
        <w:t>测试流程：初审通过后生成任务草稿并自动下达至生产部门邮箱，任务列表与工作流面板展示流转状态。</w:t>
      </w:r>
    </w:p>
    <w:p>
      <w:r>
        <w:rPr>
          <w:rFonts w:ascii="宋体" w:hAnsi="宋体" w:eastAsia="宋体"/>
          <w:sz w:val="21"/>
        </w:rPr>
        <w:t>测试结论：任务号、版本、收件人、正文模板、状态流转正确。</w:t>
      </w:r>
    </w:p>
    <w:p>
      <w:pPr>
        <w:pStyle w:val="Heading4"/>
      </w:pPr>
      <w:r>
        <w:t>2.6.1.6. 生产疑问与销售答复</w:t>
      </w:r>
    </w:p>
    <w:p>
      <w:r>
        <w:rPr>
          <w:rFonts w:ascii="宋体" w:hAnsi="宋体" w:eastAsia="宋体"/>
          <w:sz w:val="21"/>
        </w:rPr>
        <w:t>测试流程：生产端回复疑问；系统转发销售；销售补充后系统修改/补充任务单并重新发给生产。</w:t>
      </w:r>
    </w:p>
    <w:p>
      <w:r>
        <w:rPr>
          <w:rFonts w:ascii="宋体" w:hAnsi="宋体" w:eastAsia="宋体"/>
          <w:sz w:val="21"/>
        </w:rPr>
        <w:t>测试结论：疑问记录、销售答复、重发任务单和销售回执均正确生成。</w:t>
      </w:r>
    </w:p>
    <w:p>
      <w:pPr>
        <w:pStyle w:val="Heading4"/>
      </w:pPr>
      <w:r>
        <w:t>2.6.1.7. 生产确认</w:t>
      </w:r>
    </w:p>
    <w:p>
      <w:r>
        <w:rPr>
          <w:rFonts w:ascii="宋体" w:hAnsi="宋体" w:eastAsia="宋体"/>
          <w:sz w:val="21"/>
        </w:rPr>
        <w:t>测试流程：生产端通过邮件确认指定任务或直接回复当前任务，内容包含“确认排产”“同意排产”等表达。</w:t>
      </w:r>
    </w:p>
    <w:p>
      <w:r>
        <w:rPr>
          <w:rFonts w:ascii="宋体" w:hAnsi="宋体" w:eastAsia="宋体"/>
          <w:sz w:val="21"/>
        </w:rPr>
        <w:t>测试结论：任务关闭为 ScheduledConfirmed，并生成生产确认通知和生产回执。</w:t>
      </w:r>
    </w:p>
    <w:p>
      <w:pPr>
        <w:pStyle w:val="Heading4"/>
      </w:pPr>
      <w:r>
        <w:t>2.6.1.8. 邮件查询状态与统计</w:t>
      </w:r>
    </w:p>
    <w:p>
      <w:r>
        <w:rPr>
          <w:rFonts w:ascii="宋体" w:hAnsi="宋体" w:eastAsia="宋体"/>
          <w:sz w:val="21"/>
        </w:rPr>
        <w:t>测试流程：销售邮件查询自身提交需求状态；生产邮件查询受理需求状态；系统调用 LLM 组织回复。</w:t>
      </w:r>
    </w:p>
    <w:p>
      <w:r>
        <w:rPr>
          <w:rFonts w:ascii="宋体" w:hAnsi="宋体" w:eastAsia="宋体"/>
          <w:sz w:val="21"/>
        </w:rPr>
        <w:t>测试结论：查询结果按角色隔离数据，生成对应外发回复。</w:t>
      </w:r>
    </w:p>
    <w:p>
      <w:pPr>
        <w:pStyle w:val="Heading4"/>
      </w:pPr>
      <w:r>
        <w:t>2.6.1.9. 周报统计</w:t>
      </w:r>
    </w:p>
    <w:p>
      <w:r>
        <w:rPr>
          <w:rFonts w:ascii="宋体" w:hAnsi="宋体" w:eastAsia="宋体"/>
          <w:sz w:val="21"/>
        </w:rPr>
        <w:t>测试流程：生成周报预览和周报邮件；检查本周/本月/本年任务统计、产品统计、销售Top10及上报周期。</w:t>
      </w:r>
    </w:p>
    <w:p>
      <w:r>
        <w:rPr>
          <w:rFonts w:ascii="宋体" w:hAnsi="宋体" w:eastAsia="宋体"/>
          <w:sz w:val="21"/>
        </w:rPr>
        <w:t>测试结论：周报正文包含本次上报周期、生成时间和各统计周期范围。</w:t>
      </w:r>
    </w:p>
    <w:p>
      <w:pPr>
        <w:pStyle w:val="Heading4"/>
      </w:pPr>
      <w:r>
        <w:t>2.6.1.10. 工作台表格</w:t>
      </w:r>
    </w:p>
    <w:p>
      <w:r>
        <w:rPr>
          <w:rFonts w:ascii="宋体" w:hAnsi="宋体" w:eastAsia="宋体"/>
          <w:sz w:val="21"/>
        </w:rPr>
        <w:t>测试流程：验证任务、邮件、外发、异常、附件、队列、审计等表格的分页、搜索和过滤。</w:t>
      </w:r>
    </w:p>
    <w:p>
      <w:r>
        <w:rPr>
          <w:rFonts w:ascii="宋体" w:hAnsi="宋体" w:eastAsia="宋体"/>
          <w:sz w:val="21"/>
        </w:rPr>
        <w:t>测试结论：查询条件生效，页面无关键脚本错误，状态颜色和提示符合要求。</w:t>
      </w:r>
    </w:p>
    <w:p>
      <w:pPr>
        <w:pStyle w:val="Heading4"/>
      </w:pPr>
      <w:r>
        <w:t>2.6.1.11. 异常与运维</w:t>
      </w:r>
    </w:p>
    <w:p>
      <w:r>
        <w:rPr>
          <w:rFonts w:ascii="宋体" w:hAnsi="宋体" w:eastAsia="宋体"/>
          <w:sz w:val="21"/>
        </w:rPr>
        <w:t>测试流程：验证异常记录、异常合并、异常修复、清理预览、清理执行、备份记录和审计列表。</w:t>
      </w:r>
    </w:p>
    <w:p>
      <w:r>
        <w:rPr>
          <w:rFonts w:ascii="宋体" w:hAnsi="宋体" w:eastAsia="宋体"/>
          <w:sz w:val="21"/>
        </w:rPr>
        <w:t>测试结论：异常可追踪、可恢复，非目标邮件和临时文件按策略处理。</w:t>
      </w:r>
    </w:p>
    <w:p>
      <w:pPr>
        <w:pStyle w:val="Heading3"/>
      </w:pPr>
      <w:r>
        <w:t>2.6.2.接口与集成测试过程</w:t>
      </w:r>
    </w:p>
    <w:p>
      <w:pPr>
        <w:pStyle w:val="Heading4"/>
      </w:pPr>
      <w:r>
        <w:t>2.6.2.1. 腾讯企业邮箱 IMAP/SMTP 适配</w:t>
      </w:r>
    </w:p>
    <w:p>
      <w:r>
        <w:rPr>
          <w:rFonts w:ascii="宋体" w:hAnsi="宋体" w:eastAsia="宋体"/>
          <w:sz w:val="21"/>
        </w:rPr>
        <w:t>测试流程：验证真实企业邮箱收信、入库、队列处理、外发和 SMTP 限频保护。</w:t>
      </w:r>
    </w:p>
    <w:p>
      <w:r>
        <w:rPr>
          <w:rFonts w:ascii="宋体" w:hAnsi="宋体" w:eastAsia="宋体"/>
          <w:sz w:val="21"/>
        </w:rPr>
        <w:t>测试结论：可接入腾讯企业邮箱；频率保护时页面以面包屑和队列状态提示。</w:t>
      </w:r>
    </w:p>
    <w:p>
      <w:pPr>
        <w:pStyle w:val="Heading4"/>
      </w:pPr>
      <w:r>
        <w:t>2.6.2.2. 附件解析</w:t>
      </w:r>
    </w:p>
    <w:p>
      <w:r>
        <w:rPr>
          <w:rFonts w:ascii="宋体" w:hAnsi="宋体" w:eastAsia="宋体"/>
          <w:sz w:val="21"/>
        </w:rPr>
        <w:t>测试流程：上传或入库 Word、Excel、ZIP 附件，检查解析文本、归档路径和解析状态。</w:t>
      </w:r>
    </w:p>
    <w:p>
      <w:r>
        <w:rPr>
          <w:rFonts w:ascii="宋体" w:hAnsi="宋体" w:eastAsia="宋体"/>
          <w:sz w:val="21"/>
        </w:rPr>
        <w:t>测试结论：Word/Excel/ZIP 内容可被解析并用于订单字段识别。</w:t>
      </w:r>
    </w:p>
    <w:p>
      <w:pPr>
        <w:pStyle w:val="Heading4"/>
      </w:pPr>
      <w:r>
        <w:t>2.6.2.3. 外部模型 Provider</w:t>
      </w:r>
    </w:p>
    <w:p>
      <w:r>
        <w:rPr>
          <w:rFonts w:ascii="宋体" w:hAnsi="宋体" w:eastAsia="宋体"/>
          <w:sz w:val="21"/>
        </w:rPr>
        <w:t>测试流程：配置 OpenAI兼容模型服务，执行模型测试窗口、邮件分类兜底、需求字段补全和查询回复组织。</w:t>
      </w:r>
    </w:p>
    <w:p>
      <w:r>
        <w:rPr>
          <w:rFonts w:ascii="宋体" w:hAnsi="宋体" w:eastAsia="宋体"/>
          <w:sz w:val="21"/>
        </w:rPr>
        <w:t>测试结论：模型调用日志可记录，失败时系统走兜底逻辑。</w:t>
      </w:r>
    </w:p>
    <w:p>
      <w:pPr>
        <w:pStyle w:val="Heading4"/>
      </w:pPr>
      <w:r>
        <w:t>2.6.2.4. 外发队列</w:t>
      </w:r>
    </w:p>
    <w:p>
      <w:r>
        <w:rPr>
          <w:rFonts w:ascii="宋体" w:hAnsi="宋体" w:eastAsia="宋体"/>
          <w:sz w:val="21"/>
        </w:rPr>
        <w:t>测试流程：验证待发送、成功、失败、重试、指定发送、自动白名单发送和限频。</w:t>
      </w:r>
    </w:p>
    <w:p>
      <w:r>
        <w:rPr>
          <w:rFonts w:ascii="宋体" w:hAnsi="宋体" w:eastAsia="宋体"/>
          <w:sz w:val="21"/>
        </w:rPr>
        <w:t>测试结论：外发状态正确更新，失败可重试，自动工作流类型可被 worker 发送。</w:t>
      </w:r>
    </w:p>
    <w:p>
      <w:pPr>
        <w:pStyle w:val="Heading3"/>
      </w:pPr>
      <w:r>
        <w:t>2.6.3.可靠性与安全测试过程</w:t>
      </w:r>
    </w:p>
    <w:p>
      <w:pPr>
        <w:pStyle w:val="Heading4"/>
      </w:pPr>
      <w:r>
        <w:t>2.6.3.1. 幂等与重复处理</w:t>
      </w:r>
    </w:p>
    <w:p>
      <w:r>
        <w:rPr>
          <w:rFonts w:ascii="宋体" w:hAnsi="宋体" w:eastAsia="宋体"/>
          <w:sz w:val="21"/>
        </w:rPr>
        <w:t>测试流程：重复处理同一入库邮件、重复执行处理队列、重复生成初审拒绝和生产疑问记录。</w:t>
      </w:r>
    </w:p>
    <w:p>
      <w:r>
        <w:rPr>
          <w:rFonts w:ascii="宋体" w:hAnsi="宋体" w:eastAsia="宋体"/>
          <w:sz w:val="21"/>
        </w:rPr>
        <w:t>测试结论：系统避免重复生成业务结果，必要时复用已有记录。</w:t>
      </w:r>
    </w:p>
    <w:p>
      <w:pPr>
        <w:pStyle w:val="Heading4"/>
      </w:pPr>
      <w:r>
        <w:t>2.6.3.2. 最大沟通轮次</w:t>
      </w:r>
    </w:p>
    <w:p>
      <w:r>
        <w:rPr>
          <w:rFonts w:ascii="宋体" w:hAnsi="宋体" w:eastAsia="宋体"/>
          <w:sz w:val="21"/>
        </w:rPr>
        <w:t>测试流程：配置最大往返轮次，达到上限后继续发起生产疑问。</w:t>
      </w:r>
    </w:p>
    <w:p>
      <w:r>
        <w:rPr>
          <w:rFonts w:ascii="宋体" w:hAnsi="宋体" w:eastAsia="宋体"/>
          <w:sz w:val="21"/>
        </w:rPr>
        <w:t>测试结论：系统通知双方会话关闭并停止继续流转。</w:t>
      </w:r>
    </w:p>
    <w:p>
      <w:pPr>
        <w:pStyle w:val="Heading4"/>
      </w:pPr>
      <w:r>
        <w:t>2.6.3.3. 登录与密钥保护</w:t>
      </w:r>
    </w:p>
    <w:p>
      <w:r>
        <w:rPr>
          <w:rFonts w:ascii="宋体" w:hAnsi="宋体" w:eastAsia="宋体"/>
          <w:sz w:val="21"/>
        </w:rPr>
        <w:t>测试流程：检查后台登录、密码字段 autocomplete、API Key和邮箱密码不回显。</w:t>
      </w:r>
    </w:p>
    <w:p>
      <w:r>
        <w:rPr>
          <w:rFonts w:ascii="宋体" w:hAnsi="宋体" w:eastAsia="宋体"/>
          <w:sz w:val="21"/>
        </w:rPr>
        <w:t>测试结论：敏感信息未在页面明文展示，接口未认证访问被拒绝。</w:t>
      </w:r>
    </w:p>
    <w:p>
      <w:pPr>
        <w:pStyle w:val="Heading1"/>
      </w:pPr>
      <w:r>
        <w:t>3. 测试结果</w:t>
      </w:r>
    </w:p>
    <w:p>
      <w:pPr>
        <w:pStyle w:val="Heading2"/>
      </w:pPr>
      <w:r>
        <w:t>3.1 系统功能测试</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850"/>
            <w:vAlign w:val="center"/>
            <w:shd w:fill="D9EAF7"/>
          </w:tcPr>
          <w:p>
            <w:pPr>
              <w:jc w:val="center"/>
            </w:pPr>
            <w:r/>
            <w:r>
              <w:rPr>
                <w:rFonts w:ascii="宋体" w:hAnsi="宋体" w:eastAsia="宋体"/>
                <w:b/>
                <w:sz w:val="21"/>
              </w:rPr>
              <w:t>序号</w:t>
            </w:r>
          </w:p>
        </w:tc>
        <w:tc>
          <w:tcPr>
            <w:tcW w:type="dxa" w:w="1984"/>
            <w:vAlign w:val="center"/>
            <w:shd w:fill="D9EAF7"/>
          </w:tcPr>
          <w:p>
            <w:pPr>
              <w:jc w:val="center"/>
            </w:pPr>
            <w:r/>
            <w:r>
              <w:rPr>
                <w:rFonts w:ascii="宋体" w:hAnsi="宋体" w:eastAsia="宋体"/>
                <w:b/>
                <w:sz w:val="21"/>
              </w:rPr>
              <w:t>功能模块</w:t>
            </w:r>
          </w:p>
        </w:tc>
        <w:tc>
          <w:tcPr>
            <w:tcW w:type="dxa" w:w="5102"/>
            <w:vAlign w:val="center"/>
            <w:shd w:fill="D9EAF7"/>
          </w:tcPr>
          <w:p>
            <w:pPr>
              <w:jc w:val="center"/>
            </w:pPr>
            <w:r/>
            <w:r>
              <w:rPr>
                <w:rFonts w:ascii="宋体" w:hAnsi="宋体" w:eastAsia="宋体"/>
                <w:b/>
                <w:sz w:val="21"/>
              </w:rPr>
              <w:t>测试项</w:t>
            </w:r>
          </w:p>
        </w:tc>
        <w:tc>
          <w:tcPr>
            <w:tcW w:type="dxa" w:w="1134"/>
            <w:vAlign w:val="center"/>
            <w:shd w:fill="D9EAF7"/>
          </w:tcPr>
          <w:p>
            <w:pPr>
              <w:jc w:val="center"/>
            </w:pPr>
            <w:r/>
            <w:r>
              <w:rPr>
                <w:rFonts w:ascii="宋体" w:hAnsi="宋体" w:eastAsia="宋体"/>
                <w:b/>
                <w:sz w:val="21"/>
              </w:rPr>
              <w:t>结果</w:t>
            </w:r>
          </w:p>
        </w:tc>
      </w:tr>
      <w:tr>
        <w:tc>
          <w:tcPr>
            <w:tcW w:type="dxa" w:w="850"/>
            <w:vAlign w:val="center"/>
          </w:tcPr>
          <w:p>
            <w:pPr>
              <w:jc w:val="center"/>
            </w:pPr>
            <w:r/>
            <w:r>
              <w:rPr>
                <w:rFonts w:ascii="宋体" w:hAnsi="宋体" w:eastAsia="宋体"/>
                <w:b w:val="0"/>
                <w:sz w:val="21"/>
              </w:rPr>
              <w:t>1</w:t>
            </w:r>
          </w:p>
        </w:tc>
        <w:tc>
          <w:tcPr>
            <w:tcW w:type="dxa" w:w="1984"/>
            <w:vAlign w:val="center"/>
          </w:tcPr>
          <w:p>
            <w:pPr>
              <w:jc w:val="center"/>
            </w:pPr>
            <w:r/>
            <w:r>
              <w:rPr>
                <w:rFonts w:ascii="宋体" w:hAnsi="宋体" w:eastAsia="宋体"/>
                <w:b w:val="0"/>
                <w:sz w:val="21"/>
              </w:rPr>
              <w:t>登录与鉴权</w:t>
            </w:r>
          </w:p>
        </w:tc>
        <w:tc>
          <w:tcPr>
            <w:tcW w:type="dxa" w:w="5102"/>
            <w:vAlign w:val="center"/>
          </w:tcPr>
          <w:p>
            <w:pPr>
              <w:jc w:val="center"/>
            </w:pPr>
            <w:r/>
            <w:r>
              <w:rPr>
                <w:rFonts w:ascii="宋体" w:hAnsi="宋体" w:eastAsia="宋体"/>
                <w:b w:val="0"/>
                <w:sz w:val="21"/>
              </w:rPr>
              <w:t>管理员登录、退出、会话校验、未认证拦截</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2</w:t>
            </w:r>
          </w:p>
        </w:tc>
        <w:tc>
          <w:tcPr>
            <w:tcW w:type="dxa" w:w="1984"/>
            <w:vAlign w:val="center"/>
          </w:tcPr>
          <w:p>
            <w:pPr>
              <w:jc w:val="center"/>
            </w:pPr>
            <w:r/>
            <w:r>
              <w:rPr>
                <w:rFonts w:ascii="宋体" w:hAnsi="宋体" w:eastAsia="宋体"/>
                <w:b w:val="0"/>
                <w:sz w:val="21"/>
              </w:rPr>
              <w:t>接入配置</w:t>
            </w:r>
          </w:p>
        </w:tc>
        <w:tc>
          <w:tcPr>
            <w:tcW w:type="dxa" w:w="5102"/>
            <w:vAlign w:val="center"/>
          </w:tcPr>
          <w:p>
            <w:pPr>
              <w:jc w:val="center"/>
            </w:pPr>
            <w:r/>
            <w:r>
              <w:rPr>
                <w:rFonts w:ascii="宋体" w:hAnsi="宋体" w:eastAsia="宋体"/>
                <w:b w:val="0"/>
                <w:sz w:val="21"/>
              </w:rPr>
              <w:t>邮箱、模型、限频、worker周期、生产邮箱配置</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3</w:t>
            </w:r>
          </w:p>
        </w:tc>
        <w:tc>
          <w:tcPr>
            <w:tcW w:type="dxa" w:w="1984"/>
            <w:vAlign w:val="center"/>
          </w:tcPr>
          <w:p>
            <w:pPr>
              <w:jc w:val="center"/>
            </w:pPr>
            <w:r/>
            <w:r>
              <w:rPr>
                <w:rFonts w:ascii="宋体" w:hAnsi="宋体" w:eastAsia="宋体"/>
                <w:b w:val="0"/>
                <w:sz w:val="21"/>
              </w:rPr>
              <w:t>销售订单处理</w:t>
            </w:r>
          </w:p>
        </w:tc>
        <w:tc>
          <w:tcPr>
            <w:tcW w:type="dxa" w:w="5102"/>
            <w:vAlign w:val="center"/>
          </w:tcPr>
          <w:p>
            <w:pPr>
              <w:jc w:val="center"/>
            </w:pPr>
            <w:r/>
            <w:r>
              <w:rPr>
                <w:rFonts w:ascii="宋体" w:hAnsi="宋体" w:eastAsia="宋体"/>
                <w:b w:val="0"/>
                <w:sz w:val="21"/>
              </w:rPr>
              <w:t>自然语言订单、缺字段初审、规则拒绝、回执</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4</w:t>
            </w:r>
          </w:p>
        </w:tc>
        <w:tc>
          <w:tcPr>
            <w:tcW w:type="dxa" w:w="1984"/>
            <w:vAlign w:val="center"/>
          </w:tcPr>
          <w:p>
            <w:pPr>
              <w:jc w:val="center"/>
            </w:pPr>
            <w:r/>
            <w:r>
              <w:rPr>
                <w:rFonts w:ascii="宋体" w:hAnsi="宋体" w:eastAsia="宋体"/>
                <w:b w:val="0"/>
                <w:sz w:val="21"/>
              </w:rPr>
              <w:t>生产任务单</w:t>
            </w:r>
          </w:p>
        </w:tc>
        <w:tc>
          <w:tcPr>
            <w:tcW w:type="dxa" w:w="5102"/>
            <w:vAlign w:val="center"/>
          </w:tcPr>
          <w:p>
            <w:pPr>
              <w:jc w:val="center"/>
            </w:pPr>
            <w:r/>
            <w:r>
              <w:rPr>
                <w:rFonts w:ascii="宋体" w:hAnsi="宋体" w:eastAsia="宋体"/>
                <w:b w:val="0"/>
                <w:sz w:val="21"/>
              </w:rPr>
              <w:t>草稿生成、自动下达、版本、工作流查看</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5</w:t>
            </w:r>
          </w:p>
        </w:tc>
        <w:tc>
          <w:tcPr>
            <w:tcW w:type="dxa" w:w="1984"/>
            <w:vAlign w:val="center"/>
          </w:tcPr>
          <w:p>
            <w:pPr>
              <w:jc w:val="center"/>
            </w:pPr>
            <w:r/>
            <w:r>
              <w:rPr>
                <w:rFonts w:ascii="宋体" w:hAnsi="宋体" w:eastAsia="宋体"/>
                <w:b w:val="0"/>
                <w:sz w:val="21"/>
              </w:rPr>
              <w:t>沟通闭环</w:t>
            </w:r>
          </w:p>
        </w:tc>
        <w:tc>
          <w:tcPr>
            <w:tcW w:type="dxa" w:w="5102"/>
            <w:vAlign w:val="center"/>
          </w:tcPr>
          <w:p>
            <w:pPr>
              <w:jc w:val="center"/>
            </w:pPr>
            <w:r/>
            <w:r>
              <w:rPr>
                <w:rFonts w:ascii="宋体" w:hAnsi="宋体" w:eastAsia="宋体"/>
                <w:b w:val="0"/>
                <w:sz w:val="21"/>
              </w:rPr>
              <w:t>生产疑问、销售补充、任务单重发、回执</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6</w:t>
            </w:r>
          </w:p>
        </w:tc>
        <w:tc>
          <w:tcPr>
            <w:tcW w:type="dxa" w:w="1984"/>
            <w:vAlign w:val="center"/>
          </w:tcPr>
          <w:p>
            <w:pPr>
              <w:jc w:val="center"/>
            </w:pPr>
            <w:r/>
            <w:r>
              <w:rPr>
                <w:rFonts w:ascii="宋体" w:hAnsi="宋体" w:eastAsia="宋体"/>
                <w:b w:val="0"/>
                <w:sz w:val="21"/>
              </w:rPr>
              <w:t>生产确认</w:t>
            </w:r>
          </w:p>
        </w:tc>
        <w:tc>
          <w:tcPr>
            <w:tcW w:type="dxa" w:w="5102"/>
            <w:vAlign w:val="center"/>
          </w:tcPr>
          <w:p>
            <w:pPr>
              <w:jc w:val="center"/>
            </w:pPr>
            <w:r/>
            <w:r>
              <w:rPr>
                <w:rFonts w:ascii="宋体" w:hAnsi="宋体" w:eastAsia="宋体"/>
                <w:b w:val="0"/>
                <w:sz w:val="21"/>
              </w:rPr>
              <w:t>指定任务确认、当前任务回复确认、同意排产识别</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7</w:t>
            </w:r>
          </w:p>
        </w:tc>
        <w:tc>
          <w:tcPr>
            <w:tcW w:type="dxa" w:w="1984"/>
            <w:vAlign w:val="center"/>
          </w:tcPr>
          <w:p>
            <w:pPr>
              <w:jc w:val="center"/>
            </w:pPr>
            <w:r/>
            <w:r>
              <w:rPr>
                <w:rFonts w:ascii="宋体" w:hAnsi="宋体" w:eastAsia="宋体"/>
                <w:b w:val="0"/>
                <w:sz w:val="21"/>
              </w:rPr>
              <w:t>邮件查询</w:t>
            </w:r>
          </w:p>
        </w:tc>
        <w:tc>
          <w:tcPr>
            <w:tcW w:type="dxa" w:w="5102"/>
            <w:vAlign w:val="center"/>
          </w:tcPr>
          <w:p>
            <w:pPr>
              <w:jc w:val="center"/>
            </w:pPr>
            <w:r/>
            <w:r>
              <w:rPr>
                <w:rFonts w:ascii="宋体" w:hAnsi="宋体" w:eastAsia="宋体"/>
                <w:b w:val="0"/>
                <w:sz w:val="21"/>
              </w:rPr>
              <w:t>销售/生产通过邮件查询状态和统计，LLM组织回复</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8</w:t>
            </w:r>
          </w:p>
        </w:tc>
        <w:tc>
          <w:tcPr>
            <w:tcW w:type="dxa" w:w="1984"/>
            <w:vAlign w:val="center"/>
          </w:tcPr>
          <w:p>
            <w:pPr>
              <w:jc w:val="center"/>
            </w:pPr>
            <w:r/>
            <w:r>
              <w:rPr>
                <w:rFonts w:ascii="宋体" w:hAnsi="宋体" w:eastAsia="宋体"/>
                <w:b w:val="0"/>
                <w:sz w:val="21"/>
              </w:rPr>
              <w:t>周报</w:t>
            </w:r>
          </w:p>
        </w:tc>
        <w:tc>
          <w:tcPr>
            <w:tcW w:type="dxa" w:w="5102"/>
            <w:vAlign w:val="center"/>
          </w:tcPr>
          <w:p>
            <w:pPr>
              <w:jc w:val="center"/>
            </w:pPr>
            <w:r/>
            <w:r>
              <w:rPr>
                <w:rFonts w:ascii="宋体" w:hAnsi="宋体" w:eastAsia="宋体"/>
                <w:b w:val="0"/>
                <w:sz w:val="21"/>
              </w:rPr>
              <w:t>上报周期、三类统计、销售Top10、PDF/CSV导出</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9</w:t>
            </w:r>
          </w:p>
        </w:tc>
        <w:tc>
          <w:tcPr>
            <w:tcW w:type="dxa" w:w="1984"/>
            <w:vAlign w:val="center"/>
          </w:tcPr>
          <w:p>
            <w:pPr>
              <w:jc w:val="center"/>
            </w:pPr>
            <w:r/>
            <w:r>
              <w:rPr>
                <w:rFonts w:ascii="宋体" w:hAnsi="宋体" w:eastAsia="宋体"/>
                <w:b w:val="0"/>
                <w:sz w:val="21"/>
              </w:rPr>
              <w:t>异常运维</w:t>
            </w:r>
          </w:p>
        </w:tc>
        <w:tc>
          <w:tcPr>
            <w:tcW w:type="dxa" w:w="5102"/>
            <w:vAlign w:val="center"/>
          </w:tcPr>
          <w:p>
            <w:pPr>
              <w:jc w:val="center"/>
            </w:pPr>
            <w:r/>
            <w:r>
              <w:rPr>
                <w:rFonts w:ascii="宋体" w:hAnsi="宋体" w:eastAsia="宋体"/>
                <w:b w:val="0"/>
                <w:sz w:val="21"/>
              </w:rPr>
              <w:t>异常合并、修复、清理、备份、审计</w:t>
            </w:r>
          </w:p>
        </w:tc>
        <w:tc>
          <w:tcPr>
            <w:tcW w:type="dxa" w:w="1134"/>
            <w:vAlign w:val="center"/>
          </w:tcPr>
          <w:p>
            <w:pPr>
              <w:jc w:val="center"/>
            </w:pPr>
            <w:r/>
            <w:r>
              <w:rPr>
                <w:rFonts w:ascii="宋体" w:hAnsi="宋体" w:eastAsia="宋体"/>
                <w:b w:val="0"/>
                <w:sz w:val="21"/>
              </w:rPr>
              <w:t>通过</w:t>
            </w:r>
          </w:p>
        </w:tc>
      </w:tr>
      <w:tr>
        <w:tc>
          <w:tcPr>
            <w:tcW w:type="dxa" w:w="850"/>
            <w:vAlign w:val="center"/>
          </w:tcPr>
          <w:p>
            <w:pPr>
              <w:jc w:val="center"/>
            </w:pPr>
            <w:r/>
            <w:r>
              <w:rPr>
                <w:rFonts w:ascii="宋体" w:hAnsi="宋体" w:eastAsia="宋体"/>
                <w:b w:val="0"/>
                <w:sz w:val="21"/>
              </w:rPr>
              <w:t>10</w:t>
            </w:r>
          </w:p>
        </w:tc>
        <w:tc>
          <w:tcPr>
            <w:tcW w:type="dxa" w:w="1984"/>
            <w:vAlign w:val="center"/>
          </w:tcPr>
          <w:p>
            <w:pPr>
              <w:jc w:val="center"/>
            </w:pPr>
            <w:r/>
            <w:r>
              <w:rPr>
                <w:rFonts w:ascii="宋体" w:hAnsi="宋体" w:eastAsia="宋体"/>
                <w:b w:val="0"/>
                <w:sz w:val="21"/>
              </w:rPr>
              <w:t>前端工作台</w:t>
            </w:r>
          </w:p>
        </w:tc>
        <w:tc>
          <w:tcPr>
            <w:tcW w:type="dxa" w:w="5102"/>
            <w:vAlign w:val="center"/>
          </w:tcPr>
          <w:p>
            <w:pPr>
              <w:jc w:val="center"/>
            </w:pPr>
            <w:r/>
            <w:r>
              <w:rPr>
                <w:rFonts w:ascii="宋体" w:hAnsi="宋体" w:eastAsia="宋体"/>
                <w:b w:val="0"/>
                <w:sz w:val="21"/>
              </w:rPr>
              <w:t>分页、搜索、过滤、面包屑错误提示、表单警告修复</w:t>
            </w:r>
          </w:p>
        </w:tc>
        <w:tc>
          <w:tcPr>
            <w:tcW w:type="dxa" w:w="1134"/>
            <w:vAlign w:val="center"/>
          </w:tcPr>
          <w:p>
            <w:pPr>
              <w:jc w:val="center"/>
            </w:pPr>
            <w:r/>
            <w:r>
              <w:rPr>
                <w:rFonts w:ascii="宋体" w:hAnsi="宋体" w:eastAsia="宋体"/>
                <w:b w:val="0"/>
                <w:sz w:val="21"/>
              </w:rPr>
              <w:t>通过</w:t>
            </w:r>
          </w:p>
        </w:tc>
      </w:tr>
    </w:tbl>
    <w:p>
      <w:pPr>
        <w:pStyle w:val="Heading2"/>
      </w:pPr>
      <w:r>
        <w:t>3.2 接口与集成测试</w:t>
      </w:r>
    </w:p>
    <w:tbl>
      <w:tblPr>
        <w:tblStyle w:val="TableGrid"/>
        <w:tblW w:type="auto" w:w="0"/>
        <w:jc w:val="center"/>
        <w:tblLook w:firstColumn="1" w:firstRow="1" w:lastColumn="0" w:lastRow="0" w:noHBand="0" w:noVBand="1" w:val="04A0"/>
      </w:tblPr>
      <w:tblGrid>
        <w:gridCol w:w="3192"/>
        <w:gridCol w:w="3192"/>
        <w:gridCol w:w="3192"/>
      </w:tblGrid>
      <w:tr>
        <w:tc>
          <w:tcPr>
            <w:tcW w:type="dxa" w:w="850"/>
            <w:vAlign w:val="center"/>
            <w:shd w:fill="D9EAF7"/>
          </w:tcPr>
          <w:p>
            <w:pPr>
              <w:jc w:val="center"/>
            </w:pPr>
            <w:r/>
            <w:r>
              <w:rPr>
                <w:rFonts w:ascii="宋体" w:hAnsi="宋体" w:eastAsia="宋体"/>
                <w:b/>
                <w:sz w:val="21"/>
              </w:rPr>
              <w:t>序号</w:t>
            </w:r>
          </w:p>
        </w:tc>
        <w:tc>
          <w:tcPr>
            <w:tcW w:type="dxa" w:w="2835"/>
            <w:vAlign w:val="center"/>
            <w:shd w:fill="D9EAF7"/>
          </w:tcPr>
          <w:p>
            <w:pPr>
              <w:jc w:val="center"/>
            </w:pPr>
            <w:r/>
            <w:r>
              <w:rPr>
                <w:rFonts w:ascii="宋体" w:hAnsi="宋体" w:eastAsia="宋体"/>
                <w:b/>
                <w:sz w:val="21"/>
              </w:rPr>
              <w:t>集成项</w:t>
            </w:r>
          </w:p>
        </w:tc>
        <w:tc>
          <w:tcPr>
            <w:tcW w:type="dxa" w:w="5669"/>
            <w:vAlign w:val="center"/>
            <w:shd w:fill="D9EAF7"/>
          </w:tcPr>
          <w:p>
            <w:pPr>
              <w:jc w:val="center"/>
            </w:pPr>
            <w:r/>
            <w:r>
              <w:rPr>
                <w:rFonts w:ascii="宋体" w:hAnsi="宋体" w:eastAsia="宋体"/>
                <w:b/>
                <w:sz w:val="21"/>
              </w:rPr>
              <w:t>测试结果</w:t>
            </w:r>
          </w:p>
        </w:tc>
      </w:tr>
      <w:tr>
        <w:tc>
          <w:tcPr>
            <w:tcW w:type="dxa" w:w="850"/>
            <w:vAlign w:val="center"/>
          </w:tcPr>
          <w:p>
            <w:pPr>
              <w:jc w:val="center"/>
            </w:pPr>
            <w:r/>
            <w:r>
              <w:rPr>
                <w:rFonts w:ascii="宋体" w:hAnsi="宋体" w:eastAsia="宋体"/>
                <w:b w:val="0"/>
                <w:sz w:val="21"/>
              </w:rPr>
              <w:t>1</w:t>
            </w:r>
          </w:p>
        </w:tc>
        <w:tc>
          <w:tcPr>
            <w:tcW w:type="dxa" w:w="2835"/>
            <w:vAlign w:val="center"/>
          </w:tcPr>
          <w:p>
            <w:pPr>
              <w:jc w:val="center"/>
            </w:pPr>
            <w:r/>
            <w:r>
              <w:rPr>
                <w:rFonts w:ascii="宋体" w:hAnsi="宋体" w:eastAsia="宋体"/>
                <w:b w:val="0"/>
                <w:sz w:val="21"/>
              </w:rPr>
              <w:t>腾讯企业邮箱 IMAP 入库</w:t>
            </w:r>
          </w:p>
        </w:tc>
        <w:tc>
          <w:tcPr>
            <w:tcW w:type="dxa" w:w="5669"/>
            <w:vAlign w:val="center"/>
          </w:tcPr>
          <w:p>
            <w:pPr>
              <w:jc w:val="center"/>
            </w:pPr>
            <w:r/>
            <w:r>
              <w:rPr>
                <w:rFonts w:ascii="宋体" w:hAnsi="宋体" w:eastAsia="宋体"/>
                <w:b w:val="0"/>
                <w:sz w:val="21"/>
              </w:rPr>
              <w:t>通过，支持真实邮件同步、去重和入库队列</w:t>
            </w:r>
          </w:p>
        </w:tc>
      </w:tr>
      <w:tr>
        <w:tc>
          <w:tcPr>
            <w:tcW w:type="dxa" w:w="850"/>
            <w:vAlign w:val="center"/>
          </w:tcPr>
          <w:p>
            <w:pPr>
              <w:jc w:val="center"/>
            </w:pPr>
            <w:r/>
            <w:r>
              <w:rPr>
                <w:rFonts w:ascii="宋体" w:hAnsi="宋体" w:eastAsia="宋体"/>
                <w:b w:val="0"/>
                <w:sz w:val="21"/>
              </w:rPr>
              <w:t>2</w:t>
            </w:r>
          </w:p>
        </w:tc>
        <w:tc>
          <w:tcPr>
            <w:tcW w:type="dxa" w:w="2835"/>
            <w:vAlign w:val="center"/>
          </w:tcPr>
          <w:p>
            <w:pPr>
              <w:jc w:val="center"/>
            </w:pPr>
            <w:r/>
            <w:r>
              <w:rPr>
                <w:rFonts w:ascii="宋体" w:hAnsi="宋体" w:eastAsia="宋体"/>
                <w:b w:val="0"/>
                <w:sz w:val="21"/>
              </w:rPr>
              <w:t>腾讯企业邮箱 SMTP 外发</w:t>
            </w:r>
          </w:p>
        </w:tc>
        <w:tc>
          <w:tcPr>
            <w:tcW w:type="dxa" w:w="5669"/>
            <w:vAlign w:val="center"/>
          </w:tcPr>
          <w:p>
            <w:pPr>
              <w:jc w:val="center"/>
            </w:pPr>
            <w:r/>
            <w:r>
              <w:rPr>
                <w:rFonts w:ascii="宋体" w:hAnsi="宋体" w:eastAsia="宋体"/>
                <w:b w:val="0"/>
                <w:sz w:val="21"/>
              </w:rPr>
              <w:t>通过，支持外发队列、状态更新、失败记录和限频保护</w:t>
            </w:r>
          </w:p>
        </w:tc>
      </w:tr>
      <w:tr>
        <w:tc>
          <w:tcPr>
            <w:tcW w:type="dxa" w:w="850"/>
            <w:vAlign w:val="center"/>
          </w:tcPr>
          <w:p>
            <w:pPr>
              <w:jc w:val="center"/>
            </w:pPr>
            <w:r/>
            <w:r>
              <w:rPr>
                <w:rFonts w:ascii="宋体" w:hAnsi="宋体" w:eastAsia="宋体"/>
                <w:b w:val="0"/>
                <w:sz w:val="21"/>
              </w:rPr>
              <w:t>3</w:t>
            </w:r>
          </w:p>
        </w:tc>
        <w:tc>
          <w:tcPr>
            <w:tcW w:type="dxa" w:w="2835"/>
            <w:vAlign w:val="center"/>
          </w:tcPr>
          <w:p>
            <w:pPr>
              <w:jc w:val="center"/>
            </w:pPr>
            <w:r/>
            <w:r>
              <w:rPr>
                <w:rFonts w:ascii="宋体" w:hAnsi="宋体" w:eastAsia="宋体"/>
                <w:b w:val="0"/>
                <w:sz w:val="21"/>
              </w:rPr>
              <w:t>Word/Excel/ZIP 附件解析</w:t>
            </w:r>
          </w:p>
        </w:tc>
        <w:tc>
          <w:tcPr>
            <w:tcW w:type="dxa" w:w="5669"/>
            <w:vAlign w:val="center"/>
          </w:tcPr>
          <w:p>
            <w:pPr>
              <w:jc w:val="center"/>
            </w:pPr>
            <w:r/>
            <w:r>
              <w:rPr>
                <w:rFonts w:ascii="宋体" w:hAnsi="宋体" w:eastAsia="宋体"/>
                <w:b w:val="0"/>
                <w:sz w:val="21"/>
              </w:rPr>
              <w:t>通过，解析内容可参与订单字段识别</w:t>
            </w:r>
          </w:p>
        </w:tc>
      </w:tr>
      <w:tr>
        <w:tc>
          <w:tcPr>
            <w:tcW w:type="dxa" w:w="850"/>
            <w:vAlign w:val="center"/>
          </w:tcPr>
          <w:p>
            <w:pPr>
              <w:jc w:val="center"/>
            </w:pPr>
            <w:r/>
            <w:r>
              <w:rPr>
                <w:rFonts w:ascii="宋体" w:hAnsi="宋体" w:eastAsia="宋体"/>
                <w:b w:val="0"/>
                <w:sz w:val="21"/>
              </w:rPr>
              <w:t>4</w:t>
            </w:r>
          </w:p>
        </w:tc>
        <w:tc>
          <w:tcPr>
            <w:tcW w:type="dxa" w:w="2835"/>
            <w:vAlign w:val="center"/>
          </w:tcPr>
          <w:p>
            <w:pPr>
              <w:jc w:val="center"/>
            </w:pPr>
            <w:r/>
            <w:r>
              <w:rPr>
                <w:rFonts w:ascii="宋体" w:hAnsi="宋体" w:eastAsia="宋体"/>
                <w:b w:val="0"/>
                <w:sz w:val="21"/>
              </w:rPr>
              <w:t>外部模型 Provider</w:t>
            </w:r>
          </w:p>
        </w:tc>
        <w:tc>
          <w:tcPr>
            <w:tcW w:type="dxa" w:w="5669"/>
            <w:vAlign w:val="center"/>
          </w:tcPr>
          <w:p>
            <w:pPr>
              <w:jc w:val="center"/>
            </w:pPr>
            <w:r/>
            <w:r>
              <w:rPr>
                <w:rFonts w:ascii="宋体" w:hAnsi="宋体" w:eastAsia="宋体"/>
                <w:b w:val="0"/>
                <w:sz w:val="21"/>
              </w:rPr>
              <w:t>通过，支持可配置 OpenAI兼容接口与调用日志</w:t>
            </w:r>
          </w:p>
        </w:tc>
      </w:tr>
      <w:tr>
        <w:tc>
          <w:tcPr>
            <w:tcW w:type="dxa" w:w="850"/>
            <w:vAlign w:val="center"/>
          </w:tcPr>
          <w:p>
            <w:pPr>
              <w:jc w:val="center"/>
            </w:pPr>
            <w:r/>
            <w:r>
              <w:rPr>
                <w:rFonts w:ascii="宋体" w:hAnsi="宋体" w:eastAsia="宋体"/>
                <w:b w:val="0"/>
                <w:sz w:val="21"/>
              </w:rPr>
              <w:t>5</w:t>
            </w:r>
          </w:p>
        </w:tc>
        <w:tc>
          <w:tcPr>
            <w:tcW w:type="dxa" w:w="2835"/>
            <w:vAlign w:val="center"/>
          </w:tcPr>
          <w:p>
            <w:pPr>
              <w:jc w:val="center"/>
            </w:pPr>
            <w:r/>
            <w:r>
              <w:rPr>
                <w:rFonts w:ascii="宋体" w:hAnsi="宋体" w:eastAsia="宋体"/>
                <w:b w:val="0"/>
                <w:sz w:val="21"/>
              </w:rPr>
              <w:t>SQLite 数据持久化</w:t>
            </w:r>
          </w:p>
        </w:tc>
        <w:tc>
          <w:tcPr>
            <w:tcW w:type="dxa" w:w="5669"/>
            <w:vAlign w:val="center"/>
          </w:tcPr>
          <w:p>
            <w:pPr>
              <w:jc w:val="center"/>
            </w:pPr>
            <w:r/>
            <w:r>
              <w:rPr>
                <w:rFonts w:ascii="宋体" w:hAnsi="宋体" w:eastAsia="宋体"/>
                <w:b w:val="0"/>
                <w:sz w:val="21"/>
              </w:rPr>
              <w:t>通过，关键实体、状态、审计和异常可持久保存</w:t>
            </w:r>
          </w:p>
        </w:tc>
      </w:tr>
    </w:tbl>
    <w:p>
      <w:pPr>
        <w:pStyle w:val="Heading2"/>
      </w:pPr>
      <w:r>
        <w:t>3.3 性能与可靠性测试</w:t>
      </w:r>
    </w:p>
    <w:tbl>
      <w:tblPr>
        <w:tblStyle w:val="TableGrid"/>
        <w:tblW w:type="auto" w:w="0"/>
        <w:jc w:val="center"/>
        <w:tblLook w:firstColumn="1" w:firstRow="1" w:lastColumn="0" w:lastRow="0" w:noHBand="0" w:noVBand="1" w:val="04A0"/>
      </w:tblPr>
      <w:tblGrid>
        <w:gridCol w:w="3192"/>
        <w:gridCol w:w="3192"/>
        <w:gridCol w:w="3192"/>
      </w:tblGrid>
      <w:tr>
        <w:tc>
          <w:tcPr>
            <w:tcW w:type="dxa" w:w="2268"/>
            <w:vAlign w:val="center"/>
            <w:shd w:fill="D9EAF7"/>
          </w:tcPr>
          <w:p>
            <w:pPr>
              <w:jc w:val="center"/>
            </w:pPr>
            <w:r/>
            <w:r>
              <w:rPr>
                <w:rFonts w:ascii="宋体" w:hAnsi="宋体" w:eastAsia="宋体"/>
                <w:b/>
                <w:sz w:val="21"/>
              </w:rPr>
              <w:t>测试项</w:t>
            </w:r>
          </w:p>
        </w:tc>
        <w:tc>
          <w:tcPr>
            <w:tcW w:type="dxa" w:w="4535"/>
            <w:vAlign w:val="center"/>
            <w:shd w:fill="D9EAF7"/>
          </w:tcPr>
          <w:p>
            <w:pPr>
              <w:jc w:val="center"/>
            </w:pPr>
            <w:r/>
            <w:r>
              <w:rPr>
                <w:rFonts w:ascii="宋体" w:hAnsi="宋体" w:eastAsia="宋体"/>
                <w:b/>
                <w:sz w:val="21"/>
              </w:rPr>
              <w:t>指标或场景</w:t>
            </w:r>
          </w:p>
        </w:tc>
        <w:tc>
          <w:tcPr>
            <w:tcW w:type="dxa" w:w="2268"/>
            <w:vAlign w:val="center"/>
            <w:shd w:fill="D9EAF7"/>
          </w:tcPr>
          <w:p>
            <w:pPr>
              <w:jc w:val="center"/>
            </w:pPr>
            <w:r/>
            <w:r>
              <w:rPr>
                <w:rFonts w:ascii="宋体" w:hAnsi="宋体" w:eastAsia="宋体"/>
                <w:b/>
                <w:sz w:val="21"/>
              </w:rPr>
              <w:t>结果</w:t>
            </w:r>
          </w:p>
        </w:tc>
      </w:tr>
      <w:tr>
        <w:tc>
          <w:tcPr>
            <w:tcW w:type="dxa" w:w="2268"/>
            <w:vAlign w:val="center"/>
          </w:tcPr>
          <w:p>
            <w:pPr>
              <w:jc w:val="center"/>
            </w:pPr>
            <w:r/>
            <w:r>
              <w:rPr>
                <w:rFonts w:ascii="宋体" w:hAnsi="宋体" w:eastAsia="宋体"/>
                <w:b w:val="0"/>
                <w:sz w:val="21"/>
              </w:rPr>
              <w:t>自动化回归测试</w:t>
            </w:r>
          </w:p>
        </w:tc>
        <w:tc>
          <w:tcPr>
            <w:tcW w:type="dxa" w:w="4535"/>
            <w:vAlign w:val="center"/>
          </w:tcPr>
          <w:p>
            <w:pPr>
              <w:jc w:val="center"/>
            </w:pPr>
            <w:r/>
            <w:r>
              <w:rPr>
                <w:rFonts w:ascii="宋体" w:hAnsi="宋体" w:eastAsia="宋体"/>
                <w:b w:val="0"/>
                <w:sz w:val="21"/>
              </w:rPr>
              <w:t>40项测试用例</w:t>
            </w:r>
          </w:p>
        </w:tc>
        <w:tc>
          <w:tcPr>
            <w:tcW w:type="dxa" w:w="2268"/>
            <w:vAlign w:val="center"/>
          </w:tcPr>
          <w:p>
            <w:pPr>
              <w:jc w:val="center"/>
            </w:pPr>
            <w:r/>
            <w:r>
              <w:rPr>
                <w:rFonts w:ascii="宋体" w:hAnsi="宋体" w:eastAsia="宋体"/>
                <w:b w:val="0"/>
                <w:sz w:val="21"/>
              </w:rPr>
              <w:t>全部通过</w:t>
            </w:r>
          </w:p>
        </w:tc>
      </w:tr>
      <w:tr>
        <w:tc>
          <w:tcPr>
            <w:tcW w:type="dxa" w:w="2268"/>
            <w:vAlign w:val="center"/>
          </w:tcPr>
          <w:p>
            <w:pPr>
              <w:jc w:val="center"/>
            </w:pPr>
            <w:r/>
            <w:r>
              <w:rPr>
                <w:rFonts w:ascii="宋体" w:hAnsi="宋体" w:eastAsia="宋体"/>
                <w:b w:val="0"/>
                <w:sz w:val="21"/>
              </w:rPr>
              <w:t>单次邮件发送限频</w:t>
            </w:r>
          </w:p>
        </w:tc>
        <w:tc>
          <w:tcPr>
            <w:tcW w:type="dxa" w:w="4535"/>
            <w:vAlign w:val="center"/>
          </w:tcPr>
          <w:p>
            <w:pPr>
              <w:jc w:val="center"/>
            </w:pPr>
            <w:r/>
            <w:r>
              <w:rPr>
                <w:rFonts w:ascii="宋体" w:hAnsi="宋体" w:eastAsia="宋体"/>
                <w:b w:val="0"/>
                <w:sz w:val="21"/>
              </w:rPr>
              <w:t>最低60秒，可后台配置</w:t>
            </w:r>
          </w:p>
        </w:tc>
        <w:tc>
          <w:tcPr>
            <w:tcW w:type="dxa" w:w="2268"/>
            <w:vAlign w:val="center"/>
          </w:tcPr>
          <w:p>
            <w:pPr>
              <w:jc w:val="center"/>
            </w:pPr>
            <w:r/>
            <w:r>
              <w:rPr>
                <w:rFonts w:ascii="宋体" w:hAnsi="宋体" w:eastAsia="宋体"/>
                <w:b w:val="0"/>
                <w:sz w:val="21"/>
              </w:rPr>
              <w:t>通过</w:t>
            </w:r>
          </w:p>
        </w:tc>
      </w:tr>
      <w:tr>
        <w:tc>
          <w:tcPr>
            <w:tcW w:type="dxa" w:w="2268"/>
            <w:vAlign w:val="center"/>
          </w:tcPr>
          <w:p>
            <w:pPr>
              <w:jc w:val="center"/>
            </w:pPr>
            <w:r/>
            <w:r>
              <w:rPr>
                <w:rFonts w:ascii="宋体" w:hAnsi="宋体" w:eastAsia="宋体"/>
                <w:b w:val="0"/>
                <w:sz w:val="21"/>
              </w:rPr>
              <w:t>自动 worker 周期</w:t>
            </w:r>
          </w:p>
        </w:tc>
        <w:tc>
          <w:tcPr>
            <w:tcW w:type="dxa" w:w="4535"/>
            <w:vAlign w:val="center"/>
          </w:tcPr>
          <w:p>
            <w:pPr>
              <w:jc w:val="center"/>
            </w:pPr>
            <w:r/>
            <w:r>
              <w:rPr>
                <w:rFonts w:ascii="宋体" w:hAnsi="宋体" w:eastAsia="宋体"/>
                <w:b w:val="0"/>
                <w:sz w:val="21"/>
              </w:rPr>
              <w:t>最低60秒，可后台配置</w:t>
            </w:r>
          </w:p>
        </w:tc>
        <w:tc>
          <w:tcPr>
            <w:tcW w:type="dxa" w:w="2268"/>
            <w:vAlign w:val="center"/>
          </w:tcPr>
          <w:p>
            <w:pPr>
              <w:jc w:val="center"/>
            </w:pPr>
            <w:r/>
            <w:r>
              <w:rPr>
                <w:rFonts w:ascii="宋体" w:hAnsi="宋体" w:eastAsia="宋体"/>
                <w:b w:val="0"/>
                <w:sz w:val="21"/>
              </w:rPr>
              <w:t>通过</w:t>
            </w:r>
          </w:p>
        </w:tc>
      </w:tr>
      <w:tr>
        <w:tc>
          <w:tcPr>
            <w:tcW w:type="dxa" w:w="2268"/>
            <w:vAlign w:val="center"/>
          </w:tcPr>
          <w:p>
            <w:pPr>
              <w:jc w:val="center"/>
            </w:pPr>
            <w:r/>
            <w:r>
              <w:rPr>
                <w:rFonts w:ascii="宋体" w:hAnsi="宋体" w:eastAsia="宋体"/>
                <w:b w:val="0"/>
                <w:sz w:val="21"/>
              </w:rPr>
              <w:t>附件限制</w:t>
            </w:r>
          </w:p>
        </w:tc>
        <w:tc>
          <w:tcPr>
            <w:tcW w:type="dxa" w:w="4535"/>
            <w:vAlign w:val="center"/>
          </w:tcPr>
          <w:p>
            <w:pPr>
              <w:jc w:val="center"/>
            </w:pPr>
            <w:r/>
            <w:r>
              <w:rPr>
                <w:rFonts w:ascii="宋体" w:hAnsi="宋体" w:eastAsia="宋体"/>
                <w:b w:val="0"/>
                <w:sz w:val="21"/>
              </w:rPr>
              <w:t>ZIP最大100M，默认解压1级</w:t>
            </w:r>
          </w:p>
        </w:tc>
        <w:tc>
          <w:tcPr>
            <w:tcW w:type="dxa" w:w="2268"/>
            <w:vAlign w:val="center"/>
          </w:tcPr>
          <w:p>
            <w:pPr>
              <w:jc w:val="center"/>
            </w:pPr>
            <w:r/>
            <w:r>
              <w:rPr>
                <w:rFonts w:ascii="宋体" w:hAnsi="宋体" w:eastAsia="宋体"/>
                <w:b w:val="0"/>
                <w:sz w:val="21"/>
              </w:rPr>
              <w:t>通过</w:t>
            </w:r>
          </w:p>
        </w:tc>
      </w:tr>
      <w:tr>
        <w:tc>
          <w:tcPr>
            <w:tcW w:type="dxa" w:w="2268"/>
            <w:vAlign w:val="center"/>
          </w:tcPr>
          <w:p>
            <w:pPr>
              <w:jc w:val="center"/>
            </w:pPr>
            <w:r/>
            <w:r>
              <w:rPr>
                <w:rFonts w:ascii="宋体" w:hAnsi="宋体" w:eastAsia="宋体"/>
                <w:b w:val="0"/>
                <w:sz w:val="21"/>
              </w:rPr>
              <w:t>存储策略</w:t>
            </w:r>
          </w:p>
        </w:tc>
        <w:tc>
          <w:tcPr>
            <w:tcW w:type="dxa" w:w="4535"/>
            <w:vAlign w:val="center"/>
          </w:tcPr>
          <w:p>
            <w:pPr>
              <w:jc w:val="center"/>
            </w:pPr>
            <w:r/>
            <w:r>
              <w:rPr>
                <w:rFonts w:ascii="宋体" w:hAnsi="宋体" w:eastAsia="宋体"/>
                <w:b w:val="0"/>
                <w:sz w:val="21"/>
              </w:rPr>
              <w:t>有效邮件长期保留，非目标邮件/临时文件支持清理</w:t>
            </w:r>
          </w:p>
        </w:tc>
        <w:tc>
          <w:tcPr>
            <w:tcW w:type="dxa" w:w="2268"/>
            <w:vAlign w:val="center"/>
          </w:tcPr>
          <w:p>
            <w:pPr>
              <w:jc w:val="center"/>
            </w:pPr>
            <w:r/>
            <w:r>
              <w:rPr>
                <w:rFonts w:ascii="宋体" w:hAnsi="宋体" w:eastAsia="宋体"/>
                <w:b w:val="0"/>
                <w:sz w:val="21"/>
              </w:rPr>
              <w:t>通过</w:t>
            </w:r>
          </w:p>
        </w:tc>
      </w:tr>
      <w:tr>
        <w:tc>
          <w:tcPr>
            <w:tcW w:type="dxa" w:w="2268"/>
            <w:vAlign w:val="center"/>
          </w:tcPr>
          <w:p>
            <w:pPr>
              <w:jc w:val="center"/>
            </w:pPr>
            <w:r/>
            <w:r>
              <w:rPr>
                <w:rFonts w:ascii="宋体" w:hAnsi="宋体" w:eastAsia="宋体"/>
                <w:b w:val="0"/>
                <w:sz w:val="21"/>
              </w:rPr>
              <w:t>重复处理</w:t>
            </w:r>
          </w:p>
        </w:tc>
        <w:tc>
          <w:tcPr>
            <w:tcW w:type="dxa" w:w="4535"/>
            <w:vAlign w:val="center"/>
          </w:tcPr>
          <w:p>
            <w:pPr>
              <w:jc w:val="center"/>
            </w:pPr>
            <w:r/>
            <w:r>
              <w:rPr>
                <w:rFonts w:ascii="宋体" w:hAnsi="宋体" w:eastAsia="宋体"/>
                <w:b w:val="0"/>
                <w:sz w:val="21"/>
              </w:rPr>
              <w:t>重复入库与重复队列执行不重复创建业务数据</w:t>
            </w:r>
          </w:p>
        </w:tc>
        <w:tc>
          <w:tcPr>
            <w:tcW w:type="dxa" w:w="2268"/>
            <w:vAlign w:val="center"/>
          </w:tcPr>
          <w:p>
            <w:pPr>
              <w:jc w:val="center"/>
            </w:pPr>
            <w:r/>
            <w:r>
              <w:rPr>
                <w:rFonts w:ascii="宋体" w:hAnsi="宋体" w:eastAsia="宋体"/>
                <w:b w:val="0"/>
                <w:sz w:val="21"/>
              </w:rPr>
              <w:t>通过</w:t>
            </w:r>
          </w:p>
        </w:tc>
      </w:tr>
    </w:tbl>
    <w:p>
      <w:pPr>
        <w:pStyle w:val="Heading2"/>
      </w:pPr>
      <w:r>
        <w:t>3.4 兼容性测试</w:t>
      </w:r>
    </w:p>
    <w:p>
      <w:r>
        <w:rPr>
          <w:rFonts w:ascii="宋体" w:hAnsi="宋体" w:eastAsia="宋体"/>
          <w:sz w:val="21"/>
        </w:rPr>
        <w:t>系统在 macOS 本地开发环境、Chrome/Firefox 浏览器、SQLite 数据库和腾讯企业邮箱网页登录环境下完成验证。前端为标准 HTML/CSS/JavaScript 页面，后端为 FastAPI HTTP 服务，主要功能在上述环境中运行正常。</w:t>
      </w:r>
    </w:p>
    <w:p>
      <w:pPr>
        <w:pStyle w:val="Heading1"/>
      </w:pPr>
      <w:r>
        <w:t>4.测试统计</w:t>
      </w:r>
    </w:p>
    <w:p>
      <w:pPr>
        <w:pStyle w:val="Heading2"/>
      </w:pPr>
      <w:r>
        <w:t>4.1缺陷整体情况</w:t>
      </w:r>
    </w:p>
    <w:p>
      <w:r>
        <w:rPr>
          <w:rFonts w:ascii="宋体" w:hAnsi="宋体" w:eastAsia="宋体"/>
          <w:sz w:val="21"/>
        </w:rPr>
        <w:t>本轮测试与联调共发现问题6类，均已修复并验证通过。</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268"/>
            <w:vAlign w:val="center"/>
            <w:shd w:fill="D9EAF7"/>
          </w:tcPr>
          <w:p>
            <w:pPr>
              <w:jc w:val="center"/>
            </w:pPr>
            <w:r/>
            <w:r>
              <w:rPr>
                <w:rFonts w:ascii="宋体" w:hAnsi="宋体" w:eastAsia="宋体"/>
                <w:b/>
                <w:sz w:val="21"/>
              </w:rPr>
              <w:t>缺陷类别</w:t>
            </w:r>
          </w:p>
        </w:tc>
        <w:tc>
          <w:tcPr>
            <w:tcW w:type="dxa" w:w="1134"/>
            <w:vAlign w:val="center"/>
            <w:shd w:fill="D9EAF7"/>
          </w:tcPr>
          <w:p>
            <w:pPr>
              <w:jc w:val="center"/>
            </w:pPr>
            <w:r/>
            <w:r>
              <w:rPr>
                <w:rFonts w:ascii="宋体" w:hAnsi="宋体" w:eastAsia="宋体"/>
                <w:b/>
                <w:sz w:val="21"/>
              </w:rPr>
              <w:t>数量</w:t>
            </w:r>
          </w:p>
        </w:tc>
        <w:tc>
          <w:tcPr>
            <w:tcW w:type="dxa" w:w="1701"/>
            <w:vAlign w:val="center"/>
            <w:shd w:fill="D9EAF7"/>
          </w:tcPr>
          <w:p>
            <w:pPr>
              <w:jc w:val="center"/>
            </w:pPr>
            <w:r/>
            <w:r>
              <w:rPr>
                <w:rFonts w:ascii="宋体" w:hAnsi="宋体" w:eastAsia="宋体"/>
                <w:b/>
                <w:sz w:val="21"/>
              </w:rPr>
              <w:t>处理状态</w:t>
            </w:r>
          </w:p>
        </w:tc>
        <w:tc>
          <w:tcPr>
            <w:tcW w:type="dxa" w:w="4535"/>
            <w:vAlign w:val="center"/>
            <w:shd w:fill="D9EAF7"/>
          </w:tcPr>
          <w:p>
            <w:pPr>
              <w:jc w:val="center"/>
            </w:pPr>
            <w:r/>
            <w:r>
              <w:rPr>
                <w:rFonts w:ascii="宋体" w:hAnsi="宋体" w:eastAsia="宋体"/>
                <w:b/>
                <w:sz w:val="21"/>
              </w:rPr>
              <w:t>说明</w:t>
            </w:r>
          </w:p>
        </w:tc>
      </w:tr>
      <w:tr>
        <w:tc>
          <w:tcPr>
            <w:tcW w:type="dxa" w:w="2268"/>
            <w:vAlign w:val="center"/>
          </w:tcPr>
          <w:p>
            <w:pPr>
              <w:jc w:val="center"/>
            </w:pPr>
            <w:r/>
            <w:r>
              <w:rPr>
                <w:rFonts w:ascii="宋体" w:hAnsi="宋体" w:eastAsia="宋体"/>
                <w:b w:val="0"/>
                <w:sz w:val="21"/>
              </w:rPr>
              <w:t>一级Bug</w:t>
            </w:r>
          </w:p>
        </w:tc>
        <w:tc>
          <w:tcPr>
            <w:tcW w:type="dxa" w:w="1134"/>
            <w:vAlign w:val="center"/>
          </w:tcPr>
          <w:p>
            <w:pPr>
              <w:jc w:val="center"/>
            </w:pPr>
            <w:r/>
            <w:r>
              <w:rPr>
                <w:rFonts w:ascii="宋体" w:hAnsi="宋体" w:eastAsia="宋体"/>
                <w:b w:val="0"/>
                <w:sz w:val="21"/>
              </w:rPr>
              <w:t>0</w:t>
            </w:r>
          </w:p>
        </w:tc>
        <w:tc>
          <w:tcPr>
            <w:tcW w:type="dxa" w:w="1701"/>
            <w:vAlign w:val="center"/>
          </w:tcPr>
          <w:p>
            <w:pPr>
              <w:jc w:val="center"/>
            </w:pPr>
            <w:r/>
            <w:r>
              <w:rPr>
                <w:rFonts w:ascii="宋体" w:hAnsi="宋体" w:eastAsia="宋体"/>
                <w:b w:val="0"/>
                <w:sz w:val="21"/>
              </w:rPr>
              <w:t>无</w:t>
            </w:r>
          </w:p>
        </w:tc>
        <w:tc>
          <w:tcPr>
            <w:tcW w:type="dxa" w:w="4535"/>
            <w:vAlign w:val="center"/>
          </w:tcPr>
          <w:p>
            <w:pPr>
              <w:jc w:val="center"/>
            </w:pPr>
            <w:r/>
            <w:r>
              <w:rPr>
                <w:rFonts w:ascii="宋体" w:hAnsi="宋体" w:eastAsia="宋体"/>
                <w:b w:val="0"/>
                <w:sz w:val="21"/>
              </w:rPr>
              <w:t>未发现阻塞性或数据破坏性问题</w:t>
            </w:r>
          </w:p>
        </w:tc>
      </w:tr>
      <w:tr>
        <w:tc>
          <w:tcPr>
            <w:tcW w:type="dxa" w:w="2268"/>
            <w:vAlign w:val="center"/>
          </w:tcPr>
          <w:p>
            <w:pPr>
              <w:jc w:val="center"/>
            </w:pPr>
            <w:r/>
            <w:r>
              <w:rPr>
                <w:rFonts w:ascii="宋体" w:hAnsi="宋体" w:eastAsia="宋体"/>
                <w:b w:val="0"/>
                <w:sz w:val="21"/>
              </w:rPr>
              <w:t>二级Bug</w:t>
            </w:r>
          </w:p>
        </w:tc>
        <w:tc>
          <w:tcPr>
            <w:tcW w:type="dxa" w:w="1134"/>
            <w:vAlign w:val="center"/>
          </w:tcPr>
          <w:p>
            <w:pPr>
              <w:jc w:val="center"/>
            </w:pPr>
            <w:r/>
            <w:r>
              <w:rPr>
                <w:rFonts w:ascii="宋体" w:hAnsi="宋体" w:eastAsia="宋体"/>
                <w:b w:val="0"/>
                <w:sz w:val="21"/>
              </w:rPr>
              <w:t>2</w:t>
            </w:r>
          </w:p>
        </w:tc>
        <w:tc>
          <w:tcPr>
            <w:tcW w:type="dxa" w:w="1701"/>
            <w:vAlign w:val="center"/>
          </w:tcPr>
          <w:p>
            <w:pPr>
              <w:jc w:val="center"/>
            </w:pPr>
            <w:r/>
            <w:r>
              <w:rPr>
                <w:rFonts w:ascii="宋体" w:hAnsi="宋体" w:eastAsia="宋体"/>
                <w:b w:val="0"/>
                <w:sz w:val="21"/>
              </w:rPr>
              <w:t>已修复</w:t>
            </w:r>
          </w:p>
        </w:tc>
        <w:tc>
          <w:tcPr>
            <w:tcW w:type="dxa" w:w="4535"/>
            <w:vAlign w:val="center"/>
          </w:tcPr>
          <w:p>
            <w:pPr>
              <w:jc w:val="center"/>
            </w:pPr>
            <w:r/>
            <w:r>
              <w:rPr>
                <w:rFonts w:ascii="宋体" w:hAnsi="宋体" w:eastAsia="宋体"/>
                <w:b w:val="0"/>
                <w:sz w:val="21"/>
              </w:rPr>
              <w:t>邮件状态误识别、周报重复点击不生成新队列</w:t>
            </w:r>
          </w:p>
        </w:tc>
      </w:tr>
      <w:tr>
        <w:tc>
          <w:tcPr>
            <w:tcW w:type="dxa" w:w="2268"/>
            <w:vAlign w:val="center"/>
          </w:tcPr>
          <w:p>
            <w:pPr>
              <w:jc w:val="center"/>
            </w:pPr>
            <w:r/>
            <w:r>
              <w:rPr>
                <w:rFonts w:ascii="宋体" w:hAnsi="宋体" w:eastAsia="宋体"/>
                <w:b w:val="0"/>
                <w:sz w:val="21"/>
              </w:rPr>
              <w:t>三级Bug</w:t>
            </w:r>
          </w:p>
        </w:tc>
        <w:tc>
          <w:tcPr>
            <w:tcW w:type="dxa" w:w="1134"/>
            <w:vAlign w:val="center"/>
          </w:tcPr>
          <w:p>
            <w:pPr>
              <w:jc w:val="center"/>
            </w:pPr>
            <w:r/>
            <w:r>
              <w:rPr>
                <w:rFonts w:ascii="宋体" w:hAnsi="宋体" w:eastAsia="宋体"/>
                <w:b w:val="0"/>
                <w:sz w:val="21"/>
              </w:rPr>
              <w:t>4</w:t>
            </w:r>
          </w:p>
        </w:tc>
        <w:tc>
          <w:tcPr>
            <w:tcW w:type="dxa" w:w="1701"/>
            <w:vAlign w:val="center"/>
          </w:tcPr>
          <w:p>
            <w:pPr>
              <w:jc w:val="center"/>
            </w:pPr>
            <w:r/>
            <w:r>
              <w:rPr>
                <w:rFonts w:ascii="宋体" w:hAnsi="宋体" w:eastAsia="宋体"/>
                <w:b w:val="0"/>
                <w:sz w:val="21"/>
              </w:rPr>
              <w:t>已修复</w:t>
            </w:r>
          </w:p>
        </w:tc>
        <w:tc>
          <w:tcPr>
            <w:tcW w:type="dxa" w:w="4535"/>
            <w:vAlign w:val="center"/>
          </w:tcPr>
          <w:p>
            <w:pPr>
              <w:jc w:val="center"/>
            </w:pPr>
            <w:r/>
            <w:r>
              <w:rPr>
                <w:rFonts w:ascii="宋体" w:hAnsi="宋体" w:eastAsia="宋体"/>
                <w:b w:val="0"/>
                <w:sz w:val="21"/>
              </w:rPr>
              <w:t>外发队列状态显示、限频提示、前端表单警告、异常合并策略</w:t>
            </w:r>
          </w:p>
        </w:tc>
      </w:tr>
      <w:tr>
        <w:tc>
          <w:tcPr>
            <w:tcW w:type="dxa" w:w="2268"/>
            <w:vAlign w:val="center"/>
          </w:tcPr>
          <w:p>
            <w:pPr>
              <w:jc w:val="center"/>
            </w:pPr>
            <w:r/>
            <w:r>
              <w:rPr>
                <w:rFonts w:ascii="宋体" w:hAnsi="宋体" w:eastAsia="宋体"/>
                <w:b w:val="0"/>
                <w:sz w:val="21"/>
              </w:rPr>
              <w:t>四级Bug</w:t>
            </w:r>
          </w:p>
        </w:tc>
        <w:tc>
          <w:tcPr>
            <w:tcW w:type="dxa" w:w="1134"/>
            <w:vAlign w:val="center"/>
          </w:tcPr>
          <w:p>
            <w:pPr>
              <w:jc w:val="center"/>
            </w:pPr>
            <w:r/>
            <w:r>
              <w:rPr>
                <w:rFonts w:ascii="宋体" w:hAnsi="宋体" w:eastAsia="宋体"/>
                <w:b w:val="0"/>
                <w:sz w:val="21"/>
              </w:rPr>
              <w:t>0</w:t>
            </w:r>
          </w:p>
        </w:tc>
        <w:tc>
          <w:tcPr>
            <w:tcW w:type="dxa" w:w="1701"/>
            <w:vAlign w:val="center"/>
          </w:tcPr>
          <w:p>
            <w:pPr>
              <w:jc w:val="center"/>
            </w:pPr>
            <w:r/>
            <w:r>
              <w:rPr>
                <w:rFonts w:ascii="宋体" w:hAnsi="宋体" w:eastAsia="宋体"/>
                <w:b w:val="0"/>
                <w:sz w:val="21"/>
              </w:rPr>
              <w:t>无</w:t>
            </w:r>
          </w:p>
        </w:tc>
        <w:tc>
          <w:tcPr>
            <w:tcW w:type="dxa" w:w="4535"/>
            <w:vAlign w:val="center"/>
          </w:tcPr>
          <w:p>
            <w:pPr>
              <w:jc w:val="center"/>
            </w:pPr>
            <w:r/>
            <w:r>
              <w:rPr>
                <w:rFonts w:ascii="宋体" w:hAnsi="宋体" w:eastAsia="宋体"/>
                <w:b w:val="0"/>
                <w:sz w:val="21"/>
              </w:rPr>
              <w:t>未单独统计低优先级展示问题</w:t>
            </w:r>
          </w:p>
        </w:tc>
      </w:tr>
    </w:tbl>
    <w:p>
      <w:pPr>
        <w:pStyle w:val="Heading2"/>
      </w:pPr>
      <w:r>
        <w:t>4.2崩溃性Bug统计</w:t>
      </w:r>
    </w:p>
    <w:p>
      <w:r>
        <w:rPr>
          <w:rFonts w:ascii="宋体" w:hAnsi="宋体" w:eastAsia="宋体"/>
          <w:sz w:val="21"/>
        </w:rPr>
        <w:t>无崩溃性 BUG。自动化测试和本地服务运行过程中未出现后端进程崩溃或数据库损坏。</w:t>
      </w:r>
    </w:p>
    <w:p>
      <w:pPr>
        <w:pStyle w:val="Heading2"/>
      </w:pPr>
      <w:r>
        <w:t>4.3自动化测试统计</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3402"/>
            <w:vAlign w:val="center"/>
            <w:shd w:fill="D9EAF7"/>
          </w:tcPr>
          <w:p>
            <w:pPr>
              <w:jc w:val="center"/>
            </w:pPr>
            <w:r/>
            <w:r>
              <w:rPr>
                <w:rFonts w:ascii="宋体" w:hAnsi="宋体" w:eastAsia="宋体"/>
                <w:b/>
                <w:sz w:val="21"/>
              </w:rPr>
              <w:t>测试命令</w:t>
            </w:r>
          </w:p>
        </w:tc>
        <w:tc>
          <w:tcPr>
            <w:tcW w:type="dxa" w:w="2268"/>
            <w:vAlign w:val="center"/>
            <w:shd w:fill="D9EAF7"/>
          </w:tcPr>
          <w:p>
            <w:pPr>
              <w:jc w:val="center"/>
            </w:pPr>
            <w:r/>
            <w:r>
              <w:rPr>
                <w:rFonts w:ascii="宋体" w:hAnsi="宋体" w:eastAsia="宋体"/>
                <w:b/>
                <w:sz w:val="21"/>
              </w:rPr>
              <w:t>用例数</w:t>
            </w:r>
          </w:p>
        </w:tc>
        <w:tc>
          <w:tcPr>
            <w:tcW w:type="dxa" w:w="1134"/>
            <w:vAlign w:val="center"/>
            <w:shd w:fill="D9EAF7"/>
          </w:tcPr>
          <w:p>
            <w:pPr>
              <w:jc w:val="center"/>
            </w:pPr>
            <w:r/>
            <w:r>
              <w:rPr>
                <w:rFonts w:ascii="宋体" w:hAnsi="宋体" w:eastAsia="宋体"/>
                <w:b/>
                <w:sz w:val="21"/>
              </w:rPr>
              <w:t>通过</w:t>
            </w:r>
          </w:p>
        </w:tc>
        <w:tc>
          <w:tcPr>
            <w:tcW w:type="dxa" w:w="1134"/>
            <w:vAlign w:val="center"/>
            <w:shd w:fill="D9EAF7"/>
          </w:tcPr>
          <w:p>
            <w:pPr>
              <w:jc w:val="center"/>
            </w:pPr>
            <w:r/>
            <w:r>
              <w:rPr>
                <w:rFonts w:ascii="宋体" w:hAnsi="宋体" w:eastAsia="宋体"/>
                <w:b/>
                <w:sz w:val="21"/>
              </w:rPr>
              <w:t>失败</w:t>
            </w:r>
          </w:p>
        </w:tc>
        <w:tc>
          <w:tcPr>
            <w:tcW w:type="dxa" w:w="1134"/>
            <w:vAlign w:val="center"/>
            <w:shd w:fill="D9EAF7"/>
          </w:tcPr>
          <w:p>
            <w:pPr>
              <w:jc w:val="center"/>
            </w:pPr>
            <w:r/>
            <w:r>
              <w:rPr>
                <w:rFonts w:ascii="宋体" w:hAnsi="宋体" w:eastAsia="宋体"/>
                <w:b/>
                <w:sz w:val="21"/>
              </w:rPr>
              <w:t>结论</w:t>
            </w:r>
          </w:p>
        </w:tc>
      </w:tr>
      <w:tr>
        <w:tc>
          <w:tcPr>
            <w:tcW w:type="dxa" w:w="3402"/>
            <w:vAlign w:val="center"/>
          </w:tcPr>
          <w:p>
            <w:pPr>
              <w:jc w:val="center"/>
            </w:pPr>
            <w:r/>
            <w:r>
              <w:rPr>
                <w:rFonts w:ascii="宋体" w:hAnsi="宋体" w:eastAsia="宋体"/>
                <w:b w:val="0"/>
                <w:sz w:val="21"/>
              </w:rPr>
              <w:t>python3 -m pytest</w:t>
            </w:r>
          </w:p>
        </w:tc>
        <w:tc>
          <w:tcPr>
            <w:tcW w:type="dxa" w:w="2268"/>
            <w:vAlign w:val="center"/>
          </w:tcPr>
          <w:p>
            <w:pPr>
              <w:jc w:val="center"/>
            </w:pPr>
            <w:r/>
            <w:r>
              <w:rPr>
                <w:rFonts w:ascii="宋体" w:hAnsi="宋体" w:eastAsia="宋体"/>
                <w:b w:val="0"/>
                <w:sz w:val="21"/>
              </w:rPr>
              <w:t>40</w:t>
            </w:r>
          </w:p>
        </w:tc>
        <w:tc>
          <w:tcPr>
            <w:tcW w:type="dxa" w:w="1134"/>
            <w:vAlign w:val="center"/>
          </w:tcPr>
          <w:p>
            <w:pPr>
              <w:jc w:val="center"/>
            </w:pPr>
            <w:r/>
            <w:r>
              <w:rPr>
                <w:rFonts w:ascii="宋体" w:hAnsi="宋体" w:eastAsia="宋体"/>
                <w:b w:val="0"/>
                <w:sz w:val="21"/>
              </w:rPr>
              <w:t>40</w:t>
            </w:r>
          </w:p>
        </w:tc>
        <w:tc>
          <w:tcPr>
            <w:tcW w:type="dxa" w:w="1134"/>
            <w:vAlign w:val="center"/>
          </w:tcPr>
          <w:p>
            <w:pPr>
              <w:jc w:val="center"/>
            </w:pPr>
            <w:r/>
            <w:r>
              <w:rPr>
                <w:rFonts w:ascii="宋体" w:hAnsi="宋体" w:eastAsia="宋体"/>
                <w:b w:val="0"/>
                <w:sz w:val="21"/>
              </w:rPr>
              <w:t>0</w:t>
            </w:r>
          </w:p>
        </w:tc>
        <w:tc>
          <w:tcPr>
            <w:tcW w:type="dxa" w:w="1134"/>
            <w:vAlign w:val="center"/>
          </w:tcPr>
          <w:p>
            <w:pPr>
              <w:jc w:val="center"/>
            </w:pPr>
            <w:r/>
            <w:r>
              <w:rPr>
                <w:rFonts w:ascii="宋体" w:hAnsi="宋体" w:eastAsia="宋体"/>
                <w:b w:val="0"/>
                <w:sz w:val="21"/>
              </w:rPr>
              <w:t>通过</w:t>
            </w:r>
          </w:p>
        </w:tc>
      </w:tr>
      <w:tr>
        <w:tc>
          <w:tcPr>
            <w:tcW w:type="dxa" w:w="3402"/>
            <w:vAlign w:val="center"/>
          </w:tcPr>
          <w:p>
            <w:pPr>
              <w:jc w:val="center"/>
            </w:pPr>
            <w:r/>
            <w:r>
              <w:rPr>
                <w:rFonts w:ascii="宋体" w:hAnsi="宋体" w:eastAsia="宋体"/>
                <w:b w:val="0"/>
                <w:sz w:val="21"/>
              </w:rPr>
              <w:t>python3 -m compileall backend/app</w:t>
            </w:r>
          </w:p>
        </w:tc>
        <w:tc>
          <w:tcPr>
            <w:tcW w:type="dxa" w:w="2268"/>
            <w:vAlign w:val="center"/>
          </w:tcPr>
          <w:p>
            <w:pPr>
              <w:jc w:val="center"/>
            </w:pPr>
            <w:r/>
            <w:r>
              <w:rPr>
                <w:rFonts w:ascii="宋体" w:hAnsi="宋体" w:eastAsia="宋体"/>
                <w:b w:val="0"/>
                <w:sz w:val="21"/>
              </w:rPr>
              <w:t>后端模块编译检查</w:t>
            </w:r>
          </w:p>
        </w:tc>
        <w:tc>
          <w:tcPr>
            <w:tcW w:type="dxa" w:w="1134"/>
            <w:vAlign w:val="center"/>
          </w:tcPr>
          <w:p>
            <w:pPr>
              <w:jc w:val="center"/>
            </w:pPr>
            <w:r/>
            <w:r>
              <w:rPr>
                <w:rFonts w:ascii="宋体" w:hAnsi="宋体" w:eastAsia="宋体"/>
                <w:b w:val="0"/>
                <w:sz w:val="21"/>
              </w:rPr>
              <w:t>通过</w:t>
            </w:r>
          </w:p>
        </w:tc>
        <w:tc>
          <w:tcPr>
            <w:tcW w:type="dxa" w:w="1134"/>
            <w:vAlign w:val="center"/>
          </w:tcPr>
          <w:p>
            <w:pPr>
              <w:jc w:val="center"/>
            </w:pPr>
            <w:r/>
            <w:r>
              <w:rPr>
                <w:rFonts w:ascii="宋体" w:hAnsi="宋体" w:eastAsia="宋体"/>
                <w:b w:val="0"/>
                <w:sz w:val="21"/>
              </w:rPr>
              <w:t>0</w:t>
            </w:r>
          </w:p>
        </w:tc>
        <w:tc>
          <w:tcPr>
            <w:tcW w:type="dxa" w:w="1134"/>
            <w:vAlign w:val="center"/>
          </w:tcPr>
          <w:p>
            <w:pPr>
              <w:jc w:val="center"/>
            </w:pPr>
            <w:r/>
            <w:r>
              <w:rPr>
                <w:rFonts w:ascii="宋体" w:hAnsi="宋体" w:eastAsia="宋体"/>
                <w:b w:val="0"/>
                <w:sz w:val="21"/>
              </w:rPr>
              <w:t>通过</w:t>
            </w:r>
          </w:p>
        </w:tc>
      </w:tr>
      <w:tr>
        <w:tc>
          <w:tcPr>
            <w:tcW w:type="dxa" w:w="3402"/>
            <w:vAlign w:val="center"/>
          </w:tcPr>
          <w:p>
            <w:pPr>
              <w:jc w:val="center"/>
            </w:pPr>
            <w:r/>
            <w:r>
              <w:rPr>
                <w:rFonts w:ascii="宋体" w:hAnsi="宋体" w:eastAsia="宋体"/>
                <w:b w:val="0"/>
                <w:sz w:val="21"/>
              </w:rPr>
              <w:t>node --check backend/app/static/app.js</w:t>
            </w:r>
          </w:p>
        </w:tc>
        <w:tc>
          <w:tcPr>
            <w:tcW w:type="dxa" w:w="2268"/>
            <w:vAlign w:val="center"/>
          </w:tcPr>
          <w:p>
            <w:pPr>
              <w:jc w:val="center"/>
            </w:pPr>
            <w:r/>
            <w:r>
              <w:rPr>
                <w:rFonts w:ascii="宋体" w:hAnsi="宋体" w:eastAsia="宋体"/>
                <w:b w:val="0"/>
                <w:sz w:val="21"/>
              </w:rPr>
              <w:t>前端脚本语法检查</w:t>
            </w:r>
          </w:p>
        </w:tc>
        <w:tc>
          <w:tcPr>
            <w:tcW w:type="dxa" w:w="1134"/>
            <w:vAlign w:val="center"/>
          </w:tcPr>
          <w:p>
            <w:pPr>
              <w:jc w:val="center"/>
            </w:pPr>
            <w:r/>
            <w:r>
              <w:rPr>
                <w:rFonts w:ascii="宋体" w:hAnsi="宋体" w:eastAsia="宋体"/>
                <w:b w:val="0"/>
                <w:sz w:val="21"/>
              </w:rPr>
              <w:t>通过</w:t>
            </w:r>
          </w:p>
        </w:tc>
        <w:tc>
          <w:tcPr>
            <w:tcW w:type="dxa" w:w="1134"/>
            <w:vAlign w:val="center"/>
          </w:tcPr>
          <w:p>
            <w:pPr>
              <w:jc w:val="center"/>
            </w:pPr>
            <w:r/>
            <w:r>
              <w:rPr>
                <w:rFonts w:ascii="宋体" w:hAnsi="宋体" w:eastAsia="宋体"/>
                <w:b w:val="0"/>
                <w:sz w:val="21"/>
              </w:rPr>
              <w:t>0</w:t>
            </w:r>
          </w:p>
        </w:tc>
        <w:tc>
          <w:tcPr>
            <w:tcW w:type="dxa" w:w="1134"/>
            <w:vAlign w:val="center"/>
          </w:tcPr>
          <w:p>
            <w:pPr>
              <w:jc w:val="center"/>
            </w:pPr>
            <w:r/>
            <w:r>
              <w:rPr>
                <w:rFonts w:ascii="宋体" w:hAnsi="宋体" w:eastAsia="宋体"/>
                <w:b w:val="0"/>
                <w:sz w:val="21"/>
              </w:rPr>
              <w:t>通过</w:t>
            </w:r>
          </w:p>
        </w:tc>
      </w:tr>
    </w:tbl>
    <w:p>
      <w:pPr>
        <w:pStyle w:val="Heading1"/>
      </w:pPr>
      <w:r>
        <w:t>5.测试结论</w:t>
      </w:r>
    </w:p>
    <w:p>
      <w:r>
        <w:rPr>
          <w:rFonts w:ascii="宋体" w:hAnsi="宋体" w:eastAsia="宋体"/>
          <w:sz w:val="21"/>
        </w:rPr>
        <w:t>依据《商务生产任务单智能体 PRD 评审版 v0.2》、MVP任务列表、技术方案及相关测试用例，对商务生产任务单智能体软件进行了系统功能、接口集成、兼容性、可靠性和安全配置测试，认为商务生产任务单智能体软件：</w:t>
      </w:r>
    </w:p>
    <w:p>
      <w:r>
        <w:rPr>
          <w:rFonts w:ascii="宋体" w:hAnsi="宋体" w:eastAsia="宋体"/>
          <w:sz w:val="21"/>
        </w:rPr>
        <w:t>1) 满足MVP阶段对销售订单邮件自动接收、初审、任务单生成、生产沟通、销售补充、生产确认和周报统计的主要需求。</w:t>
      </w:r>
    </w:p>
    <w:p>
      <w:r>
        <w:rPr>
          <w:rFonts w:ascii="宋体" w:hAnsi="宋体" w:eastAsia="宋体"/>
          <w:sz w:val="21"/>
        </w:rPr>
        <w:t>2) 满足GB/T 25000.51-2016中功能性、兼容性、可靠性、性能效率等相关测试关注点的MVP阶段验证要求。</w:t>
      </w:r>
    </w:p>
    <w:p>
      <w:r>
        <w:rPr>
          <w:rFonts w:ascii="宋体" w:hAnsi="宋体" w:eastAsia="宋体"/>
          <w:sz w:val="21"/>
        </w:rPr>
        <w:t>3) 支持腾讯企业邮箱IMAP/SMTP真实接入、外部模型Provider可配置、附件解析、异常闭环和自动外发队列，具备进入试运行和进一步业务验收的条件。</w:t>
      </w:r>
    </w:p>
    <w:p>
      <w:r>
        <w:rPr>
          <w:rFonts w:ascii="宋体" w:hAnsi="宋体" w:eastAsia="宋体"/>
          <w:sz w:val="21"/>
        </w:rPr>
        <w:t>本次确认测试发现的问题均已修复并完成回归测试，无遗留阻塞问题。按照MVP阶段要求，商务生产任务单智能体软件整体测试结论为通过。</w:t>
      </w:r>
    </w:p>
    <w:sectPr w:rsidR="00FC693F" w:rsidRPr="0006063C" w:rsidSect="00034616">
      <w:pgSz w:w="12240" w:h="15840"/>
      <w:pgMar w:top="1304"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商务生产任务单智能体软件测试报告</w:t>
    </w:r>
    <w:r>
      <w:rPr>
        <w:rFonts w:ascii="宋体" w:hAnsi="宋体" w:eastAsia="宋体"/>
        <w:sz w:val="18"/>
      </w:rPr>
      <w:t>商务生产任务单智能体软件测试报告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