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X5dabc02e4d2cca01e09b3cc60717b7267a0c03e"/>
    <w:p>
      <w:pPr>
        <w:pStyle w:val="Heading1"/>
      </w:pPr>
      <w:r>
        <w:t xml:space="preserve">Evaluating Annotation Frameworks for a Consumer Genome CSV</w:t>
      </w:r>
    </w:p>
    <w:bookmarkStart w:id="23" w:name="X3015ea2f0c390309968b68d4a7795d567a24ea9"/>
    <w:p>
      <w:pPr>
        <w:pStyle w:val="Heading2"/>
      </w:pPr>
      <w:r>
        <w:t xml:space="preserve">The real bottleneck is variant representation</w:t>
      </w:r>
    </w:p>
    <w:p>
      <w:pPr>
        <w:pStyle w:val="FirstParagraph"/>
      </w:pPr>
      <w:r>
        <w:t xml:space="preserve">For your use case, the main problem is not “which tool is best” in the abstract. It is that your starting file is a consumer-style CSV with</w:t>
      </w:r>
      <w:r>
        <w:t xml:space="preserve"> </w:t>
      </w:r>
      <w:r>
        <w:rPr>
          <w:rStyle w:val="VerbatimChar"/>
        </w:rPr>
        <w:t xml:space="preserve">rsid, chromosome, position, genotype</w:t>
      </w:r>
      <w:r>
        <w:t xml:space="preserve">, while a large part of the clinical-annotation ecosystem expects either explicit REF/ALT alleles, a normalized VCF, or an ANNOVAR-style coordinate record. Ensembl VEP is unusually flexible because both its web and command-line interfaces accept variant identifiers, HGVS, VCF, SPDI, and region-style inputs, but even VEP documents that VCF is the recommended format and that identifier-based annotation is slower because it requires location lookup. ANNOVAR’s native input is five-column</w:t>
      </w:r>
      <w:r>
        <w:t xml:space="preserve"> </w:t>
      </w:r>
      <w:r>
        <w:rPr>
          <w:rStyle w:val="VerbatimChar"/>
        </w:rPr>
        <w:t xml:space="preserve">avinput</w:t>
      </w:r>
      <w:r>
        <w:t xml:space="preserve"> </w:t>
      </w:r>
      <w:r>
        <w:t xml:space="preserve">with chromosome, start, end, ref, and alt; OpenCRAVAT’s CRAVAT format also requires chromosome, position, strand, ref, and alt; PharmCAT takes VCF as input; and CharGer’s own preparation guide starts from a normalized VCF that is then annotated with VEP.</w:t>
      </w:r>
      <w:r>
        <w:t xml:space="preserve"> </w:t>
      </w:r>
      <w:hyperlink r:id="rId21">
        <w:r>
          <w:rPr>
            <w:rStyle w:val="Hyperlink"/>
          </w:rPr>
          <w:t xml:space="preserve">[1]</w:t>
        </w:r>
      </w:hyperlink>
    </w:p>
    <w:p>
      <w:pPr>
        <w:pStyle w:val="BodyText"/>
      </w:pPr>
      <w:r>
        <w:t xml:space="preserve">That is why your research direction is correct: the comparison should be framed as</w:t>
      </w:r>
      <w:r>
        <w:t xml:space="preserve"> </w:t>
      </w:r>
      <w:r>
        <w:rPr>
          <w:b/>
          <w:bCs/>
        </w:rPr>
        <w:t xml:space="preserve">adapter design across framework types</w:t>
      </w:r>
      <w:r>
        <w:t xml:space="preserve">, not as a beauty contest between tools. The Reddit thread you shared is actually a useful calibration point here: ANNOVAR+InterVar was suggested as a practical starting point, but the dominant message was that software output still does not equal clinical interpretation. fileciteturn0file1</w:t>
      </w:r>
    </w:p>
    <w:p>
      <w:pPr>
        <w:pStyle w:val="BodyText"/>
      </w:pPr>
      <w:r>
        <w:t xml:space="preserve">The most useful mental split is into four families. First are</w:t>
      </w:r>
      <w:r>
        <w:t xml:space="preserve"> </w:t>
      </w:r>
      <w:r>
        <w:rPr>
          <w:b/>
          <w:bCs/>
        </w:rPr>
        <w:t xml:space="preserve">variant effect annotators</w:t>
      </w:r>
      <w:r>
        <w:t xml:space="preserve">, which map a variant to genes, transcripts, consequences, frequencies, and prediction features. Second are</w:t>
      </w:r>
      <w:r>
        <w:t xml:space="preserve"> </w:t>
      </w:r>
      <w:r>
        <w:rPr>
          <w:b/>
          <w:bCs/>
        </w:rPr>
        <w:t xml:space="preserve">lookup and enrichment APIs</w:t>
      </w:r>
      <w:r>
        <w:t xml:space="preserve">, which are excellent for adding links, summaries, and extra fields but are not the main file-processing engine. Third are</w:t>
      </w:r>
      <w:r>
        <w:t xml:space="preserve"> </w:t>
      </w:r>
      <w:r>
        <w:rPr>
          <w:b/>
          <w:bCs/>
        </w:rPr>
        <w:t xml:space="preserve">clinical classification layers</w:t>
      </w:r>
      <w:r>
        <w:t xml:space="preserve">, which try to turn normalized variant evidence into ACMG-style calls. Fourth are</w:t>
      </w:r>
      <w:r>
        <w:t xml:space="preserve"> </w:t>
      </w:r>
      <w:r>
        <w:rPr>
          <w:b/>
          <w:bCs/>
        </w:rPr>
        <w:t xml:space="preserve">PGx tools</w:t>
      </w:r>
      <w:r>
        <w:t xml:space="preserve">, which are specialized for diplotypes, phenotypes, and prescribing guidance rather than general pathogenicity. Official documentation makes it clear that VEP, ANNOVAR, and OpenCRAVAT live in the first family; MyVariant.info and MyGene.info in the second; InterVar, AutoGVP, and CharGer in the third; and PharmCAT in the fourth.</w:t>
      </w:r>
      <w:r>
        <w:t xml:space="preserve"> </w:t>
      </w:r>
      <w:hyperlink r:id="rId22">
        <w:r>
          <w:rPr>
            <w:rStyle w:val="Hyperlink"/>
          </w:rPr>
          <w:t xml:space="preserve">[2]</w:t>
        </w:r>
      </w:hyperlink>
    </w:p>
    <w:bookmarkEnd w:id="23"/>
    <w:bookmarkStart w:id="27" w:name="X1264f09b327c4ce21367fb8de6bb005f63d33a7"/>
    <w:p>
      <w:pPr>
        <w:pStyle w:val="Heading2"/>
      </w:pPr>
      <w:r>
        <w:t xml:space="preserve">These frameworks are not doing the same job</w:t>
      </w:r>
    </w:p>
    <w:p>
      <w:pPr>
        <w:pStyle w:val="FirstParagraph"/>
      </w:pPr>
      <w:r>
        <w:t xml:space="preserve">The most important distinction is between</w:t>
      </w:r>
      <w:r>
        <w:t xml:space="preserve"> </w:t>
      </w:r>
      <w:r>
        <w:rPr>
          <w:b/>
          <w:bCs/>
        </w:rPr>
        <w:t xml:space="preserve">annotation</w:t>
      </w:r>
      <w:r>
        <w:t xml:space="preserve"> </w:t>
      </w:r>
      <w:r>
        <w:t xml:space="preserve">and</w:t>
      </w:r>
      <w:r>
        <w:t xml:space="preserve"> </w:t>
      </w:r>
      <w:r>
        <w:rPr>
          <w:b/>
          <w:bCs/>
        </w:rPr>
        <w:t xml:space="preserve">classification</w:t>
      </w:r>
      <w:r>
        <w:t xml:space="preserve">. Ensembl VEP, ANNOVAR, and OpenCRAVAT all annotate variants, but they do it with different execution models. VEP is a transcript-centric effect annotator with official REST, local CLI, and Docker paths. ANNOVAR is a standalone Perl toolkit that composes gene-based, region-based, and filter-based annotations from local databases. OpenCRAVAT is a modular execution framework built around converters, mappers, annotators, and reporters. They overlap in output themes, but they are not interchangeable systems with the same adapter assumptions.</w:t>
      </w:r>
      <w:r>
        <w:t xml:space="preserve"> </w:t>
      </w:r>
      <w:hyperlink r:id="rId22">
        <w:r>
          <w:rPr>
            <w:rStyle w:val="Hyperlink"/>
          </w:rPr>
          <w:t xml:space="preserve">[3]</w:t>
        </w:r>
      </w:hyperlink>
    </w:p>
    <w:p>
      <w:pPr>
        <w:pStyle w:val="BodyText"/>
      </w:pPr>
      <w:r>
        <w:t xml:space="preserve">MyVariant.info and MyGene.info are different again. They are query services. MyVariant.info supports rsID search and batch POST queries through</w:t>
      </w:r>
      <w:r>
        <w:t xml:space="preserve"> </w:t>
      </w:r>
      <w:r>
        <w:rPr>
          <w:rStyle w:val="VerbatimChar"/>
        </w:rPr>
        <w:t xml:space="preserve">scopes=dbsnp.rsid</w:t>
      </w:r>
      <w:r>
        <w:t xml:space="preserve">, while MyGene.info supports batch gene queries with configurable</w:t>
      </w:r>
      <w:r>
        <w:t xml:space="preserve"> </w:t>
      </w:r>
      <w:r>
        <w:rPr>
          <w:rStyle w:val="VerbatimChar"/>
        </w:rPr>
        <w:t xml:space="preserve">scopes</w:t>
      </w:r>
      <w:r>
        <w:t xml:space="preserve">,</w:t>
      </w:r>
      <w:r>
        <w:t xml:space="preserve"> </w:t>
      </w:r>
      <w:r>
        <w:rPr>
          <w:rStyle w:val="VerbatimChar"/>
        </w:rPr>
        <w:t xml:space="preserve">species</w:t>
      </w:r>
      <w:r>
        <w:t xml:space="preserve">, and</w:t>
      </w:r>
      <w:r>
        <w:t xml:space="preserve"> </w:t>
      </w:r>
      <w:r>
        <w:rPr>
          <w:rStyle w:val="VerbatimChar"/>
        </w:rPr>
        <w:t xml:space="preserve">fields</w:t>
      </w:r>
      <w:r>
        <w:t xml:space="preserve">. That makes them excellent enrichment layers for a dashboard or chatbot, but not a file-native annotation backbone. They do not solve genotype-to-VCF normalization, transcript consequence modelling, or ACMG classification on their own.</w:t>
      </w:r>
      <w:r>
        <w:t xml:space="preserve"> </w:t>
      </w:r>
      <w:hyperlink r:id="rId24">
        <w:r>
          <w:rPr>
            <w:rStyle w:val="Hyperlink"/>
          </w:rPr>
          <w:t xml:space="preserve">[4]</w:t>
        </w:r>
      </w:hyperlink>
    </w:p>
    <w:p>
      <w:pPr>
        <w:pStyle w:val="BodyText"/>
      </w:pPr>
      <w:r>
        <w:t xml:space="preserve">InterVar, CharGer, and AutoGVP are not backbone annotators either. InterVar explicitly describes itself as a tool for clinical interpretation by ACMG/AMP 2015 guidelines and outputs the five familiar classes together with evidence codes, but it expects either ANNOVAR-format input or VCF and will call ANNOVAR if needed. CharGer classifies germline variants according to ACMG rules, but its own documentation tells users to normalize with</w:t>
      </w:r>
      <w:r>
        <w:t xml:space="preserve"> </w:t>
      </w:r>
      <w:r>
        <w:rPr>
          <w:rStyle w:val="VerbatimChar"/>
        </w:rPr>
        <w:t xml:space="preserve">bcftools norm</w:t>
      </w:r>
      <w:r>
        <w:t xml:space="preserve"> </w:t>
      </w:r>
      <w:r>
        <w:t xml:space="preserve">and annotate with VEP first. AutoGVP is even further downstream: the dockerized workflow requires a VEP-annotated VCF, ANNOVAR multianno output, InterVar output, AutoPVS1 output, and ClinVar-derived support files. These are classification workflows layered on top of upstream normalization and annotation, not drop-in replacements for those upstream steps.</w:t>
      </w:r>
      <w:r>
        <w:t xml:space="preserve"> </w:t>
      </w:r>
      <w:hyperlink r:id="rId25">
        <w:r>
          <w:rPr>
            <w:rStyle w:val="Hyperlink"/>
          </w:rPr>
          <w:t xml:space="preserve">[5]</w:t>
        </w:r>
      </w:hyperlink>
    </w:p>
    <w:p>
      <w:pPr>
        <w:pStyle w:val="BodyText"/>
      </w:pPr>
      <w:r>
        <w:t xml:space="preserve">PharmCAT is in its own lane. The official docs are explicit that PharmCAT takes VCF files, runs a Named Allele Matcher, then a Phenotyper, then a Reporter, and can optionally accept a TSV “outside call” file that overrides or supplements internal calls. Its outputs are matcher JSON, phenotype JSON, HTML report, and optionally a condensed TSV with source diplotype, phenotype, activity score, and recommendation lookup fields. That is perfect for a PGx module, but it is not a general-purpose clinical annotation framework.</w:t>
      </w:r>
      <w:r>
        <w:t xml:space="preserve"> </w:t>
      </w:r>
      <w:hyperlink r:id="rId26">
        <w:r>
          <w:rPr>
            <w:rStyle w:val="Hyperlink"/>
          </w:rPr>
          <w:t xml:space="preserve">[6]</w:t>
        </w:r>
      </w:hyperlink>
    </w:p>
    <w:bookmarkEnd w:id="27"/>
    <w:bookmarkStart w:id="34" w:name="framework-comparison-matrix"/>
    <w:p>
      <w:pPr>
        <w:pStyle w:val="Heading2"/>
      </w:pPr>
      <w:r>
        <w:t xml:space="preserve">Framework comparison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Framework</w:t>
            </w:r>
          </w:p>
        </w:tc>
        <w:tc>
          <w:tcPr/>
          <w:p>
            <w:pPr>
              <w:pStyle w:val="Compact"/>
            </w:pPr>
            <w:r>
              <w:t xml:space="preserve">Best input path from</w:t>
            </w:r>
            <w:r>
              <w:t xml:space="preserve"> </w:t>
            </w:r>
            <w:r>
              <w:rPr>
                <w:rStyle w:val="VerbatimChar"/>
              </w:rPr>
              <w:t xml:space="preserve">rsid, chromosome, position, genotype</w:t>
            </w:r>
          </w:p>
        </w:tc>
        <w:tc>
          <w:tcPr/>
          <w:p>
            <w:pPr>
              <w:pStyle w:val="Compact"/>
            </w:pPr>
            <w:r>
              <w:t xml:space="preserve">Main output</w:t>
            </w:r>
          </w:p>
        </w:tc>
        <w:tc>
          <w:tcPr/>
          <w:p>
            <w:pPr>
              <w:pStyle w:val="Compact"/>
            </w:pPr>
            <w:r>
              <w:t xml:space="preserve">What it is actually good for</w:t>
            </w:r>
          </w:p>
        </w:tc>
        <w:tc>
          <w:tcPr/>
          <w:p>
            <w:pPr>
              <w:pStyle w:val="Compact"/>
            </w:pPr>
            <w:r>
              <w:t xml:space="preserve">Reality check</w:t>
            </w:r>
          </w:p>
        </w:tc>
      </w:tr>
      <w:tr>
        <w:tc>
          <w:tcPr/>
          <w:p>
            <w:pPr>
              <w:pStyle w:val="Compact"/>
            </w:pPr>
            <w:r>
              <w:rPr>
                <w:b/>
                <w:bCs/>
              </w:rPr>
              <w:t xml:space="preserve">VEP REST</w:t>
            </w:r>
            <w:r>
              <w:rPr>
                <w:b/>
                <w:bCs/>
              </w:rPr>
              <w:t xml:space="preserve"> </w:t>
            </w:r>
            <w:r>
              <w:rPr>
                <w:rStyle w:val="VerbatimChar"/>
                <w:b/>
                <w:bCs/>
              </w:rPr>
              <w:t xml:space="preserve">/vep/id</w:t>
            </w:r>
            <w:r>
              <w:rPr>
                <w:b/>
                <w:bCs/>
              </w:rPr>
              <w:t xml:space="preserve"> </w:t>
            </w:r>
            <w:r>
              <w:rPr>
                <w:b/>
                <w:bCs/>
              </w:rPr>
              <w:t xml:space="preserve">+ Variant Recoder</w:t>
            </w:r>
          </w:p>
        </w:tc>
        <w:tc>
          <w:tcPr/>
          <w:p>
            <w:pPr>
              <w:pStyle w:val="Compact"/>
            </w:pPr>
            <w:r>
              <w:t xml:space="preserve">Direct rsID pilot is feasible.</w:t>
            </w:r>
            <w:r>
              <w:t xml:space="preserve"> </w:t>
            </w:r>
            <w:r>
              <w:rPr>
                <w:rStyle w:val="VerbatimChar"/>
              </w:rPr>
              <w:t xml:space="preserve">/vep/id</w:t>
            </w:r>
            <w:r>
              <w:t xml:space="preserve"> </w:t>
            </w:r>
            <w:r>
              <w:t xml:space="preserve">accepts batches of identifiers, and Variant Recoder accepts identifiers, HGVS, or SPDI and can emit IDs, HGVS, SPDI, and optional VCF strings.</w:t>
            </w:r>
          </w:p>
        </w:tc>
        <w:tc>
          <w:tcPr/>
          <w:p>
            <w:pPr>
              <w:pStyle w:val="Compact"/>
            </w:pPr>
            <w:r>
              <w:rPr>
                <w:rStyle w:val="VerbatimChar"/>
              </w:rPr>
              <w:t xml:space="preserve">/vep/id</w:t>
            </w:r>
            <w:r>
              <w:t xml:space="preserve"> </w:t>
            </w:r>
            <w:r>
              <w:t xml:space="preserve">gives transcript/consequence-focused JSON; Variant Recoder gives normalization-oriented mappings.</w:t>
            </w:r>
          </w:p>
        </w:tc>
        <w:tc>
          <w:tcPr/>
          <w:p>
            <w:pPr>
              <w:pStyle w:val="Compact"/>
            </w:pPr>
            <w:r>
              <w:t xml:space="preserve">Best first adapter experiment for a selected rsID test set because it lets you annotate and normalize before building a full VCF path.</w:t>
            </w:r>
          </w:p>
        </w:tc>
        <w:tc>
          <w:tcPr/>
          <w:p>
            <w:pPr>
              <w:pStyle w:val="Compact"/>
            </w:pPr>
            <w:r>
              <w:t xml:space="preserve">Great for a 40-variant prototype, but Recoder is not offline and the REST docs list a max POST size of 200; use local VEP for heavier or production work.</w:t>
            </w:r>
            <w:r>
              <w:t xml:space="preserve"> </w:t>
            </w:r>
            <w:hyperlink r:id="rId28">
              <w:r>
                <w:rPr>
                  <w:rStyle w:val="Hyperlink"/>
                </w:rPr>
                <w:t xml:space="preserve">[7]</w:t>
              </w:r>
            </w:hyperlink>
          </w:p>
        </w:tc>
      </w:tr>
      <w:tr>
        <w:tc>
          <w:tcPr/>
          <w:p>
            <w:pPr>
              <w:pStyle w:val="Compact"/>
            </w:pPr>
            <w:r>
              <w:rPr>
                <w:b/>
                <w:bCs/>
              </w:rPr>
              <w:t xml:space="preserve">VEP Docker/local CLI</w:t>
            </w:r>
          </w:p>
        </w:tc>
        <w:tc>
          <w:tcPr/>
          <w:p>
            <w:pPr>
              <w:pStyle w:val="Compact"/>
            </w:pPr>
            <w:r>
              <w:t xml:space="preserve">Can accept the same input families as VEP generally, including variant identifiers, VCF, HGVS, SPDI, and region-style inputs.</w:t>
            </w:r>
          </w:p>
        </w:tc>
        <w:tc>
          <w:tcPr/>
          <w:p>
            <w:pPr>
              <w:pStyle w:val="Compact"/>
            </w:pPr>
            <w:r>
              <w:t xml:space="preserve">Rich consequence output in tabular, VCF, or JSON-compatible forms; can use</w:t>
            </w:r>
            <w:r>
              <w:t xml:space="preserve"> </w:t>
            </w:r>
            <w:r>
              <w:rPr>
                <w:rStyle w:val="VerbatimChar"/>
              </w:rPr>
              <w:t xml:space="preserve">pick</w:t>
            </w:r>
            <w:r>
              <w:t xml:space="preserve"> </w:t>
            </w:r>
            <w:r>
              <w:t xml:space="preserve">to reduce to one block per variant.</w:t>
            </w:r>
          </w:p>
        </w:tc>
        <w:tc>
          <w:tcPr/>
          <w:p>
            <w:pPr>
              <w:pStyle w:val="Compact"/>
            </w:pPr>
            <w:r>
              <w:t xml:space="preserve">Strongest production-backbone candidate because it has official Docker, local cache installation, and one maintained engine across prototype and production.</w:t>
            </w:r>
          </w:p>
        </w:tc>
        <w:tc>
          <w:tcPr/>
          <w:p>
            <w:pPr>
              <w:pStyle w:val="Compact"/>
            </w:pPr>
            <w:r>
              <w:t xml:space="preserve">Identifier input is convenient for pilots, but VEP itself says variant-identifier mode can be 2–5x slower than position-based formats, so normalized VCF or position-based input is still the right long-term path.</w:t>
            </w:r>
            <w:r>
              <w:t xml:space="preserve"> </w:t>
            </w:r>
            <w:hyperlink r:id="rId21">
              <w:r>
                <w:rPr>
                  <w:rStyle w:val="Hyperlink"/>
                </w:rPr>
                <w:t xml:space="preserve">[8]</w:t>
              </w:r>
            </w:hyperlink>
          </w:p>
        </w:tc>
      </w:tr>
      <w:tr>
        <w:tc>
          <w:tcPr/>
          <w:p>
            <w:pPr>
              <w:pStyle w:val="Compact"/>
            </w:pPr>
            <w:r>
              <w:rPr>
                <w:b/>
                <w:bCs/>
              </w:rPr>
              <w:t xml:space="preserve">MyVariant.info</w:t>
            </w:r>
          </w:p>
        </w:tc>
        <w:tc>
          <w:tcPr/>
          <w:p>
            <w:pPr>
              <w:pStyle w:val="Compact"/>
            </w:pPr>
            <w:r>
              <w:t xml:space="preserve">Direct rsID batch lookup works through query POST with</w:t>
            </w:r>
            <w:r>
              <w:t xml:space="preserve"> </w:t>
            </w:r>
            <w:r>
              <w:rPr>
                <w:rStyle w:val="VerbatimChar"/>
              </w:rPr>
              <w:t xml:space="preserve">q=...</w:t>
            </w:r>
            <w:r>
              <w:t xml:space="preserve"> </w:t>
            </w:r>
            <w:r>
              <w:t xml:space="preserve">and</w:t>
            </w:r>
            <w:r>
              <w:t xml:space="preserve"> </w:t>
            </w:r>
            <w:r>
              <w:rPr>
                <w:rStyle w:val="VerbatimChar"/>
              </w:rPr>
              <w:t xml:space="preserve">scopes=dbsnp.rsid</w:t>
            </w:r>
            <w:r>
              <w:t xml:space="preserve">. HGVS batch annotation is also supported through the annotation endpoint.</w:t>
            </w:r>
          </w:p>
        </w:tc>
        <w:tc>
          <w:tcPr/>
          <w:p>
            <w:pPr>
              <w:pStyle w:val="Compact"/>
            </w:pPr>
            <w:r>
              <w:t xml:space="preserve">Variant-centric JSON objects with field selection via dot notation and</w:t>
            </w:r>
            <w:r>
              <w:t xml:space="preserve"> </w:t>
            </w:r>
            <w:r>
              <w:rPr>
                <w:rStyle w:val="VerbatimChar"/>
              </w:rPr>
              <w:t xml:space="preserve">fields</w:t>
            </w:r>
            <w:r>
              <w:t xml:space="preserve">.</w:t>
            </w:r>
          </w:p>
        </w:tc>
        <w:tc>
          <w:tcPr/>
          <w:p>
            <w:pPr>
              <w:pStyle w:val="Compact"/>
            </w:pPr>
            <w:r>
              <w:t xml:space="preserve">Best enrichment API for selected variants, unresolved variants, source links, and extra variant-level fields in a dashboard.</w:t>
            </w:r>
          </w:p>
        </w:tc>
        <w:tc>
          <w:tcPr/>
          <w:p>
            <w:pPr>
              <w:pStyle w:val="Compact"/>
            </w:pPr>
            <w:r>
              <w:t xml:space="preserve">It is a lookup service, not a file-native annotation engine and not a clinical-classification framework. Batch annotation by HGVS is capped at 1000 IDs per POST in the annotation service docs.</w:t>
            </w:r>
            <w:r>
              <w:t xml:space="preserve"> </w:t>
            </w:r>
            <w:hyperlink r:id="rId24">
              <w:r>
                <w:rPr>
                  <w:rStyle w:val="Hyperlink"/>
                </w:rPr>
                <w:t xml:space="preserve">[9]</w:t>
              </w:r>
            </w:hyperlink>
          </w:p>
        </w:tc>
      </w:tr>
      <w:tr>
        <w:tc>
          <w:tcPr/>
          <w:p>
            <w:pPr>
              <w:pStyle w:val="Compact"/>
            </w:pPr>
            <w:r>
              <w:rPr>
                <w:b/>
                <w:bCs/>
              </w:rPr>
              <w:t xml:space="preserve">MyGene.info</w:t>
            </w:r>
          </w:p>
        </w:tc>
        <w:tc>
          <w:tcPr/>
          <w:p>
            <w:pPr>
              <w:pStyle w:val="Compact"/>
            </w:pPr>
            <w:r>
              <w:t xml:space="preserve">Not direct from rsID. Use it after another tool maps the variant to a gene symbol, Ensembl gene, or Entrez ID.</w:t>
            </w:r>
          </w:p>
        </w:tc>
        <w:tc>
          <w:tcPr/>
          <w:p>
            <w:pPr>
              <w:pStyle w:val="Compact"/>
            </w:pPr>
            <w:r>
              <w:t xml:space="preserve">Gene-level JSON with selectable fields such as</w:t>
            </w:r>
            <w:r>
              <w:t xml:space="preserve"> </w:t>
            </w:r>
            <w:r>
              <w:rPr>
                <w:rStyle w:val="VerbatimChar"/>
              </w:rPr>
              <w:t xml:space="preserve">symbol</w:t>
            </w:r>
            <w:r>
              <w:t xml:space="preserve">,</w:t>
            </w:r>
            <w:r>
              <w:t xml:space="preserve"> </w:t>
            </w:r>
            <w:r>
              <w:rPr>
                <w:rStyle w:val="VerbatimChar"/>
              </w:rPr>
              <w:t xml:space="preserve">name</w:t>
            </w:r>
            <w:r>
              <w:t xml:space="preserve">,</w:t>
            </w:r>
            <w:r>
              <w:t xml:space="preserve"> </w:t>
            </w:r>
            <w:r>
              <w:rPr>
                <w:rStyle w:val="VerbatimChar"/>
              </w:rPr>
              <w:t xml:space="preserve">summary</w:t>
            </w:r>
            <w:r>
              <w:t xml:space="preserve">,</w:t>
            </w:r>
            <w:r>
              <w:t xml:space="preserve"> </w:t>
            </w:r>
            <w:r>
              <w:rPr>
                <w:rStyle w:val="VerbatimChar"/>
              </w:rPr>
              <w:t xml:space="preserve">refseq</w:t>
            </w:r>
            <w:r>
              <w:t xml:space="preserve">,</w:t>
            </w:r>
            <w:r>
              <w:t xml:space="preserve"> </w:t>
            </w:r>
            <w:r>
              <w:rPr>
                <w:rStyle w:val="VerbatimChar"/>
              </w:rPr>
              <w:t xml:space="preserve">uniprot</w:t>
            </w:r>
            <w:r>
              <w:t xml:space="preserve">, and more.</w:t>
            </w:r>
          </w:p>
        </w:tc>
        <w:tc>
          <w:tcPr/>
          <w:p>
            <w:pPr>
              <w:pStyle w:val="Compact"/>
            </w:pPr>
            <w:r>
              <w:t xml:space="preserve">Best for chatbot explanation, gene summaries, and gene-level enrichment around a finding.</w:t>
            </w:r>
          </w:p>
        </w:tc>
        <w:tc>
          <w:tcPr/>
          <w:p>
            <w:pPr>
              <w:pStyle w:val="Compact"/>
            </w:pPr>
            <w:r>
              <w:t xml:space="preserve">Not a variant annotator. It is the wrong first call for a consumer CSV unless you already have variant-to-gene mapping.</w:t>
            </w:r>
            <w:r>
              <w:t xml:space="preserve"> </w:t>
            </w:r>
            <w:hyperlink r:id="rId29">
              <w:r>
                <w:rPr>
                  <w:rStyle w:val="Hyperlink"/>
                </w:rPr>
                <w:t xml:space="preserve">[10]</w:t>
              </w:r>
            </w:hyperlink>
          </w:p>
        </w:tc>
      </w:tr>
      <w:tr>
        <w:tc>
          <w:tcPr/>
          <w:p>
            <w:pPr>
              <w:pStyle w:val="Compact"/>
            </w:pPr>
            <w:r>
              <w:rPr>
                <w:b/>
                <w:bCs/>
              </w:rPr>
              <w:t xml:space="preserve">ANNOVAR</w:t>
            </w:r>
          </w:p>
        </w:tc>
        <w:tc>
          <w:tcPr/>
          <w:p>
            <w:pPr>
              <w:pStyle w:val="Compact"/>
            </w:pPr>
            <w:r>
              <w:t xml:space="preserve">Two workable paths: annotate VCF directly with</w:t>
            </w:r>
            <w:r>
              <w:t xml:space="preserve"> </w:t>
            </w:r>
            <w:r>
              <w:rPr>
                <w:rStyle w:val="VerbatimChar"/>
              </w:rPr>
              <w:t xml:space="preserve">table_annovar.pl -vcfinput</w:t>
            </w:r>
            <w:r>
              <w:t xml:space="preserve">, or convert an rsID list with</w:t>
            </w:r>
            <w:r>
              <w:t xml:space="preserve"> </w:t>
            </w:r>
            <w:r>
              <w:rPr>
                <w:rStyle w:val="VerbatimChar"/>
              </w:rPr>
              <w:t xml:space="preserve">convert2annovar.pl -format rsid</w:t>
            </w:r>
            <w:r>
              <w:t xml:space="preserve"> </w:t>
            </w:r>
            <w:r>
              <w:t xml:space="preserve">using a local dbSNP file.</w:t>
            </w:r>
          </w:p>
        </w:tc>
        <w:tc>
          <w:tcPr/>
          <w:p>
            <w:pPr>
              <w:pStyle w:val="Compact"/>
            </w:pPr>
            <w:r>
              <w:t xml:space="preserve">Multianno tabular output and, when starting from VCF, an annotated VCF with INFO fields; protocols can be gene-, region-, and filter-based.</w:t>
            </w:r>
          </w:p>
        </w:tc>
        <w:tc>
          <w:tcPr/>
          <w:p>
            <w:pPr>
              <w:pStyle w:val="Compact"/>
            </w:pPr>
            <w:r>
              <w:t xml:space="preserve">Best local toolkit if you want a configurable, database-driven annotation lane and easy handoff into InterVar.</w:t>
            </w:r>
          </w:p>
        </w:tc>
        <w:tc>
          <w:tcPr/>
          <w:p>
            <w:pPr>
              <w:pStyle w:val="Compact"/>
            </w:pPr>
            <w:r>
              <w:t xml:space="preserve">It is indeed more of a standalone toolkit than a turnkey production service: official docs show Perl scripts, local</w:t>
            </w:r>
            <w:r>
              <w:t xml:space="preserve"> </w:t>
            </w:r>
            <w:r>
              <w:rPr>
                <w:rStyle w:val="VerbatimChar"/>
              </w:rPr>
              <w:t xml:space="preserve">humandb</w:t>
            </w:r>
            <w:r>
              <w:t xml:space="preserve"> </w:t>
            </w:r>
            <w:r>
              <w:t xml:space="preserve">management, and download with registration.</w:t>
            </w:r>
            <w:r>
              <w:t xml:space="preserve"> </w:t>
            </w:r>
            <w:r>
              <w:rPr>
                <w:rStyle w:val="VerbatimChar"/>
              </w:rPr>
              <w:t xml:space="preserve">-format rsid</w:t>
            </w:r>
            <w:r>
              <w:t xml:space="preserve"> </w:t>
            </w:r>
            <w:r>
              <w:t xml:space="preserve">is useful, but ANNOVAR warns that multiply mapped rsIDs will all be written to output.</w:t>
            </w:r>
            <w:r>
              <w:t xml:space="preserve"> </w:t>
            </w:r>
            <w:hyperlink r:id="rId30">
              <w:r>
                <w:rPr>
                  <w:rStyle w:val="Hyperlink"/>
                </w:rPr>
                <w:t xml:space="preserve">[11]</w:t>
              </w:r>
            </w:hyperlink>
          </w:p>
        </w:tc>
      </w:tr>
      <w:tr>
        <w:tc>
          <w:tcPr/>
          <w:p>
            <w:pPr>
              <w:pStyle w:val="Compact"/>
            </w:pPr>
            <w:r>
              <w:rPr>
                <w:b/>
                <w:bCs/>
              </w:rPr>
              <w:t xml:space="preserve">InterVar</w:t>
            </w:r>
          </w:p>
        </w:tc>
        <w:tc>
          <w:tcPr/>
          <w:p>
            <w:pPr>
              <w:pStyle w:val="Compact"/>
            </w:pPr>
            <w:r>
              <w:t xml:space="preserve">Can take VCF or ANNOVAR input, but if the file is not pre-annotated it calls ANNOVAR to generate the required annotations.</w:t>
            </w:r>
          </w:p>
        </w:tc>
        <w:tc>
          <w:tcPr/>
          <w:p>
            <w:pPr>
              <w:pStyle w:val="Compact"/>
            </w:pPr>
            <w:r>
              <w:t xml:space="preserve">ACMG/AMP-style calls: Benign, Likely benign, Uncertain significance, Likely pathogenic, Pathogenic, plus evidence codes.</w:t>
            </w:r>
          </w:p>
        </w:tc>
        <w:tc>
          <w:tcPr/>
          <w:p>
            <w:pPr>
              <w:pStyle w:val="Compact"/>
            </w:pPr>
            <w:r>
              <w:t xml:space="preserve">Best first clinical-classification benchmark once you have normalized variants and an ANNOVAR lane.</w:t>
            </w:r>
          </w:p>
        </w:tc>
        <w:tc>
          <w:tcPr/>
          <w:p>
            <w:pPr>
              <w:pStyle w:val="Compact"/>
            </w:pPr>
            <w:r>
              <w:t xml:space="preserve">It is not an upstream annotator. It is a downstream ACMG engine, and its own description emphasizes both automatic evidence interpretation and manual adjustment. The local tool also carries older dependency signals such as Python ≥2.6.6 and ANNOVAR prerequisites.</w:t>
            </w:r>
            <w:r>
              <w:t xml:space="preserve"> </w:t>
            </w:r>
            <w:hyperlink r:id="rId25">
              <w:r>
                <w:rPr>
                  <w:rStyle w:val="Hyperlink"/>
                </w:rPr>
                <w:t xml:space="preserve">[12]</w:t>
              </w:r>
            </w:hyperlink>
          </w:p>
        </w:tc>
      </w:tr>
      <w:tr>
        <w:tc>
          <w:tcPr/>
          <w:p>
            <w:pPr>
              <w:pStyle w:val="Compact"/>
            </w:pPr>
            <w:r>
              <w:rPr>
                <w:b/>
                <w:bCs/>
              </w:rPr>
              <w:t xml:space="preserve">AutoGVP</w:t>
            </w:r>
          </w:p>
        </w:tc>
        <w:tc>
          <w:tcPr/>
          <w:p>
            <w:pPr>
              <w:pStyle w:val="Compact"/>
            </w:pPr>
            <w:r>
              <w:t xml:space="preserve">Not direct from CSV. Requires a VEP-annotated VCF, ANNOVAR multianno, InterVar file, AutoPVS1 file, and ClinVar-derived support files.</w:t>
            </w:r>
          </w:p>
        </w:tc>
        <w:tc>
          <w:tcPr/>
          <w:p>
            <w:pPr>
              <w:pStyle w:val="Compact"/>
            </w:pPr>
            <w:r>
              <w:t xml:space="preserve">Abridged pathogenicity output and a full output with more than 100 annotation columns.</w:t>
            </w:r>
          </w:p>
        </w:tc>
        <w:tc>
          <w:tcPr/>
          <w:p>
            <w:pPr>
              <w:pStyle w:val="Compact"/>
            </w:pPr>
            <w:r>
              <w:t xml:space="preserve">Good later-phase benchmark if you want to compare a modern, dockerized germline classification workflow against InterVar alone.</w:t>
            </w:r>
          </w:p>
        </w:tc>
        <w:tc>
          <w:tcPr/>
          <w:p>
            <w:pPr>
              <w:pStyle w:val="Compact"/>
            </w:pPr>
            <w:r>
              <w:t xml:space="preserve">This is a downstream integration workflow, not a first adapter target. It is recent and dockerized, but only after you already have multiple upstream products.</w:t>
            </w:r>
            <w:r>
              <w:t xml:space="preserve"> </w:t>
            </w:r>
            <w:hyperlink r:id="rId31">
              <w:r>
                <w:rPr>
                  <w:rStyle w:val="Hyperlink"/>
                </w:rPr>
                <w:t xml:space="preserve">[13]</w:t>
              </w:r>
            </w:hyperlink>
          </w:p>
        </w:tc>
      </w:tr>
      <w:tr>
        <w:tc>
          <w:tcPr/>
          <w:p>
            <w:pPr>
              <w:pStyle w:val="Compact"/>
            </w:pPr>
            <w:r>
              <w:rPr>
                <w:b/>
                <w:bCs/>
              </w:rPr>
              <w:t xml:space="preserve">CharGer</w:t>
            </w:r>
          </w:p>
        </w:tc>
        <w:tc>
          <w:tcPr/>
          <w:p>
            <w:pPr>
              <w:pStyle w:val="Compact"/>
            </w:pPr>
            <w:r>
              <w:t xml:space="preserve">Not direct from CSV. The docs require a normalized input VCF and show VEP annotation as part of preparing inputs.</w:t>
            </w:r>
          </w:p>
        </w:tc>
        <w:tc>
          <w:tcPr/>
          <w:p>
            <w:pPr>
              <w:pStyle w:val="Compact"/>
            </w:pPr>
            <w:r>
              <w:t xml:space="preserve">ACMG-style pathogenicity scoring and classification with configurable modules and thresholds.</w:t>
            </w:r>
          </w:p>
        </w:tc>
        <w:tc>
          <w:tcPr/>
          <w:p>
            <w:pPr>
              <w:pStyle w:val="Compact"/>
            </w:pPr>
            <w:r>
              <w:t xml:space="preserve">Useful as a benchmark against InterVar if you specifically want another ACMG-like classifier.</w:t>
            </w:r>
          </w:p>
        </w:tc>
        <w:tc>
          <w:tcPr/>
          <w:p>
            <w:pPr>
              <w:pStyle w:val="Compact"/>
            </w:pPr>
            <w:r>
              <w:t xml:space="preserve">Production-readiness is weaker than AutoGVP: the repository says the most recent stable version is v0.5.4 and Python 2.7-only, while the Python 3 line is still under development/incomplete.</w:t>
            </w:r>
            <w:r>
              <w:t xml:space="preserve"> </w:t>
            </w:r>
            <w:hyperlink r:id="rId32">
              <w:r>
                <w:rPr>
                  <w:rStyle w:val="Hyperlink"/>
                </w:rPr>
                <w:t xml:space="preserve">[14]</w:t>
              </w:r>
            </w:hyperlink>
          </w:p>
        </w:tc>
      </w:tr>
      <w:tr>
        <w:tc>
          <w:tcPr/>
          <w:p>
            <w:pPr>
              <w:pStyle w:val="Compact"/>
            </w:pPr>
            <w:r>
              <w:rPr>
                <w:b/>
                <w:bCs/>
              </w:rPr>
              <w:t xml:space="preserve">PharmCAT</w:t>
            </w:r>
          </w:p>
        </w:tc>
        <w:tc>
          <w:tcPr/>
          <w:p>
            <w:pPr>
              <w:pStyle w:val="Compact"/>
            </w:pPr>
            <w:r>
              <w:t xml:space="preserve">Not direct from CSV. Needs a VCF that meets PharmCAT requirements; optional outside-call TSV can override or supplement calls.</w:t>
            </w:r>
          </w:p>
        </w:tc>
        <w:tc>
          <w:tcPr/>
          <w:p>
            <w:pPr>
              <w:pStyle w:val="Compact"/>
            </w:pPr>
            <w:r>
              <w:t xml:space="preserve">Named-allele matcher JSON, phenotype JSON, HTML report, and optional condensed TSV.</w:t>
            </w:r>
          </w:p>
        </w:tc>
        <w:tc>
          <w:tcPr/>
          <w:p>
            <w:pPr>
              <w:pStyle w:val="Compact"/>
            </w:pPr>
            <w:r>
              <w:t xml:space="preserve">Best for a separate PGx experiment and later dashboard PGx tab.</w:t>
            </w:r>
          </w:p>
        </w:tc>
        <w:tc>
          <w:tcPr/>
          <w:p>
            <w:pPr>
              <w:pStyle w:val="Compact"/>
            </w:pPr>
            <w:r>
              <w:t xml:space="preserve">Keep it out of the general annotation bake-off. It is explicitly a PGx workflow, not a general clinical/pathogenicity engine.</w:t>
            </w:r>
            <w:r>
              <w:t xml:space="preserve"> </w:t>
            </w:r>
            <w:hyperlink r:id="rId26">
              <w:r>
                <w:rPr>
                  <w:rStyle w:val="Hyperlink"/>
                </w:rPr>
                <w:t xml:space="preserve">[6]</w:t>
              </w:r>
            </w:hyperlink>
          </w:p>
        </w:tc>
      </w:tr>
      <w:tr>
        <w:tc>
          <w:tcPr/>
          <w:p>
            <w:pPr>
              <w:pStyle w:val="Compact"/>
            </w:pPr>
            <w:r>
              <w:rPr>
                <w:b/>
                <w:bCs/>
              </w:rPr>
              <w:t xml:space="preserve">OpenCRAVAT</w:t>
            </w:r>
          </w:p>
        </w:tc>
        <w:tc>
          <w:tcPr/>
          <w:p>
            <w:pPr>
              <w:pStyle w:val="Compact"/>
            </w:pPr>
            <w:r>
              <w:t xml:space="preserve">Requires either a supported variant file or CRAVAT-format input, and the CRAVAT input itself needs chr/pos/strand/ref/alt.</w:t>
            </w:r>
          </w:p>
        </w:tc>
        <w:tc>
          <w:tcPr/>
          <w:p>
            <w:pPr>
              <w:pStyle w:val="Compact"/>
            </w:pPr>
            <w:r>
              <w:t xml:space="preserve">Internal</w:t>
            </w:r>
            <w:r>
              <w:t xml:space="preserve"> </w:t>
            </w:r>
            <w:r>
              <w:rPr>
                <w:rStyle w:val="VerbatimChar"/>
              </w:rPr>
              <w:t xml:space="preserve">.crv</w:t>
            </w:r>
            <w:r>
              <w:t xml:space="preserve"> </w:t>
            </w:r>
            <w:r>
              <w:t xml:space="preserve">and</w:t>
            </w:r>
            <w:r>
              <w:t xml:space="preserve"> </w:t>
            </w:r>
            <w:r>
              <w:rPr>
                <w:rStyle w:val="VerbatimChar"/>
              </w:rPr>
              <w:t xml:space="preserve">.crx</w:t>
            </w:r>
            <w:r>
              <w:t xml:space="preserve"> </w:t>
            </w:r>
            <w:r>
              <w:t xml:space="preserve">files, annotator-specific</w:t>
            </w:r>
            <w:r>
              <w:t xml:space="preserve"> </w:t>
            </w:r>
            <w:r>
              <w:rPr>
                <w:rStyle w:val="VerbatimChar"/>
              </w:rPr>
              <w:t xml:space="preserve">.var</w:t>
            </w:r>
            <w:r>
              <w:t xml:space="preserve">/</w:t>
            </w:r>
            <w:r>
              <w:rPr>
                <w:rStyle w:val="VerbatimChar"/>
              </w:rPr>
              <w:t xml:space="preserve">.gen</w:t>
            </w:r>
            <w:r>
              <w:t xml:space="preserve"> </w:t>
            </w:r>
            <w:r>
              <w:t xml:space="preserve">tables, plus reporter outputs such as TSV, CSV, Excel, text, and VCF.</w:t>
            </w:r>
          </w:p>
        </w:tc>
        <w:tc>
          <w:tcPr/>
          <w:p>
            <w:pPr>
              <w:pStyle w:val="Compact"/>
            </w:pPr>
            <w:r>
              <w:t xml:space="preserve">Best optional comparison framework if you want module-based reports and file-level output diversity.</w:t>
            </w:r>
          </w:p>
        </w:tc>
        <w:tc>
          <w:tcPr/>
          <w:p>
            <w:pPr>
              <w:pStyle w:val="Compact"/>
            </w:pPr>
            <w:r>
              <w:t xml:space="preserve">It is a framework, not one fixed annotation model. That modularity is powerful, but it also means semantics and output breadth are module-dependent, so I would treat it as a comparison lane rather than the first backbone.</w:t>
            </w:r>
            <w:r>
              <w:t xml:space="preserve"> </w:t>
            </w:r>
            <w:hyperlink r:id="rId33">
              <w:r>
                <w:rPr>
                  <w:rStyle w:val="Hyperlink"/>
                </w:rPr>
                <w:t xml:space="preserve">[15]</w:t>
              </w:r>
            </w:hyperlink>
          </w:p>
        </w:tc>
      </w:tr>
    </w:tbl>
    <w:p>
      <w:pPr>
        <w:pStyle w:val="BodyText"/>
      </w:pPr>
      <w:r>
        <w:t xml:space="preserve">The key pattern in that matrix is simple.</w:t>
      </w:r>
      <w:r>
        <w:t xml:space="preserve"> </w:t>
      </w:r>
      <w:r>
        <w:rPr>
          <w:b/>
          <w:bCs/>
        </w:rPr>
        <w:t xml:space="preserve">Only VEP and MyVariant let you stay in rsID space comfortably at the very beginning.</w:t>
      </w:r>
      <w:r>
        <w:t xml:space="preserve"> </w:t>
      </w:r>
      <w:r>
        <w:rPr>
          <w:b/>
          <w:bCs/>
        </w:rPr>
        <w:t xml:space="preserve">ANNOVAR can also start from rsIDs, but only after you provide a local dbSNP mapping resource.</w:t>
      </w:r>
      <w:r>
        <w:t xml:space="preserve"> </w:t>
      </w:r>
      <w:r>
        <w:rPr>
          <w:b/>
          <w:bCs/>
        </w:rPr>
        <w:t xml:space="preserve">InterVar, CharGer, AutoGVP, PharmCAT, and OpenCRAVAT all become much more sensible after you have already normalized to REF/ALT-rich records or VCF.</w:t>
      </w:r>
      <w:r>
        <w:t xml:space="preserve"> </w:t>
      </w:r>
      <w:hyperlink r:id="rId21">
        <w:r>
          <w:rPr>
            <w:rStyle w:val="Hyperlink"/>
          </w:rPr>
          <w:t xml:space="preserve">[16]</w:t>
        </w:r>
      </w:hyperlink>
    </w:p>
    <w:bookmarkEnd w:id="34"/>
    <w:bookmarkStart w:id="36" w:name="Xb90caee7ea11548a742273f0b082f046bcb4812"/>
    <w:p>
      <w:pPr>
        <w:pStyle w:val="Heading2"/>
      </w:pPr>
      <w:r>
        <w:t xml:space="preserve">A clean comparison architecture for one CSV across many frameworks</w:t>
      </w:r>
    </w:p>
    <w:p>
      <w:pPr>
        <w:pStyle w:val="FirstParagraph"/>
      </w:pPr>
      <w:r>
        <w:t xml:space="preserve">For the specific file shape you described, the right architecture is a</w:t>
      </w:r>
      <w:r>
        <w:t xml:space="preserve"> </w:t>
      </w:r>
      <w:r>
        <w:rPr>
          <w:b/>
          <w:bCs/>
        </w:rPr>
        <w:t xml:space="preserve">two-lane adapter</w:t>
      </w:r>
      <w:r>
        <w:t xml:space="preserve"> </w:t>
      </w:r>
      <w:r>
        <w:t xml:space="preserve">rather than one universal converter.</w:t>
      </w:r>
    </w:p>
    <w:p>
      <w:pPr>
        <w:pStyle w:val="SourceCode"/>
      </w:pPr>
      <w:r>
        <w:rPr>
          <w:rStyle w:val="VerbatimChar"/>
        </w:rPr>
        <w:t xml:space="preserve">Child 1 Genome.csv</w:t>
      </w:r>
      <w:r>
        <w:br/>
      </w:r>
      <w:r>
        <w:rPr>
          <w:rStyle w:val="VerbatimChar"/>
        </w:rPr>
        <w:t xml:space="preserve">  -&gt; parse original rows</w:t>
      </w:r>
      <w:r>
        <w:br/>
      </w:r>
      <w:r>
        <w:rPr>
          <w:rStyle w:val="VerbatimChar"/>
        </w:rPr>
        <w:t xml:space="preserve">  -&gt; selected rsID test set with original genotype preserved</w:t>
      </w:r>
      <w:r>
        <w:br/>
      </w:r>
      <w:r>
        <w:br/>
      </w:r>
      <w:r>
        <w:rPr>
          <w:rStyle w:val="VerbatimChar"/>
        </w:rPr>
        <w:t xml:space="preserve">Lane A: direct-ID prototype</w:t>
      </w:r>
      <w:r>
        <w:br/>
      </w:r>
      <w:r>
        <w:rPr>
          <w:rStyle w:val="VerbatimChar"/>
        </w:rPr>
        <w:t xml:space="preserve">  -&gt; VEP REST /vep/id</w:t>
      </w:r>
      <w:r>
        <w:br/>
      </w:r>
      <w:r>
        <w:rPr>
          <w:rStyle w:val="VerbatimChar"/>
        </w:rPr>
        <w:t xml:space="preserve">  -&gt; Variant Recoder</w:t>
      </w:r>
      <w:r>
        <w:br/>
      </w:r>
      <w:r>
        <w:rPr>
          <w:rStyle w:val="VerbatimChar"/>
        </w:rPr>
        <w:t xml:space="preserve">  -&gt; MyVariant.info</w:t>
      </w:r>
      <w:r>
        <w:br/>
      </w:r>
      <w:r>
        <w:rPr>
          <w:rStyle w:val="VerbatimChar"/>
        </w:rPr>
        <w:t xml:space="preserve">  -&gt; join results back to original genotype</w:t>
      </w:r>
      <w:r>
        <w:br/>
      </w:r>
      <w:r>
        <w:br/>
      </w:r>
      <w:r>
        <w:rPr>
          <w:rStyle w:val="VerbatimChar"/>
        </w:rPr>
        <w:t xml:space="preserve">Lane B: normalized-variant workflow</w:t>
      </w:r>
      <w:r>
        <w:br/>
      </w:r>
      <w:r>
        <w:rPr>
          <w:rStyle w:val="VerbatimChar"/>
        </w:rPr>
        <w:t xml:space="preserve">  -&gt; rsID normalization to chrom/pos/ref/alt/build</w:t>
      </w:r>
      <w:r>
        <w:br/>
      </w:r>
      <w:r>
        <w:rPr>
          <w:rStyle w:val="VerbatimChar"/>
        </w:rPr>
        <w:t xml:space="preserve">  -&gt; emit VCF and/or avinput</w:t>
      </w:r>
      <w:r>
        <w:br/>
      </w:r>
      <w:r>
        <w:rPr>
          <w:rStyle w:val="VerbatimChar"/>
        </w:rPr>
        <w:t xml:space="preserve">  -&gt; VEP local/Docker</w:t>
      </w:r>
      <w:r>
        <w:br/>
      </w:r>
      <w:r>
        <w:rPr>
          <w:rStyle w:val="VerbatimChar"/>
        </w:rPr>
        <w:t xml:space="preserve">  -&gt; ANNOVAR</w:t>
      </w:r>
      <w:r>
        <w:br/>
      </w:r>
      <w:r>
        <w:rPr>
          <w:rStyle w:val="VerbatimChar"/>
        </w:rPr>
        <w:t xml:space="preserve">  -&gt; InterVar</w:t>
      </w:r>
      <w:r>
        <w:br/>
      </w:r>
      <w:r>
        <w:rPr>
          <w:rStyle w:val="VerbatimChar"/>
        </w:rPr>
        <w:t xml:space="preserve">  -&gt; CharGer or AutoGVP</w:t>
      </w:r>
      <w:r>
        <w:br/>
      </w:r>
      <w:r>
        <w:rPr>
          <w:rStyle w:val="VerbatimChar"/>
        </w:rPr>
        <w:t xml:space="preserve">  -&gt; PharmCAT for PGx subset</w:t>
      </w:r>
      <w:r>
        <w:br/>
      </w:r>
      <w:r>
        <w:rPr>
          <w:rStyle w:val="VerbatimChar"/>
        </w:rPr>
        <w:t xml:space="preserve">  -&gt; join results back to original genotype</w:t>
      </w:r>
    </w:p>
    <w:p>
      <w:pPr>
        <w:pStyle w:val="FirstParagraph"/>
      </w:pPr>
      <w:r>
        <w:t xml:space="preserve">That split matches the official capabilities. Variant Recoder exists specifically to translate identifiers and notations into alternative representations, including optional VCF strings, while VEP local and ANNOVAR become much stronger once you move into position/ref/alt-aware records. InterVar, CharGer, AutoGVP, and PharmCAT all assume that upstream normalization has already happened.</w:t>
      </w:r>
      <w:r>
        <w:t xml:space="preserve"> </w:t>
      </w:r>
      <w:hyperlink r:id="rId35">
        <w:r>
          <w:rPr>
            <w:rStyle w:val="Hyperlink"/>
          </w:rPr>
          <w:t xml:space="preserve">[17]</w:t>
        </w:r>
      </w:hyperlink>
    </w:p>
    <w:p>
      <w:pPr>
        <w:pStyle w:val="BodyText"/>
      </w:pPr>
      <w:r>
        <w:t xml:space="preserve">For comparison, do</w:t>
      </w:r>
      <w:r>
        <w:t xml:space="preserve"> </w:t>
      </w:r>
      <w:r>
        <w:rPr>
          <w:b/>
          <w:bCs/>
        </w:rPr>
        <w:t xml:space="preserve">not</w:t>
      </w:r>
      <w:r>
        <w:t xml:space="preserve"> </w:t>
      </w:r>
      <w:r>
        <w:t xml:space="preserve">try to compare raw tool outputs directly. Normalize all outputs into one internal schema. The minimum useful schema for your dashboard experiment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Normalized field</w:t>
            </w:r>
          </w:p>
        </w:tc>
        <w:tc>
          <w:tcPr/>
          <w:p>
            <w:pPr>
              <w:pStyle w:val="Compact"/>
            </w:pPr>
            <w:r>
              <w:t xml:space="preserve">Why it must exist</w:t>
            </w:r>
          </w:p>
        </w:tc>
      </w:tr>
      <w:tr>
        <w:tc>
          <w:tcPr/>
          <w:p>
            <w:pPr>
              <w:pStyle w:val="Compact"/>
            </w:pPr>
            <w:r>
              <w:rPr>
                <w:rStyle w:val="VerbatimChar"/>
              </w:rPr>
              <w:t xml:space="preserve">original_rsid</w:t>
            </w:r>
            <w:r>
              <w:t xml:space="preserve">,</w:t>
            </w:r>
            <w:r>
              <w:t xml:space="preserve"> </w:t>
            </w:r>
            <w:r>
              <w:rPr>
                <w:rStyle w:val="VerbatimChar"/>
              </w:rPr>
              <w:t xml:space="preserve">original_genotype</w:t>
            </w:r>
          </w:p>
        </w:tc>
        <w:tc>
          <w:tcPr/>
          <w:p>
            <w:pPr>
              <w:pStyle w:val="Compact"/>
            </w:pPr>
            <w:r>
              <w:t xml:space="preserve">Preserve exactly what the user uploaded.</w:t>
            </w:r>
          </w:p>
        </w:tc>
      </w:tr>
      <w:tr>
        <w:tc>
          <w:tcPr/>
          <w:p>
            <w:pPr>
              <w:pStyle w:val="Compact"/>
            </w:pPr>
            <w:r>
              <w:rPr>
                <w:rStyle w:val="VerbatimChar"/>
              </w:rPr>
              <w:t xml:space="preserve">sample_contains_variant</w:t>
            </w:r>
          </w:p>
        </w:tc>
        <w:tc>
          <w:tcPr/>
          <w:p>
            <w:pPr>
              <w:pStyle w:val="Compact"/>
            </w:pPr>
            <w:r>
              <w:t xml:space="preserve">Distinguish in-sample rows from benchmark-only controls.</w:t>
            </w:r>
          </w:p>
        </w:tc>
      </w:tr>
      <w:tr>
        <w:tc>
          <w:tcPr/>
          <w:p>
            <w:pPr>
              <w:pStyle w:val="Compact"/>
            </w:pPr>
            <w:r>
              <w:rPr>
                <w:rStyle w:val="VerbatimChar"/>
              </w:rPr>
              <w:t xml:space="preserve">build</w:t>
            </w:r>
            <w:r>
              <w:t xml:space="preserve">,</w:t>
            </w:r>
            <w:r>
              <w:t xml:space="preserve"> </w:t>
            </w:r>
            <w:r>
              <w:rPr>
                <w:rStyle w:val="VerbatimChar"/>
              </w:rPr>
              <w:t xml:space="preserve">chrom</w:t>
            </w:r>
            <w:r>
              <w:t xml:space="preserve">,</w:t>
            </w:r>
            <w:r>
              <w:t xml:space="preserve"> </w:t>
            </w:r>
            <w:r>
              <w:rPr>
                <w:rStyle w:val="VerbatimChar"/>
              </w:rPr>
              <w:t xml:space="preserve">pos</w:t>
            </w:r>
            <w:r>
              <w:t xml:space="preserve">,</w:t>
            </w:r>
            <w:r>
              <w:t xml:space="preserve"> </w:t>
            </w:r>
            <w:r>
              <w:rPr>
                <w:rStyle w:val="VerbatimChar"/>
              </w:rPr>
              <w:t xml:space="preserve">ref</w:t>
            </w:r>
            <w:r>
              <w:t xml:space="preserve">,</w:t>
            </w:r>
            <w:r>
              <w:t xml:space="preserve"> </w:t>
            </w:r>
            <w:r>
              <w:rPr>
                <w:rStyle w:val="VerbatimChar"/>
              </w:rPr>
              <w:t xml:space="preserve">alt</w:t>
            </w:r>
          </w:p>
        </w:tc>
        <w:tc>
          <w:tcPr/>
          <w:p>
            <w:pPr>
              <w:pStyle w:val="Compact"/>
            </w:pPr>
            <w:r>
              <w:t xml:space="preserve">Needed to reconcile tools that work by coordinates rather than rsIDs.</w:t>
            </w:r>
          </w:p>
        </w:tc>
      </w:tr>
      <w:tr>
        <w:tc>
          <w:tcPr/>
          <w:p>
            <w:pPr>
              <w:pStyle w:val="Compact"/>
            </w:pPr>
            <w:r>
              <w:rPr>
                <w:rStyle w:val="VerbatimChar"/>
              </w:rPr>
              <w:t xml:space="preserve">normalized_id_set</w:t>
            </w:r>
          </w:p>
        </w:tc>
        <w:tc>
          <w:tcPr/>
          <w:p>
            <w:pPr>
              <w:pStyle w:val="Compact"/>
            </w:pPr>
            <w:r>
              <w:t xml:space="preserve">Store rsID, HGVS, SPDI, and VCF string when available.</w:t>
            </w:r>
          </w:p>
        </w:tc>
      </w:tr>
      <w:tr>
        <w:tc>
          <w:tcPr/>
          <w:p>
            <w:pPr>
              <w:pStyle w:val="Compact"/>
            </w:pPr>
            <w:r>
              <w:rPr>
                <w:rStyle w:val="VerbatimChar"/>
              </w:rPr>
              <w:t xml:space="preserve">gene</w:t>
            </w:r>
            <w:r>
              <w:t xml:space="preserve">,</w:t>
            </w:r>
            <w:r>
              <w:t xml:space="preserve"> </w:t>
            </w:r>
            <w:r>
              <w:rPr>
                <w:rStyle w:val="VerbatimChar"/>
              </w:rPr>
              <w:t xml:space="preserve">transcript</w:t>
            </w:r>
            <w:r>
              <w:t xml:space="preserve">,</w:t>
            </w:r>
            <w:r>
              <w:t xml:space="preserve"> </w:t>
            </w:r>
            <w:r>
              <w:rPr>
                <w:rStyle w:val="VerbatimChar"/>
              </w:rPr>
              <w:t xml:space="preserve">consequence</w:t>
            </w:r>
          </w:p>
        </w:tc>
        <w:tc>
          <w:tcPr/>
          <w:p>
            <w:pPr>
              <w:pStyle w:val="Compact"/>
            </w:pPr>
            <w:r>
              <w:t xml:space="preserve">Core effect-annotation comparison fields.</w:t>
            </w:r>
          </w:p>
        </w:tc>
      </w:tr>
      <w:tr>
        <w:tc>
          <w:tcPr/>
          <w:p>
            <w:pPr>
              <w:pStyle w:val="Compact"/>
            </w:pPr>
            <w:r>
              <w:rPr>
                <w:rStyle w:val="VerbatimChar"/>
              </w:rPr>
              <w:t xml:space="preserve">existing_variation</w:t>
            </w:r>
            <w:r>
              <w:t xml:space="preserve">,</w:t>
            </w:r>
            <w:r>
              <w:t xml:space="preserve"> </w:t>
            </w:r>
            <w:r>
              <w:rPr>
                <w:rStyle w:val="VerbatimChar"/>
              </w:rPr>
              <w:t xml:space="preserve">population_frequency</w:t>
            </w:r>
            <w:r>
              <w:t xml:space="preserve">,</w:t>
            </w:r>
            <w:r>
              <w:t xml:space="preserve"> </w:t>
            </w:r>
            <w:r>
              <w:rPr>
                <w:rStyle w:val="VerbatimChar"/>
              </w:rPr>
              <w:t xml:space="preserve">predictor_fields</w:t>
            </w:r>
          </w:p>
        </w:tc>
        <w:tc>
          <w:tcPr/>
          <w:p>
            <w:pPr>
              <w:pStyle w:val="Compact"/>
            </w:pPr>
            <w:r>
              <w:t xml:space="preserve">Optional enrichment fields useful for dashboard detail panels.</w:t>
            </w:r>
          </w:p>
        </w:tc>
      </w:tr>
      <w:tr>
        <w:tc>
          <w:tcPr/>
          <w:p>
            <w:pPr>
              <w:pStyle w:val="Compact"/>
            </w:pPr>
            <w:r>
              <w:rPr>
                <w:rStyle w:val="VerbatimChar"/>
              </w:rPr>
              <w:t xml:space="preserve">clinical_class</w:t>
            </w:r>
            <w:r>
              <w:t xml:space="preserve">,</w:t>
            </w:r>
            <w:r>
              <w:t xml:space="preserve"> </w:t>
            </w:r>
            <w:r>
              <w:rPr>
                <w:rStyle w:val="VerbatimChar"/>
              </w:rPr>
              <w:t xml:space="preserve">evidence_codes</w:t>
            </w:r>
          </w:p>
        </w:tc>
        <w:tc>
          <w:tcPr/>
          <w:p>
            <w:pPr>
              <w:pStyle w:val="Compact"/>
            </w:pPr>
            <w:r>
              <w:t xml:space="preserve">Needed for InterVar/CharGer/AutoGVP comparison.</w:t>
            </w:r>
          </w:p>
        </w:tc>
      </w:tr>
      <w:tr>
        <w:tc>
          <w:tcPr/>
          <w:p>
            <w:pPr>
              <w:pStyle w:val="Compact"/>
            </w:pPr>
            <w:r>
              <w:rPr>
                <w:rStyle w:val="VerbatimChar"/>
              </w:rPr>
              <w:t xml:space="preserve">pgx_diplotype</w:t>
            </w:r>
            <w:r>
              <w:t xml:space="preserve">,</w:t>
            </w:r>
            <w:r>
              <w:t xml:space="preserve"> </w:t>
            </w:r>
            <w:r>
              <w:rPr>
                <w:rStyle w:val="VerbatimChar"/>
              </w:rPr>
              <w:t xml:space="preserve">pgx_phenotype</w:t>
            </w:r>
            <w:r>
              <w:t xml:space="preserve">,</w:t>
            </w:r>
            <w:r>
              <w:t xml:space="preserve"> </w:t>
            </w:r>
            <w:r>
              <w:rPr>
                <w:rStyle w:val="VerbatimChar"/>
              </w:rPr>
              <w:t xml:space="preserve">recommendation_lookup</w:t>
            </w:r>
          </w:p>
        </w:tc>
        <w:tc>
          <w:tcPr/>
          <w:p>
            <w:pPr>
              <w:pStyle w:val="Compact"/>
            </w:pPr>
            <w:r>
              <w:t xml:space="preserve">Needed only for PharmCAT outputs.</w:t>
            </w:r>
          </w:p>
        </w:tc>
      </w:tr>
      <w:tr>
        <w:tc>
          <w:tcPr/>
          <w:p>
            <w:pPr>
              <w:pStyle w:val="Compact"/>
            </w:pPr>
            <w:r>
              <w:rPr>
                <w:rStyle w:val="VerbatimChar"/>
              </w:rPr>
              <w:t xml:space="preserve">source_tool</w:t>
            </w:r>
            <w:r>
              <w:t xml:space="preserve">,</w:t>
            </w:r>
            <w:r>
              <w:t xml:space="preserve"> </w:t>
            </w:r>
            <w:r>
              <w:rPr>
                <w:rStyle w:val="VerbatimChar"/>
              </w:rPr>
              <w:t xml:space="preserve">source_version</w:t>
            </w:r>
            <w:r>
              <w:t xml:space="preserve">,</w:t>
            </w:r>
            <w:r>
              <w:t xml:space="preserve"> </w:t>
            </w:r>
            <w:r>
              <w:rPr>
                <w:rStyle w:val="VerbatimChar"/>
              </w:rPr>
              <w:t xml:space="preserve">db_version</w:t>
            </w:r>
          </w:p>
        </w:tc>
        <w:tc>
          <w:tcPr/>
          <w:p>
            <w:pPr>
              <w:pStyle w:val="Compact"/>
            </w:pPr>
            <w:r>
              <w:t xml:space="preserve">Necessary if you want reproducible comparisons.</w:t>
            </w:r>
          </w:p>
        </w:tc>
      </w:tr>
    </w:tbl>
    <w:p>
      <w:pPr>
        <w:pStyle w:val="BodyText"/>
      </w:pPr>
      <w:r>
        <w:t xml:space="preserve">The hidden but important point is genotype context. VEP</w:t>
      </w:r>
      <w:r>
        <w:t xml:space="preserve"> </w:t>
      </w:r>
      <w:r>
        <w:rPr>
          <w:rStyle w:val="VerbatimChar"/>
        </w:rPr>
        <w:t xml:space="preserve">/vep/id</w:t>
      </w:r>
      <w:r>
        <w:t xml:space="preserve">, MyVariant queries, and rsID-based normalization can tell you about the</w:t>
      </w:r>
      <w:r>
        <w:t xml:space="preserve"> </w:t>
      </w:r>
      <w:r>
        <w:rPr>
          <w:b/>
          <w:bCs/>
        </w:rPr>
        <w:t xml:space="preserve">variant record</w:t>
      </w:r>
      <w:r>
        <w:t xml:space="preserve">, but the dashboard still has to join that record back to the</w:t>
      </w:r>
      <w:r>
        <w:t xml:space="preserve"> </w:t>
      </w:r>
      <w:r>
        <w:rPr>
          <w:b/>
          <w:bCs/>
        </w:rPr>
        <w:t xml:space="preserve">user’s genotype</w:t>
      </w:r>
      <w:r>
        <w:t xml:space="preserve"> </w:t>
      </w:r>
      <w:r>
        <w:t xml:space="preserve">from the CSV. This matters especially for multi-mapped or multi-allelic rsIDs, where ANNOVAR explicitly warns that one rsID can yield multiple records. That is precisely why the normalized internal schema needs both the user’s original genotype and the downstream normalized allele representation.</w:t>
      </w:r>
      <w:r>
        <w:t xml:space="preserve"> </w:t>
      </w:r>
      <w:hyperlink r:id="rId30">
        <w:r>
          <w:rPr>
            <w:rStyle w:val="Hyperlink"/>
          </w:rPr>
          <w:t xml:space="preserve">[18]</w:t>
        </w:r>
      </w:hyperlink>
    </w:p>
    <w:bookmarkEnd w:id="36"/>
    <w:bookmarkStart w:id="38" w:name="which-experiments-should-come-first"/>
    <w:p>
      <w:pPr>
        <w:pStyle w:val="Heading2"/>
      </w:pPr>
      <w:r>
        <w:t xml:space="preserve">Which experiments should come first</w:t>
      </w:r>
    </w:p>
    <w:p>
      <w:pPr>
        <w:pStyle w:val="FirstParagraph"/>
      </w:pPr>
      <w:r>
        <w:t xml:space="preserve">The first experiment should be</w:t>
      </w:r>
      <w:r>
        <w:t xml:space="preserve"> </w:t>
      </w:r>
      <w:r>
        <w:rPr>
          <w:b/>
          <w:bCs/>
        </w:rPr>
        <w:t xml:space="preserve">VEP REST</w:t>
      </w:r>
      <w:r>
        <w:rPr>
          <w:b/>
          <w:bCs/>
        </w:rPr>
        <w:t xml:space="preserve"> </w:t>
      </w:r>
      <w:r>
        <w:rPr>
          <w:rStyle w:val="VerbatimChar"/>
          <w:b/>
          <w:bCs/>
        </w:rPr>
        <w:t xml:space="preserve">/vep/id</w:t>
      </w:r>
      <w:r>
        <w:rPr>
          <w:b/>
          <w:bCs/>
        </w:rPr>
        <w:t xml:space="preserve"> </w:t>
      </w:r>
      <w:r>
        <w:rPr>
          <w:b/>
          <w:bCs/>
        </w:rPr>
        <w:t xml:space="preserve">+ Variant Recoder + MyVariant.info</w:t>
      </w:r>
      <w:r>
        <w:t xml:space="preserve"> </w:t>
      </w:r>
      <w:r>
        <w:t xml:space="preserve">on your selected 40-rsID set. That gives you one direct-consequence path, one direct-normalization path, and one enrichment API path, all without forcing you to solve full VCF emission on day one. It also aligns well with the exact weakness of your CSV: lots of identifiers, but no REF/ALT. For a 40-rsID pilot, Variant Recoder’s 200-item POST ceiling is not a problem.</w:t>
      </w:r>
      <w:r>
        <w:t xml:space="preserve"> </w:t>
      </w:r>
      <w:hyperlink r:id="rId28">
        <w:r>
          <w:rPr>
            <w:rStyle w:val="Hyperlink"/>
          </w:rPr>
          <w:t xml:space="preserve">[19]</w:t>
        </w:r>
      </w:hyperlink>
    </w:p>
    <w:p>
      <w:pPr>
        <w:pStyle w:val="BodyText"/>
      </w:pPr>
      <w:r>
        <w:t xml:space="preserve">The second experiment should be</w:t>
      </w:r>
      <w:r>
        <w:t xml:space="preserve"> </w:t>
      </w:r>
      <w:r>
        <w:rPr>
          <w:b/>
          <w:bCs/>
        </w:rPr>
        <w:t xml:space="preserve">VEP Docker/local</w:t>
      </w:r>
      <w:r>
        <w:t xml:space="preserve"> </w:t>
      </w:r>
      <w:r>
        <w:t xml:space="preserve">as the first genuinely production-shaped backbone. The reasons are structural, not aesthetic: official Docker packaging, local cache installation, versioned releases and cache paths, the same engine for prototype and local reproducible execution, and flexible output reduction using flags like</w:t>
      </w:r>
      <w:r>
        <w:t xml:space="preserve"> </w:t>
      </w:r>
      <w:r>
        <w:rPr>
          <w:rStyle w:val="VerbatimChar"/>
        </w:rPr>
        <w:t xml:space="preserve">pick</w:t>
      </w:r>
      <w:r>
        <w:t xml:space="preserve">. In other words, VEP lets you start in rsID mode for the benchmark and then graduate to normalized local execution without changing conceptual backbones.</w:t>
      </w:r>
      <w:r>
        <w:t xml:space="preserve"> </w:t>
      </w:r>
      <w:hyperlink r:id="rId37">
        <w:r>
          <w:rPr>
            <w:rStyle w:val="Hyperlink"/>
          </w:rPr>
          <w:t xml:space="preserve">[20]</w:t>
        </w:r>
      </w:hyperlink>
    </w:p>
    <w:p>
      <w:pPr>
        <w:pStyle w:val="BodyText"/>
      </w:pPr>
      <w:r>
        <w:t xml:space="preserve">The third experiment should be</w:t>
      </w:r>
      <w:r>
        <w:t xml:space="preserve"> </w:t>
      </w:r>
      <w:r>
        <w:rPr>
          <w:b/>
          <w:bCs/>
        </w:rPr>
        <w:t xml:space="preserve">ANNOVAR + InterVar</w:t>
      </w:r>
      <w:r>
        <w:t xml:space="preserve">, and here the Reddit suggestion was directionally right. ANNOVAR gives you a practical local annotation lane and InterVar gives you immediately legible ACMG classes plus evidence codes. But this should be treated as your</w:t>
      </w:r>
      <w:r>
        <w:t xml:space="preserve"> </w:t>
      </w:r>
      <w:r>
        <w:rPr>
          <w:b/>
          <w:bCs/>
        </w:rPr>
        <w:t xml:space="preserve">classification lane</w:t>
      </w:r>
      <w:r>
        <w:t xml:space="preserve">, not your first production backbone, because the official ANNOVAR/InterVar stack is clearly a local toolkit stack: standalone Perl scripts, registration-gated download, local</w:t>
      </w:r>
      <w:r>
        <w:t xml:space="preserve"> </w:t>
      </w:r>
      <w:r>
        <w:rPr>
          <w:rStyle w:val="VerbatimChar"/>
        </w:rPr>
        <w:t xml:space="preserve">humandb</w:t>
      </w:r>
      <w:r>
        <w:t xml:space="preserve">, ANNOVAR-generated intermediate files, and older dependency assumptions in InterVar. That does not make it bad. It makes it wrapper-heavy.</w:t>
      </w:r>
      <w:r>
        <w:t xml:space="preserve"> </w:t>
      </w:r>
      <w:hyperlink r:id="rId30">
        <w:r>
          <w:rPr>
            <w:rStyle w:val="Hyperlink"/>
          </w:rPr>
          <w:t xml:space="preserve">[21]</w:t>
        </w:r>
      </w:hyperlink>
      <w:r>
        <w:t xml:space="preserve"> </w:t>
      </w:r>
      <w:r>
        <w:t xml:space="preserve">fileciteturn0file0</w:t>
      </w:r>
    </w:p>
    <w:p>
      <w:pPr>
        <w:pStyle w:val="BodyText"/>
      </w:pPr>
      <w:r>
        <w:t xml:space="preserve">After that,</w:t>
      </w:r>
      <w:r>
        <w:t xml:space="preserve"> </w:t>
      </w:r>
      <w:r>
        <w:rPr>
          <w:b/>
          <w:bCs/>
        </w:rPr>
        <w:t xml:space="preserve">AutoGVP is the better next classifier benchmark than CharGer</w:t>
      </w:r>
      <w:r>
        <w:t xml:space="preserve">. The reason is simple: AutoGVP is recent, dockerized, and explicitly designed as an integration workflow over VEP, ANNOVAR, InterVar, and AutoPVS1, whereas CharGer’s stable line remains tied to older packaging assumptions and the Python 3 line is still described as under development. So if you want one “advanced classifier” comparison after InterVar, AutoGVP is the more realistic modern benchmark.</w:t>
      </w:r>
      <w:r>
        <w:t xml:space="preserve"> </w:t>
      </w:r>
      <w:hyperlink r:id="rId31">
        <w:r>
          <w:rPr>
            <w:rStyle w:val="Hyperlink"/>
          </w:rPr>
          <w:t xml:space="preserve">[22]</w:t>
        </w:r>
      </w:hyperlink>
    </w:p>
    <w:p>
      <w:pPr>
        <w:pStyle w:val="BodyText"/>
      </w:pPr>
      <w:r>
        <w:rPr>
          <w:b/>
          <w:bCs/>
        </w:rPr>
        <w:t xml:space="preserve">PharmCAT should be a completely separate PGx experiment</w:t>
      </w:r>
      <w:r>
        <w:t xml:space="preserve">, not part of the general annotation bake-off. It answers a different question: not “what is the transcript consequence of this variant?” but “what diplotype/phenotype/recommendation do I get for pharmacogenes?” That makes it extremely valuable for a future PGx dashboard panel, but it should not be judged against VEP or ANNOVAR as if they solve the same problem.</w:t>
      </w:r>
      <w:r>
        <w:t xml:space="preserve"> </w:t>
      </w:r>
      <w:hyperlink r:id="rId26">
        <w:r>
          <w:rPr>
            <w:rStyle w:val="Hyperlink"/>
          </w:rPr>
          <w:t xml:space="preserve">[23]</w:t>
        </w:r>
      </w:hyperlink>
    </w:p>
    <w:p>
      <w:pPr>
        <w:pStyle w:val="BodyText"/>
      </w:pPr>
      <w:r>
        <w:t xml:space="preserve">A naming detail in your repo is worth changing because it reflects this architecture clearly: a script called something like</w:t>
      </w:r>
      <w:r>
        <w:t xml:space="preserve"> </w:t>
      </w:r>
      <w:r>
        <w:rPr>
          <w:rStyle w:val="VerbatimChar"/>
        </w:rPr>
        <w:t xml:space="preserve">build_annotation_framework_testset.py</w:t>
      </w:r>
      <w:r>
        <w:t xml:space="preserve"> </w:t>
      </w:r>
      <w:r>
        <w:t xml:space="preserve">is a better fit than</w:t>
      </w:r>
      <w:r>
        <w:t xml:space="preserve"> </w:t>
      </w:r>
      <w:r>
        <w:rPr>
          <w:rStyle w:val="VerbatimChar"/>
        </w:rPr>
        <w:t xml:space="preserve">build_annovar_intervar_testset.py</w:t>
      </w:r>
      <w:r>
        <w:t xml:space="preserve">, because the test set should be framework-neutral and reusable across VEP, MyVariant, ANNOVAR, InterVar, AutoGVP, CharGer, PharmCAT, and optional OpenCRAVAT lanes.</w:t>
      </w:r>
    </w:p>
    <w:bookmarkEnd w:id="38"/>
    <w:bookmarkStart w:id="39" w:name="the-decision-that-makes-the-most-sense"/>
    <w:p>
      <w:pPr>
        <w:pStyle w:val="Heading2"/>
      </w:pPr>
      <w:r>
        <w:t xml:space="preserve">The decision that makes the most sense</w:t>
      </w:r>
    </w:p>
    <w:p>
      <w:pPr>
        <w:pStyle w:val="FirstParagraph"/>
      </w:pPr>
      <w:r>
        <w:t xml:space="preserve">If the target is a</w:t>
      </w:r>
      <w:r>
        <w:t xml:space="preserve"> </w:t>
      </w:r>
      <w:r>
        <w:rPr>
          <w:b/>
          <w:bCs/>
        </w:rPr>
        <w:t xml:space="preserve">clinical variant dashboard plus chatbot</w:t>
      </w:r>
      <w:r>
        <w:t xml:space="preserve">, the most defensible architecture is:</w:t>
      </w:r>
    </w:p>
    <w:p>
      <w:pPr>
        <w:pStyle w:val="BodyText"/>
      </w:pPr>
      <w:r>
        <w:rPr>
          <w:b/>
          <w:bCs/>
        </w:rPr>
        <w:t xml:space="preserve">VEP local/Docker as the main annotation backbone, MyVariant.info and MyGene.info as enrichment layers, ANNOVAR+InterVar as the first clinical-classification benchmark, AutoGVP as a later advanced classifier benchmark, and PharmCAT as a separate PGx module.</w:t>
      </w:r>
      <w:r>
        <w:t xml:space="preserve"> </w:t>
      </w:r>
      <w:r>
        <w:t xml:space="preserve">That recommendation follows directly from the official adapter constraints: VEP is the only serious production candidate here that combines direct identifier support, official Docker/local documentation, rich consequence annotation, and a clean path from prototype to reproducible execution. MyVariant and MyGene are ideal supplements but not the backbone. ANNOVAR+InterVar is still a very sensible lane, just better positioned as the first classification benchmark than as the first productionized service stack.</w:t>
      </w:r>
      <w:r>
        <w:t xml:space="preserve"> </w:t>
      </w:r>
      <w:hyperlink r:id="rId22">
        <w:r>
          <w:rPr>
            <w:rStyle w:val="Hyperlink"/>
          </w:rPr>
          <w:t xml:space="preserve">[24]</w:t>
        </w:r>
      </w:hyperlink>
    </w:p>
    <w:p>
      <w:pPr>
        <w:pStyle w:val="BodyText"/>
      </w:pPr>
      <w:r>
        <w:t xml:space="preserve">So, to answer the question underneath all of this:</w:t>
      </w:r>
      <w:r>
        <w:t xml:space="preserve"> </w:t>
      </w:r>
      <w:r>
        <w:rPr>
          <w:b/>
          <w:bCs/>
        </w:rPr>
        <w:t xml:space="preserve">no, these tools are not all doing the same thing.</w:t>
      </w:r>
      <w:r>
        <w:t xml:space="preserve"> </w:t>
      </w:r>
      <w:r>
        <w:t xml:space="preserve">Some annotate molecular effect, some normalize identifiers, some enrich with external knowledge, some assign ACMG-style labels, and one is PGx-specific. Once you treat them as layers instead of rivals, the framework comparison becomes much cleaner and your CSV adapter design becomes obvious. That is also the right way to reconcile the ANNOVAR+InterVar suggestion from your earlier notes with the broader caution in the Reddit thread: useful pipeline components, yes; sufficient for autonomous clinical interpretation, no. fileciteturn0file1 fileciteturn0file0</w:t>
      </w:r>
    </w:p>
    <w:bookmarkEnd w:id="39"/>
    <w:bookmarkEnd w:id="40"/>
    <w:bookmarkEnd w:id="41"/>
    <w:p>
      <w:r>
        <w:pict>
          <v:rect style="width:0;height:1.5pt" o:hralign="center" o:hrstd="t" o:hr="t"/>
        </w:pict>
      </w:r>
    </w:p>
    <w:bookmarkStart w:id="42" w:name="citations"/>
    <w:p>
      <w:pPr>
        <w:pStyle w:val="FirstParagraph"/>
      </w:pPr>
      <w:hyperlink r:id="rId21">
        <w:r>
          <w:rPr>
            <w:rStyle w:val="Hyperlink"/>
          </w:rPr>
          <w:t xml:space="preserve">[1]</w:t>
        </w:r>
      </w:hyperlink>
      <w:r>
        <w:t xml:space="preserve"> </w:t>
      </w:r>
      <w:hyperlink r:id="rId21">
        <w:r>
          <w:rPr>
            <w:rStyle w:val="Hyperlink"/>
          </w:rPr>
          <w:t xml:space="preserve">[8]</w:t>
        </w:r>
      </w:hyperlink>
      <w:r>
        <w:t xml:space="preserve"> </w:t>
      </w:r>
      <w:hyperlink r:id="rId21">
        <w:r>
          <w:rPr>
            <w:rStyle w:val="Hyperlink"/>
          </w:rPr>
          <w:t xml:space="preserve">[16]</w:t>
        </w:r>
      </w:hyperlink>
      <w:r>
        <w:t xml:space="preserve"> </w:t>
      </w:r>
      <w:r>
        <w:t xml:space="preserve">https://www.ensembl.org/info/docs/tools/vep/vep_formats.html</w:t>
      </w:r>
    </w:p>
    <w:p>
      <w:pPr>
        <w:pStyle w:val="BodyText"/>
      </w:pPr>
      <w:hyperlink r:id="rId21">
        <w:r>
          <w:rPr>
            <w:rStyle w:val="Hyperlink"/>
          </w:rPr>
          <w:t xml:space="preserve">https://www.ensembl.org/info/docs/tools/vep/vep_formats.html</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[24]</w:t>
        </w:r>
      </w:hyperlink>
      <w:r>
        <w:t xml:space="preserve"> </w:t>
      </w:r>
      <w:r>
        <w:t xml:space="preserve">https://www.ensembl.org/info/docs/tools/vep/index.html</w:t>
      </w:r>
    </w:p>
    <w:p>
      <w:pPr>
        <w:pStyle w:val="BodyText"/>
      </w:pPr>
      <w:hyperlink r:id="rId22">
        <w:r>
          <w:rPr>
            <w:rStyle w:val="Hyperlink"/>
          </w:rPr>
          <w:t xml:space="preserve">https://www.ensembl.org/info/docs/tools/vep/index.html</w:t>
        </w:r>
      </w:hyperlink>
    </w:p>
    <w:p>
      <w:pPr>
        <w:pStyle w:val="BodyText"/>
      </w:pPr>
      <w:hyperlink r:id="rId24">
        <w:r>
          <w:rPr>
            <w:rStyle w:val="Hyperlink"/>
          </w:rPr>
          <w:t xml:space="preserve">[4]</w:t>
        </w:r>
      </w:hyperlink>
      <w:r>
        <w:t xml:space="preserve"> </w:t>
      </w:r>
      <w:hyperlink r:id="rId24">
        <w:r>
          <w:rPr>
            <w:rStyle w:val="Hyperlink"/>
          </w:rPr>
          <w:t xml:space="preserve">[9]</w:t>
        </w:r>
      </w:hyperlink>
      <w:r>
        <w:t xml:space="preserve"> </w:t>
      </w:r>
      <w:r>
        <w:t xml:space="preserve">https://docs.myvariant.info/en/latest/doc/variant_query_service.html</w:t>
      </w:r>
    </w:p>
    <w:p>
      <w:pPr>
        <w:pStyle w:val="BodyText"/>
      </w:pPr>
      <w:hyperlink r:id="rId24">
        <w:r>
          <w:rPr>
            <w:rStyle w:val="Hyperlink"/>
          </w:rPr>
          <w:t xml:space="preserve">https://docs.myvariant.info/en/latest/doc/variant_query_service.html</w:t>
        </w:r>
      </w:hyperlink>
    </w:p>
    <w:p>
      <w:pPr>
        <w:pStyle w:val="BodyText"/>
      </w:pPr>
      <w:hyperlink r:id="rId25">
        <w:r>
          <w:rPr>
            <w:rStyle w:val="Hyperlink"/>
          </w:rPr>
          <w:t xml:space="preserve">[5]</w:t>
        </w:r>
      </w:hyperlink>
      <w:r>
        <w:t xml:space="preserve"> </w:t>
      </w:r>
      <w:hyperlink r:id="rId25">
        <w:r>
          <w:rPr>
            <w:rStyle w:val="Hyperlink"/>
          </w:rPr>
          <w:t xml:space="preserve">[12]</w:t>
        </w:r>
      </w:hyperlink>
      <w:r>
        <w:t xml:space="preserve"> </w:t>
      </w:r>
      <w:r>
        <w:t xml:space="preserve">https://wintervar.wglab.org/</w:t>
      </w:r>
    </w:p>
    <w:p>
      <w:pPr>
        <w:pStyle w:val="BodyText"/>
      </w:pPr>
      <w:hyperlink r:id="rId25">
        <w:r>
          <w:rPr>
            <w:rStyle w:val="Hyperlink"/>
          </w:rPr>
          <w:t xml:space="preserve">https://wintervar.wglab.org/</w:t>
        </w:r>
      </w:hyperlink>
    </w:p>
    <w:p>
      <w:pPr>
        <w:pStyle w:val="BodyText"/>
      </w:pPr>
      <w:hyperlink r:id="rId26">
        <w:r>
          <w:rPr>
            <w:rStyle w:val="Hyperlink"/>
          </w:rPr>
          <w:t xml:space="preserve">[6]</w:t>
        </w:r>
      </w:hyperlink>
      <w:r>
        <w:t xml:space="preserve"> </w:t>
      </w:r>
      <w:hyperlink r:id="rId26">
        <w:r>
          <w:rPr>
            <w:rStyle w:val="Hyperlink"/>
          </w:rPr>
          <w:t xml:space="preserve">[23]</w:t>
        </w:r>
      </w:hyperlink>
      <w:r>
        <w:t xml:space="preserve"> </w:t>
      </w:r>
      <w:r>
        <w:t xml:space="preserve">https://pharmcat.clinpgx.org/using/Running-PharmCAT/</w:t>
      </w:r>
    </w:p>
    <w:p>
      <w:pPr>
        <w:pStyle w:val="BodyText"/>
      </w:pPr>
      <w:hyperlink r:id="rId26">
        <w:r>
          <w:rPr>
            <w:rStyle w:val="Hyperlink"/>
          </w:rPr>
          <w:t xml:space="preserve">https://pharmcat.clinpgx.org/using/Running-PharmCAT/</w:t>
        </w:r>
      </w:hyperlink>
    </w:p>
    <w:p>
      <w:pPr>
        <w:pStyle w:val="BodyText"/>
      </w:pPr>
      <w:hyperlink r:id="rId28">
        <w:r>
          <w:rPr>
            <w:rStyle w:val="Hyperlink"/>
          </w:rPr>
          <w:t xml:space="preserve">[7]</w:t>
        </w:r>
      </w:hyperlink>
      <w:r>
        <w:t xml:space="preserve"> </w:t>
      </w:r>
      <w:hyperlink r:id="rId28">
        <w:r>
          <w:rPr>
            <w:rStyle w:val="Hyperlink"/>
          </w:rPr>
          <w:t xml:space="preserve">[19]</w:t>
        </w:r>
      </w:hyperlink>
      <w:r>
        <w:t xml:space="preserve"> </w:t>
      </w:r>
      <w:r>
        <w:t xml:space="preserve">https://rest.ensembl.org/documentation/info/vep_id_post</w:t>
      </w:r>
    </w:p>
    <w:p>
      <w:pPr>
        <w:pStyle w:val="BodyText"/>
      </w:pPr>
      <w:hyperlink r:id="rId28">
        <w:r>
          <w:rPr>
            <w:rStyle w:val="Hyperlink"/>
          </w:rPr>
          <w:t xml:space="preserve">https://rest.ensembl.org/documentation/info/vep_id_post</w:t>
        </w:r>
      </w:hyperlink>
    </w:p>
    <w:p>
      <w:pPr>
        <w:pStyle w:val="BodyText"/>
      </w:pPr>
      <w:hyperlink r:id="rId29">
        <w:r>
          <w:rPr>
            <w:rStyle w:val="Hyperlink"/>
          </w:rPr>
          <w:t xml:space="preserve">[10]</w:t>
        </w:r>
      </w:hyperlink>
      <w:r>
        <w:t xml:space="preserve"> </w:t>
      </w:r>
      <w:r>
        <w:t xml:space="preserve">https://docs.mygene.info/en/latest/doc/query_service.html</w:t>
      </w:r>
    </w:p>
    <w:p>
      <w:pPr>
        <w:pStyle w:val="BodyText"/>
      </w:pPr>
      <w:hyperlink r:id="rId29">
        <w:r>
          <w:rPr>
            <w:rStyle w:val="Hyperlink"/>
          </w:rPr>
          <w:t xml:space="preserve">https://docs.mygene.info/en/latest/doc/query_service.html</w:t>
        </w:r>
      </w:hyperlink>
    </w:p>
    <w:p>
      <w:pPr>
        <w:pStyle w:val="BodyText"/>
      </w:pPr>
      <w:hyperlink r:id="rId30">
        <w:r>
          <w:rPr>
            <w:rStyle w:val="Hyperlink"/>
          </w:rPr>
          <w:t xml:space="preserve">[11]</w:t>
        </w:r>
      </w:hyperlink>
      <w:r>
        <w:t xml:space="preserve"> </w:t>
      </w:r>
      <w:hyperlink r:id="rId30">
        <w:r>
          <w:rPr>
            <w:rStyle w:val="Hyperlink"/>
          </w:rPr>
          <w:t xml:space="preserve">[18]</w:t>
        </w:r>
      </w:hyperlink>
      <w:r>
        <w:t xml:space="preserve"> </w:t>
      </w:r>
      <w:hyperlink r:id="rId30">
        <w:r>
          <w:rPr>
            <w:rStyle w:val="Hyperlink"/>
          </w:rPr>
          <w:t xml:space="preserve">[21]</w:t>
        </w:r>
      </w:hyperlink>
      <w:r>
        <w:t xml:space="preserve"> </w:t>
      </w:r>
      <w:r>
        <w:t xml:space="preserve">https://annovar.openbioinformatics.org/en/latest/user-guide/input/</w:t>
      </w:r>
    </w:p>
    <w:p>
      <w:pPr>
        <w:pStyle w:val="BodyText"/>
      </w:pPr>
      <w:hyperlink r:id="rId30">
        <w:r>
          <w:rPr>
            <w:rStyle w:val="Hyperlink"/>
          </w:rPr>
          <w:t xml:space="preserve">https://annovar.openbioinformatics.org/en/latest/user-guide/input/</w:t>
        </w:r>
      </w:hyperlink>
    </w:p>
    <w:p>
      <w:pPr>
        <w:pStyle w:val="BodyText"/>
      </w:pPr>
      <w:hyperlink r:id="rId31">
        <w:r>
          <w:rPr>
            <w:rStyle w:val="Hyperlink"/>
          </w:rPr>
          <w:t xml:space="preserve">[13]</w:t>
        </w:r>
      </w:hyperlink>
      <w:r>
        <w:t xml:space="preserve"> </w:t>
      </w:r>
      <w:hyperlink r:id="rId31">
        <w:r>
          <w:rPr>
            <w:rStyle w:val="Hyperlink"/>
          </w:rPr>
          <w:t xml:space="preserve">[22]</w:t>
        </w:r>
      </w:hyperlink>
      <w:r>
        <w:t xml:space="preserve"> </w:t>
      </w:r>
      <w:r>
        <w:t xml:space="preserve">https://github.com/diskin-lab-chop/AutoGVP</w:t>
      </w:r>
    </w:p>
    <w:p>
      <w:pPr>
        <w:pStyle w:val="BodyText"/>
      </w:pPr>
      <w:hyperlink r:id="rId31">
        <w:r>
          <w:rPr>
            <w:rStyle w:val="Hyperlink"/>
          </w:rPr>
          <w:t xml:space="preserve">https://github.com/diskin-lab-chop/AutoGVP</w:t>
        </w:r>
      </w:hyperlink>
    </w:p>
    <w:p>
      <w:pPr>
        <w:pStyle w:val="BodyText"/>
      </w:pPr>
      <w:hyperlink r:id="rId32">
        <w:r>
          <w:rPr>
            <w:rStyle w:val="Hyperlink"/>
          </w:rPr>
          <w:t xml:space="preserve">[14]</w:t>
        </w:r>
      </w:hyperlink>
      <w:r>
        <w:t xml:space="preserve"> </w:t>
      </w:r>
      <w:r>
        <w:t xml:space="preserve">https://github.com/ding-lab/CharGer</w:t>
      </w:r>
    </w:p>
    <w:p>
      <w:pPr>
        <w:pStyle w:val="BodyText"/>
      </w:pPr>
      <w:hyperlink r:id="rId32">
        <w:r>
          <w:rPr>
            <w:rStyle w:val="Hyperlink"/>
          </w:rPr>
          <w:t xml:space="preserve">https://github.com/ding-lab/CharGer</w:t>
        </w:r>
      </w:hyperlink>
    </w:p>
    <w:p>
      <w:pPr>
        <w:pStyle w:val="BodyText"/>
      </w:pPr>
      <w:hyperlink r:id="rId33">
        <w:r>
          <w:rPr>
            <w:rStyle w:val="Hyperlink"/>
          </w:rPr>
          <w:t xml:space="preserve">[15]</w:t>
        </w:r>
      </w:hyperlink>
      <w:r>
        <w:t xml:space="preserve"> </w:t>
      </w:r>
      <w:r>
        <w:t xml:space="preserve">https://docs.opencravat.org/en/latest/OC-manual-page.html</w:t>
      </w:r>
    </w:p>
    <w:p>
      <w:pPr>
        <w:pStyle w:val="BodyText"/>
      </w:pPr>
      <w:hyperlink r:id="rId33">
        <w:r>
          <w:rPr>
            <w:rStyle w:val="Hyperlink"/>
          </w:rPr>
          <w:t xml:space="preserve">https://docs.opencravat.org/en/latest/OC-manual-page.html</w:t>
        </w:r>
      </w:hyperlink>
    </w:p>
    <w:p>
      <w:pPr>
        <w:pStyle w:val="BodyText"/>
      </w:pPr>
      <w:hyperlink r:id="rId35">
        <w:r>
          <w:rPr>
            <w:rStyle w:val="Hyperlink"/>
          </w:rPr>
          <w:t xml:space="preserve">[17]</w:t>
        </w:r>
      </w:hyperlink>
      <w:r>
        <w:t xml:space="preserve"> </w:t>
      </w:r>
      <w:r>
        <w:t xml:space="preserve">https://grch37.rest.ensembl.org/documentation/info/variant_recoder_post</w:t>
      </w:r>
    </w:p>
    <w:p>
      <w:pPr>
        <w:pStyle w:val="BodyText"/>
      </w:pPr>
      <w:hyperlink r:id="rId35">
        <w:r>
          <w:rPr>
            <w:rStyle w:val="Hyperlink"/>
          </w:rPr>
          <w:t xml:space="preserve">https://grch37.rest.ensembl.org/documentation/info/variant_recoder_post</w:t>
        </w:r>
      </w:hyperlink>
    </w:p>
    <w:p>
      <w:pPr>
        <w:pStyle w:val="BodyText"/>
      </w:pPr>
      <w:hyperlink r:id="rId37">
        <w:r>
          <w:rPr>
            <w:rStyle w:val="Hyperlink"/>
          </w:rPr>
          <w:t xml:space="preserve">[20]</w:t>
        </w:r>
      </w:hyperlink>
      <w:r>
        <w:t xml:space="preserve"> </w:t>
      </w:r>
      <w:r>
        <w:t xml:space="preserve">https://www.ensembl.org/info/docs/tools/vep/script/vep_download.html</w:t>
      </w:r>
    </w:p>
    <w:p>
      <w:pPr>
        <w:pStyle w:val="BodyText"/>
      </w:pPr>
      <w:hyperlink r:id="rId37">
        <w:r>
          <w:rPr>
            <w:rStyle w:val="Hyperlink"/>
          </w:rPr>
          <w:t xml:space="preserve">https://www.ensembl.org/info/docs/tools/vep/script/vep_download.html</w:t>
        </w:r>
      </w:hyperlink>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annovar.openbioinformatics.org/en/latest/user-guide/input/" TargetMode="External" /><Relationship Type="http://schemas.openxmlformats.org/officeDocument/2006/relationships/hyperlink" Id="rId29" Target="https://docs.mygene.info/en/latest/doc/query_service.html" TargetMode="External" /><Relationship Type="http://schemas.openxmlformats.org/officeDocument/2006/relationships/hyperlink" Id="rId24" Target="https://docs.myvariant.info/en/latest/doc/variant_query_service.html" TargetMode="External" /><Relationship Type="http://schemas.openxmlformats.org/officeDocument/2006/relationships/hyperlink" Id="rId33" Target="https://docs.opencravat.org/en/latest/OC-manual-page.html" TargetMode="External" /><Relationship Type="http://schemas.openxmlformats.org/officeDocument/2006/relationships/hyperlink" Id="rId32" Target="https://github.com/ding-lab/CharGer" TargetMode="External" /><Relationship Type="http://schemas.openxmlformats.org/officeDocument/2006/relationships/hyperlink" Id="rId31" Target="https://github.com/diskin-lab-chop/AutoGVP" TargetMode="External" /><Relationship Type="http://schemas.openxmlformats.org/officeDocument/2006/relationships/hyperlink" Id="rId35" Target="https://grch37.rest.ensembl.org/documentation/info/variant_recoder_post" TargetMode="External" /><Relationship Type="http://schemas.openxmlformats.org/officeDocument/2006/relationships/hyperlink" Id="rId26" Target="https://pharmcat.clinpgx.org/using/Running-PharmCAT/" TargetMode="External" /><Relationship Type="http://schemas.openxmlformats.org/officeDocument/2006/relationships/hyperlink" Id="rId28" Target="https://rest.ensembl.org/documentation/info/vep_id_post" TargetMode="External" /><Relationship Type="http://schemas.openxmlformats.org/officeDocument/2006/relationships/hyperlink" Id="rId25" Target="https://wintervar.wglab.org/" TargetMode="External" /><Relationship Type="http://schemas.openxmlformats.org/officeDocument/2006/relationships/hyperlink" Id="rId22" Target="https://www.ensembl.org/info/docs/tools/vep/index.html" TargetMode="External" /><Relationship Type="http://schemas.openxmlformats.org/officeDocument/2006/relationships/hyperlink" Id="rId37" Target="https://www.ensembl.org/info/docs/tools/vep/script/vep_download.html" TargetMode="External" /><Relationship Type="http://schemas.openxmlformats.org/officeDocument/2006/relationships/hyperlink" Id="rId21" Target="https://www.ensembl.org/info/docs/tools/vep/vep_formats.html" TargetMode="External" /></Relationships>
</file>

<file path=word/_rels/footnotes.xml.rels><?xml version="1.0" encoding="UTF-8"?><Relationships xmlns="http://schemas.openxmlformats.org/package/2006/relationships"><Relationship Type="http://schemas.openxmlformats.org/officeDocument/2006/relationships/hyperlink" Id="rId30" Target="https://annovar.openbioinformatics.org/en/latest/user-guide/input/" TargetMode="External" /><Relationship Type="http://schemas.openxmlformats.org/officeDocument/2006/relationships/hyperlink" Id="rId29" Target="https://docs.mygene.info/en/latest/doc/query_service.html" TargetMode="External" /><Relationship Type="http://schemas.openxmlformats.org/officeDocument/2006/relationships/hyperlink" Id="rId24" Target="https://docs.myvariant.info/en/latest/doc/variant_query_service.html" TargetMode="External" /><Relationship Type="http://schemas.openxmlformats.org/officeDocument/2006/relationships/hyperlink" Id="rId33" Target="https://docs.opencravat.org/en/latest/OC-manual-page.html" TargetMode="External" /><Relationship Type="http://schemas.openxmlformats.org/officeDocument/2006/relationships/hyperlink" Id="rId32" Target="https://github.com/ding-lab/CharGer" TargetMode="External" /><Relationship Type="http://schemas.openxmlformats.org/officeDocument/2006/relationships/hyperlink" Id="rId31" Target="https://github.com/diskin-lab-chop/AutoGVP" TargetMode="External" /><Relationship Type="http://schemas.openxmlformats.org/officeDocument/2006/relationships/hyperlink" Id="rId35" Target="https://grch37.rest.ensembl.org/documentation/info/variant_recoder_post" TargetMode="External" /><Relationship Type="http://schemas.openxmlformats.org/officeDocument/2006/relationships/hyperlink" Id="rId26" Target="https://pharmcat.clinpgx.org/using/Running-PharmCAT/" TargetMode="External" /><Relationship Type="http://schemas.openxmlformats.org/officeDocument/2006/relationships/hyperlink" Id="rId28" Target="https://rest.ensembl.org/documentation/info/vep_id_post" TargetMode="External" /><Relationship Type="http://schemas.openxmlformats.org/officeDocument/2006/relationships/hyperlink" Id="rId25" Target="https://wintervar.wglab.org/" TargetMode="External" /><Relationship Type="http://schemas.openxmlformats.org/officeDocument/2006/relationships/hyperlink" Id="rId22" Target="https://www.ensembl.org/info/docs/tools/vep/index.html" TargetMode="External" /><Relationship Type="http://schemas.openxmlformats.org/officeDocument/2006/relationships/hyperlink" Id="rId37" Target="https://www.ensembl.org/info/docs/tools/vep/script/vep_download.html" TargetMode="External" /><Relationship Type="http://schemas.openxmlformats.org/officeDocument/2006/relationships/hyperlink" Id="rId21" Target="https://www.ensembl.org/info/docs/tools/vep/vep_format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2026-06-02T10:05:21Z</dcterms:created>
  <dcterms:modified xsi:type="dcterms:W3CDTF">2026-06-02T10:05:21Z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