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22"/>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4"/>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4"/>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4"/>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 xml:space="preserve">Complete this quiz before beginning Module 1 hands-on lab work. Use the Etchant Safety Data Sheets, PPE Reference Guide, and EXAMET-5 Microscope &amp; Etchant Reference pages to answer if needed — this is a comprehension check, not a memory test. Passing score: 100% (18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3"/>
        <w:gridCol w:w="5643"/>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3"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3"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(6061-T6, 2024-T3, 5086)</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3"/>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metallurgical microscope</w:t>
      </w:r>
    </w:p>
    <w:p>
      <w:pPr>
        <w:pStyle w:val="ListParagraph"/>
        <w:numPr>
          <w:ilvl w:val="0"/>
          <w:numId w:val="4"/>
        </w:numPr>
        <w:spacing w:before="0" w:after="60"/>
        <w:rPr/>
      </w:pPr>
      <w:r>
        <w:rPr>
          <w:sz w:val="21"/>
          <w:szCs w:val="21"/>
        </w:rPr>
        <w:t>Pre-mounted Specimen A (1018 steel, phenolic mount)</w:t>
      </w:r>
    </w:p>
    <w:p>
      <w:pPr>
        <w:pStyle w:val="ListParagraph"/>
        <w:numPr>
          <w:ilvl w:val="0"/>
          <w:numId w:val="4"/>
        </w:numPr>
        <w:spacing w:before="0" w:after="60"/>
        <w:rPr/>
      </w:pPr>
      <w:r>
        <w:rPr>
          <w:sz w:val="21"/>
          <w:szCs w:val="21"/>
        </w:rPr>
        <w:t>Lint-free lens tissue</w:t>
      </w:r>
    </w:p>
    <w:p>
      <w:pPr>
        <w:pStyle w:val="ListParagraph"/>
        <w:numPr>
          <w:ilvl w:val="0"/>
          <w:numId w:val="4"/>
        </w:numPr>
        <w:spacing w:before="0" w:after="60"/>
        <w:rPr/>
      </w:pPr>
      <w:r>
        <w:rPr>
          <w:sz w:val="21"/>
          <w:szCs w:val="21"/>
        </w:rPr>
        <w:t>Cotton gloves or finger cots</w:t>
      </w:r>
    </w:p>
    <w:p>
      <w:pPr>
        <w:pStyle w:val="ListParagraph"/>
        <w:numPr>
          <w:ilvl w:val="0"/>
          <w:numId w:val="4"/>
        </w:numPr>
        <w:spacing w:before="0" w:after="60"/>
        <w:rPr/>
      </w:pPr>
      <w:r>
        <w:rPr>
          <w:sz w:val="21"/>
          <w:szCs w:val="21"/>
        </w:rPr>
        <w:t>Ruler/scale for field-width grain estimates</w:t>
      </w:r>
    </w:p>
    <w:p>
      <w:pPr>
        <w:pStyle w:val="ListParagraph"/>
        <w:numPr>
          <w:ilvl w:val="0"/>
          <w:numId w:val="4"/>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Grain boundary network visible  (50×)</w:t>
      </w:r>
    </w:p>
    <w:p>
      <w:pPr>
        <w:pStyle w:val="Normal"/>
        <w:spacing w:before="0" w:after="70"/>
        <w:ind w:start="360"/>
        <w:rPr/>
      </w:pPr>
      <w:r>
        <w:rPr>
          <w:sz w:val="21"/>
          <w:szCs w:val="21"/>
        </w:rPr>
        <w:t xml:space="preserve">☐  Equiaxed grain shape confirmed  (100×)</w:t>
      </w:r>
    </w:p>
    <w:p>
      <w:pPr>
        <w:pStyle w:val="Normal"/>
        <w:spacing w:before="0" w:after="70"/>
        <w:ind w:start="360"/>
        <w:rPr/>
      </w:pPr>
      <w:r>
        <w:rPr>
          <w:sz w:val="21"/>
          <w:szCs w:val="21"/>
        </w:rPr>
        <w:t xml:space="preserve">☐  Grain orientation contrast (light/dark grains)  (100×)</w:t>
      </w:r>
    </w:p>
    <w:p>
      <w:pPr>
        <w:pStyle w:val="Normal"/>
        <w:spacing w:before="0" w:after="70"/>
        <w:ind w:start="360"/>
        <w:rPr/>
      </w:pPr>
      <w:r>
        <w:rPr>
          <w:sz w:val="21"/>
          <w:szCs w:val="21"/>
        </w:rPr>
        <w:t xml:space="preserve">☐  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(phenolic mounts, Vickers indent applied to B for Q2)</w:t>
      </w:r>
    </w:p>
    <w:p>
      <w:pPr>
        <w:pStyle w:val="ListParagraph"/>
        <w:numPr>
          <w:ilvl w:val="0"/>
          <w:numId w:val="4"/>
        </w:numPr>
        <w:spacing w:before="0" w:after="60"/>
        <w:rPr/>
      </w:pPr>
      <w:r>
        <w:rPr>
          <w:sz w:val="21"/>
          <w:szCs w:val="21"/>
        </w:rPr>
        <w:t>Stage micrometer or calibrated eyepiece graticule</w:t>
      </w:r>
    </w:p>
    <w:p>
      <w:pPr>
        <w:pStyle w:val="ListParagraph"/>
        <w:numPr>
          <w:ilvl w:val="0"/>
          <w:numId w:val="4"/>
        </w:numPr>
        <w:spacing w:before="0" w:after="60"/>
        <w:rPr/>
      </w:pPr>
      <w:r>
        <w:rPr>
          <w:sz w:val="21"/>
          <w:szCs w:val="21"/>
        </w:rPr>
        <w:t>Calculator (for HV formula)</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White ferrite grains visible (A vs B comparison)  (100×)</w:t>
      </w:r>
    </w:p>
    <w:p>
      <w:pPr>
        <w:pStyle w:val="Normal"/>
        <w:spacing w:before="0" w:after="70"/>
        <w:ind w:start="360"/>
        <w:rPr/>
      </w:pPr>
      <w:r>
        <w:rPr>
          <w:sz w:val="21"/>
          <w:szCs w:val="21"/>
        </w:rPr>
        <w:t xml:space="preserve">☐  Dark pearlite colonies visible  (100×)</w:t>
      </w:r>
    </w:p>
    <w:p>
      <w:pPr>
        <w:pStyle w:val="Normal"/>
        <w:spacing w:before="0" w:after="70"/>
        <w:ind w:start="360"/>
        <w:rPr/>
      </w:pPr>
      <w:r>
        <w:rPr>
          <w:sz w:val="21"/>
          <w:szCs w:val="21"/>
        </w:rPr>
        <w:t xml:space="preserve">☐  Square Vickers indent visible on Specimen B  (100×)</w:t>
      </w:r>
    </w:p>
    <w:p>
      <w:pPr>
        <w:pStyle w:val="Normal"/>
        <w:spacing w:before="0" w:after="70"/>
        <w:ind w:start="360"/>
        <w:rPr/>
      </w:pPr>
      <w:r>
        <w:rPr>
          <w:sz w:val="21"/>
          <w:szCs w:val="21"/>
        </w:rPr>
        <w:t xml:space="preserve">☐  Both diagonals of indent measurable  (100×)</w:t>
      </w:r>
    </w:p>
    <w:p>
      <w:pPr>
        <w:pStyle w:val="Normal"/>
        <w:spacing w:before="0" w:after="70"/>
        <w:ind w:start="360"/>
        <w:rPr/>
      </w:pPr>
      <w:r>
        <w:rPr>
          <w:sz w:val="21"/>
          <w:szCs w:val="21"/>
        </w:rPr>
        <w:t xml:space="preserve">☐  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C (phenolic mounts)</w:t>
      </w:r>
    </w:p>
    <w:p>
      <w:pPr>
        <w:pStyle w:val="ListParagraph"/>
        <w:numPr>
          <w:ilvl w:val="0"/>
          <w:numId w:val="4"/>
        </w:numPr>
        <w:spacing w:before="0" w:after="60"/>
        <w:rPr/>
      </w:pPr>
      <w:r>
        <w:rPr>
          <w:sz w:val="21"/>
          <w:szCs w:val="21"/>
        </w:rPr>
        <w:t>Iron-carbon phase diagram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Predominantly ferrite + minor pearlite (1018)  (100×)</w:t>
      </w:r>
    </w:p>
    <w:p>
      <w:pPr>
        <w:pStyle w:val="Normal"/>
        <w:spacing w:before="0" w:after="70"/>
        <w:ind w:start="360"/>
        <w:rPr/>
      </w:pPr>
      <w:r>
        <w:rPr>
          <w:sz w:val="21"/>
          <w:szCs w:val="21"/>
        </w:rPr>
        <w:t xml:space="preserve">☐  Roughly equal ferrite/pearlite (1045)  (100×)</w:t>
      </w:r>
    </w:p>
    <w:p>
      <w:pPr>
        <w:pStyle w:val="Normal"/>
        <w:spacing w:before="0" w:after="70"/>
        <w:ind w:start="360"/>
        <w:rPr/>
      </w:pPr>
      <w:r>
        <w:rPr>
          <w:sz w:val="21"/>
          <w:szCs w:val="21"/>
        </w:rPr>
        <w:t xml:space="preserve">☐  Dominant pearlite with thin ferrite network (1075)  (100×)</w:t>
      </w:r>
    </w:p>
    <w:p>
      <w:pPr>
        <w:pStyle w:val="Normal"/>
        <w:spacing w:before="0" w:after="70"/>
        <w:ind w:start="360"/>
        <w:rPr/>
      </w:pPr>
      <w:r>
        <w:rPr>
          <w:sz w:val="21"/>
          <w:szCs w:val="21"/>
        </w:rPr>
        <w:t xml:space="preserve">☐  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D, E, F (phenolic mounts)</w:t>
      </w:r>
    </w:p>
    <w:p>
      <w:pPr>
        <w:pStyle w:val="ListParagraph"/>
        <w:numPr>
          <w:ilvl w:val="0"/>
          <w:numId w:val="4"/>
        </w:numPr>
        <w:spacing w:before="0" w:after="60"/>
        <w:rPr/>
      </w:pPr>
      <w:r>
        <w:rPr>
          <w:sz w:val="21"/>
          <w:szCs w:val="21"/>
        </w:rPr>
        <w:t>PREN / stainless family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austenite grains, 304 (Specimen D)  (100×)</w:t>
      </w:r>
    </w:p>
    <w:p>
      <w:pPr>
        <w:pStyle w:val="Normal"/>
        <w:spacing w:before="0" w:after="70"/>
        <w:ind w:start="360"/>
        <w:rPr/>
      </w:pPr>
      <w:r>
        <w:rPr>
          <w:sz w:val="21"/>
          <w:szCs w:val="21"/>
        </w:rPr>
        <w:t xml:space="preserve">☐  Equiaxed austenite grains, 316 (Specimen E)  (100×)</w:t>
      </w:r>
    </w:p>
    <w:p>
      <w:pPr>
        <w:pStyle w:val="Normal"/>
        <w:spacing w:before="0" w:after="70"/>
        <w:ind w:start="360"/>
        <w:rPr/>
      </w:pPr>
      <w:r>
        <w:rPr>
          <w:sz w:val="21"/>
          <w:szCs w:val="21"/>
        </w:rPr>
        <w:t xml:space="preserve">☐  Straight annealing twin bands crossing multiple grains (D, E)  (100×)</w:t>
      </w:r>
    </w:p>
    <w:p>
      <w:pPr>
        <w:pStyle w:val="Normal"/>
        <w:spacing w:before="0" w:after="70"/>
        <w:ind w:start="360"/>
        <w:rPr/>
      </w:pPr>
      <w:r>
        <w:rPr>
          <w:sz w:val="21"/>
          <w:szCs w:val="21"/>
        </w:rPr>
        <w:t xml:space="preserve">☐  Martensitic matrix, no twinning (17-4PH, Specimen F)  (100×)</w:t>
      </w:r>
    </w:p>
    <w:p>
      <w:pPr>
        <w:pStyle w:val="Normal"/>
        <w:spacing w:before="0" w:after="70"/>
        <w:ind w:start="360"/>
        <w:rPr/>
      </w:pPr>
      <w:r>
        <w:rPr>
          <w:sz w:val="21"/>
          <w:szCs w:val="21"/>
        </w:rPr>
        <w:t xml:space="preserve">☐  Fine precipitate distribution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K (phenolic mounts)</w:t>
      </w:r>
    </w:p>
    <w:p>
      <w:pPr>
        <w:pStyle w:val="ListParagraph"/>
        <w:numPr>
          <w:ilvl w:val="0"/>
          <w:numId w:val="4"/>
        </w:numPr>
        <w:spacing w:before="0" w:after="60"/>
        <w:rPr/>
      </w:pPr>
      <w:r>
        <w:rPr>
          <w:sz w:val="21"/>
          <w:szCs w:val="21"/>
        </w:rPr>
        <w:t>Al-Mg-Si precipitation / Cu-Zn stacking-fault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aluminum grains (6061-T6, Specimen G)  (100×)</w:t>
      </w:r>
    </w:p>
    <w:p>
      <w:pPr>
        <w:pStyle w:val="Normal"/>
        <w:spacing w:before="0" w:after="70"/>
        <w:ind w:start="360"/>
        <w:rPr/>
      </w:pPr>
      <w:r>
        <w:rPr>
          <w:sz w:val="21"/>
          <w:szCs w:val="21"/>
        </w:rPr>
        <w:t xml:space="preserve">☐  Fine dark Mg₂Si precipitate dots  (500×)</w:t>
      </w:r>
    </w:p>
    <w:p>
      <w:pPr>
        <w:pStyle w:val="Normal"/>
        <w:spacing w:before="0" w:after="70"/>
        <w:ind w:start="360"/>
        <w:rPr/>
      </w:pPr>
      <w:r>
        <w:rPr>
          <w:sz w:val="21"/>
          <w:szCs w:val="21"/>
        </w:rPr>
        <w:t xml:space="preserve">☐  Very prominent annealing twins in brass (Specimen K, almost every grain)  (40–100×)</w:t>
      </w:r>
    </w:p>
    <w:p>
      <w:pPr>
        <w:pStyle w:val="Normal"/>
        <w:spacing w:before="0" w:after="70"/>
        <w:ind w:start="360"/>
        <w:rPr/>
      </w:pPr>
      <w:r>
        <w:rPr>
          <w:sz w:val="21"/>
          <w:szCs w:val="21"/>
        </w:rPr>
        <w:t xml:space="preserve">☐  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w:t>
      </w:r>
    </w:p>
    <w:p>
      <w:pPr>
        <w:pStyle w:val="ListParagraph"/>
        <w:numPr>
          <w:ilvl w:val="0"/>
          <w:numId w:val="5"/>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eyepiece graticule</w:t>
      </w:r>
    </w:p>
    <w:p>
      <w:pPr>
        <w:pStyle w:val="ListParagraph"/>
        <w:numPr>
          <w:ilvl w:val="0"/>
          <w:numId w:val="4"/>
        </w:numPr>
        <w:spacing w:before="0" w:after="60"/>
        <w:rPr/>
      </w:pPr>
      <w:r>
        <w:rPr>
          <w:sz w:val="21"/>
          <w:szCs w:val="21"/>
        </w:rPr>
        <w:t>Specimens A, B (phenolic mounts)</w:t>
      </w:r>
    </w:p>
    <w:p>
      <w:pPr>
        <w:pStyle w:val="ListParagraph"/>
        <w:numPr>
          <w:ilvl w:val="0"/>
          <w:numId w:val="4"/>
        </w:numPr>
        <w:spacing w:before="0" w:after="60"/>
        <w:rPr/>
      </w:pPr>
      <w:r>
        <w:rPr>
          <w:sz w:val="21"/>
          <w:szCs w:val="21"/>
        </w:rPr>
        <w:t>Stage micrometer (to calibrate graticule)</w:t>
      </w:r>
    </w:p>
    <w:p>
      <w:pPr>
        <w:pStyle w:val="ListParagraph"/>
        <w:numPr>
          <w:ilvl w:val="0"/>
          <w:numId w:val="4"/>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Grain boundaries countable at 100× (intercept method)  (100×)</w:t>
      </w:r>
    </w:p>
    <w:p>
      <w:pPr>
        <w:pStyle w:val="Normal"/>
        <w:spacing w:before="0" w:after="70"/>
        <w:ind w:start="360"/>
        <w:rPr/>
      </w:pPr>
      <w:r>
        <w:rPr>
          <w:sz w:val="21"/>
          <w:szCs w:val="21"/>
        </w:rPr>
        <w:t xml:space="preserve">☐  Square Vickers indent with both diagonals measurable  (100×)</w:t>
      </w:r>
    </w:p>
    <w:p>
      <w:pPr>
        <w:pStyle w:val="Normal"/>
        <w:spacing w:before="0" w:after="70"/>
        <w:ind w:start="360"/>
        <w:rPr/>
      </w:pPr>
      <w:r>
        <w:rPr>
          <w:sz w:val="21"/>
          <w:szCs w:val="21"/>
        </w:rPr>
        <w:t xml:space="preserve">☐  Plastic zone around indent (disturbed grain boundaries)  (100×)</w:t>
      </w:r>
    </w:p>
    <w:p>
      <w:pPr>
        <w:pStyle w:val="Normal"/>
        <w:spacing w:before="0" w:after="70"/>
        <w:ind w:start="360"/>
        <w:rPr/>
      </w:pPr>
      <w:r>
        <w:rPr>
          <w:sz w:val="21"/>
          <w:szCs w:val="21"/>
        </w:rPr>
        <w:t xml:space="preserve">☐  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L, P (phenolic mounts)</w:t>
      </w:r>
    </w:p>
    <w:p>
      <w:pPr>
        <w:pStyle w:val="ListParagraph"/>
        <w:numPr>
          <w:ilvl w:val="0"/>
          <w:numId w:val="4"/>
        </w:numPr>
        <w:spacing w:before="0" w:after="60"/>
        <w:rPr/>
      </w:pPr>
      <w:r>
        <w:rPr>
          <w:sz w:val="21"/>
          <w:szCs w:val="21"/>
        </w:rPr>
        <w:t>NDT method comparison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Surface or near-surface void/pore located (Specimen A)  (40–100×)</w:t>
      </w:r>
    </w:p>
    <w:p>
      <w:pPr>
        <w:pStyle w:val="Normal"/>
        <w:spacing w:before="0" w:after="70"/>
        <w:ind w:start="360"/>
        <w:rPr/>
      </w:pPr>
      <w:r>
        <w:rPr>
          <w:sz w:val="21"/>
          <w:szCs w:val="21"/>
        </w:rPr>
        <w:t xml:space="preserve">☐  Elongated MnS inclusion aligned with rolling direction (Specimen A)  (100×)</w:t>
      </w:r>
    </w:p>
    <w:p>
      <w:pPr>
        <w:pStyle w:val="Normal"/>
        <w:spacing w:before="0" w:after="70"/>
        <w:ind w:start="360"/>
        <w:rPr/>
      </w:pPr>
      <w:r>
        <w:rPr>
          <w:sz w:val="21"/>
          <w:szCs w:val="21"/>
        </w:rPr>
        <w:t xml:space="preserve">☐  Discrete lead particles identified in Specimen L, distinguished from a true defect  (100×)</w:t>
      </w:r>
    </w:p>
    <w:p>
      <w:pPr>
        <w:pStyle w:val="Normal"/>
        <w:spacing w:before="0" w:after="70"/>
        <w:ind w:start="360"/>
        <w:rPr/>
      </w:pPr>
      <w:r>
        <w:rPr>
          <w:sz w:val="21"/>
          <w:szCs w:val="21"/>
        </w:rPr>
        <w:t xml:space="preserve">☐  General surface condition of Specimen P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graticule</w:t>
      </w:r>
    </w:p>
    <w:p>
      <w:pPr>
        <w:pStyle w:val="ListParagraph"/>
        <w:numPr>
          <w:ilvl w:val="0"/>
          <w:numId w:val="4"/>
        </w:numPr>
        <w:spacing w:before="0" w:after="60"/>
        <w:rPr/>
      </w:pPr>
      <w:r>
        <w:rPr>
          <w:sz w:val="21"/>
          <w:szCs w:val="21"/>
        </w:rPr>
        <w:t>Specimen A (phenolic mount)</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Grain boundaries consistently resolvable (three test lines)  (100×)</w:t>
      </w:r>
    </w:p>
    <w:p>
      <w:pPr>
        <w:pStyle w:val="Normal"/>
        <w:spacing w:before="0" w:after="70"/>
        <w:ind w:start="360"/>
        <w:rPr/>
      </w:pPr>
      <w:r>
        <w:rPr>
          <w:sz w:val="21"/>
          <w:szCs w:val="21"/>
        </w:rPr>
        <w:t xml:space="preserve">☐  Type A inclusions (sulfide stringers) identified  (100×)</w:t>
      </w:r>
    </w:p>
    <w:p>
      <w:pPr>
        <w:pStyle w:val="Normal"/>
        <w:spacing w:before="0" w:after="70"/>
        <w:ind w:start="360"/>
        <w:rPr/>
      </w:pPr>
      <w:r>
        <w:rPr>
          <w:sz w:val="21"/>
          <w:szCs w:val="21"/>
        </w:rPr>
        <w:t xml:space="preserve">☐  Type B, C, or D inclusions noted (if present)  (100×)</w:t>
      </w:r>
    </w:p>
    <w:p>
      <w:pPr>
        <w:pStyle w:val="Normal"/>
        <w:spacing w:before="0" w:after="70"/>
        <w:ind w:start="360"/>
        <w:rPr/>
      </w:pPr>
      <w:r>
        <w:rPr>
          <w:sz w:val="21"/>
          <w:szCs w:val="21"/>
        </w:rPr>
        <w:t xml:space="preserve">☐  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 aluminum alloy</w:t>
      </w:r>
    </w:p>
    <w:p>
      <w:pPr>
        <w:pStyle w:val="ListParagraph"/>
        <w:numPr>
          <w:ilvl w:val="0"/>
          <w:numId w:val="5"/>
        </w:numPr>
        <w:spacing w:before="0" w:after="40"/>
        <w:rPr/>
      </w:pPr>
      <w:r>
        <w:rPr>
          <w:sz w:val="21"/>
          <w:szCs w:val="21"/>
        </w:rPr>
        <w:t>J – 2024-T3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J (phenolic mounts)</w:t>
      </w:r>
    </w:p>
    <w:p>
      <w:pPr>
        <w:pStyle w:val="ListParagraph"/>
        <w:numPr>
          <w:ilvl w:val="0"/>
          <w:numId w:val="4"/>
        </w:numPr>
        <w:spacing w:before="0" w:after="60"/>
        <w:rPr/>
      </w:pPr>
      <w:r>
        <w:rPr>
          <w:sz w:val="21"/>
          <w:szCs w:val="21"/>
        </w:rPr>
        <w:t>Stage micrometer or calibrated graticule (for constituent particle size estimate)</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grain structure visible in both specimens  (50×)</w:t>
      </w:r>
    </w:p>
    <w:p>
      <w:pPr>
        <w:pStyle w:val="Normal"/>
        <w:spacing w:before="0" w:after="70"/>
        <w:ind w:start="360"/>
        <w:rPr/>
      </w:pPr>
      <w:r>
        <w:rPr>
          <w:sz w:val="21"/>
          <w:szCs w:val="21"/>
        </w:rPr>
        <w:t xml:space="preserve">☐  Constituent particles identified in Specimen G (6061)  (500×)</w:t>
      </w:r>
    </w:p>
    <w:p>
      <w:pPr>
        <w:pStyle w:val="Normal"/>
        <w:spacing w:before="0" w:after="70"/>
        <w:ind w:start="360"/>
        <w:rPr/>
      </w:pPr>
      <w:r>
        <w:rPr>
          <w:sz w:val="21"/>
          <w:szCs w:val="21"/>
        </w:rPr>
        <w:t xml:space="preserve">☐  Constituent particles identified in Specimen J (2024-T3)  (500×)</w:t>
      </w:r>
    </w:p>
    <w:p>
      <w:pPr>
        <w:pStyle w:val="Normal"/>
        <w:spacing w:before="0" w:after="70"/>
        <w:ind w:start="360"/>
        <w:rPr/>
      </w:pPr>
      <w:r>
        <w:rPr>
          <w:sz w:val="21"/>
          <w:szCs w:val="21"/>
        </w:rPr>
        <w:t xml:space="preserve">☐  Relative particle size/density compared between G and J  (500×)</w:t>
      </w:r>
    </w:p>
    <w:p>
      <w:pPr>
        <w:pStyle w:val="Normal"/>
        <w:spacing w:before="0" w:after="70"/>
        <w:ind w:start="360"/>
        <w:rPr/>
      </w:pPr>
      <w:r>
        <w:rPr>
          <w:sz w:val="21"/>
          <w:szCs w:val="21"/>
        </w:rPr>
        <w:t xml:space="preserve">☐  Grain boundary and twin structure noted in both  (100×)</w:t>
      </w:r>
    </w:p>
    <w:p>
      <w:pPr>
        <w:pStyle w:val="Normal"/>
        <w:spacing w:before="0" w:after="70"/>
        <w:ind w:start="360"/>
        <w:rPr/>
      </w:pPr>
      <w:r>
        <w:rPr>
          <w:sz w:val="21"/>
          <w:szCs w:val="21"/>
        </w:rPr>
        <w:t xml:space="preserve">☐  Square Vickers indent with both diagonals measurable (G and J)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C3.  </w:t>
      </w:r>
      <w:r>
        <w:rPr>
          <w:sz w:val="21"/>
          <w:szCs w:val="21"/>
        </w:rPr>
        <w:t>Your G specimen is 6061-T6 (artificially aged to peak strength); your J specimen is 2024-T3 (only naturally aged at room temperature, plus cold work). 2024 ages usefully at room temperature; 6xxx alloys like 6061 need an artificial aging step to reach a useful strength. Given that difference in natural-aging behavior, why does it make sense that 2024 sheet commonly ships as T3/T4 while 6061 commonly ships as T6?</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Heat-Treatable vs. Weldable Structural Grades</w:t>
      </w:r>
    </w:p>
    <w:p>
      <w:pPr>
        <w:pStyle w:val="Normal"/>
        <w:spacing w:before="0" w:after="200"/>
        <w:rPr/>
      </w:pPr>
      <w:r>
        <w:rPr>
          <w:i/>
          <w:iCs/>
          <w:color w:val="333333"/>
          <w:sz w:val="21"/>
          <w:szCs w:val="21"/>
        </w:rPr>
        <w:t>Alloy selection is driven by more than peak strength — how an alloy performs after fabrication matters just as much. 6061-T6 reaches its strength through Mg₂Si precipitation, but welding (or anything that heats the joint above the aging temperature) dissolves and coarsens that precipitate structure, softening the heat-affected zone. 5086 is a non-heat-treatable Al-Mg alloy that gets its strength entirely from magnesium in solid solution — with no precipitate structure to disrupt, it keeps its strength through a weld thermal cycle far better than 6061-T6 does, which is why welded aluminum structures (boat hulls, tanks, weldments) lean on 5xxx alloys almost exclusively. You'll revisit G and take your first HV reading on I, adding a new point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 (revisit, Modules 5 &amp; 9)</w:t>
      </w:r>
    </w:p>
    <w:p>
      <w:pPr>
        <w:pStyle w:val="ListParagraph"/>
        <w:numPr>
          <w:ilvl w:val="0"/>
          <w:numId w:val="5"/>
        </w:numPr>
        <w:spacing w:before="0" w:after="40"/>
        <w:rPr/>
      </w:pPr>
      <w:r>
        <w:rPr>
          <w:sz w:val="21"/>
          <w:szCs w:val="21"/>
        </w:rPr>
        <w:t>I – 5086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(G,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I (phenolic mounts)</w:t>
      </w:r>
    </w:p>
    <w:p>
      <w:pPr>
        <w:pStyle w:val="ListParagraph"/>
        <w:numPr>
          <w:ilvl w:val="0"/>
          <w:numId w:val="4"/>
        </w:numPr>
        <w:spacing w:before="0" w:after="60"/>
        <w:rPr/>
      </w:pPr>
      <w:r>
        <w:rPr>
          <w:sz w:val="21"/>
          <w:szCs w:val="21"/>
        </w:rPr>
        <w:t>Ruler for field-width measurement</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boundary and second-phase comparison  →  500× – fine microstructural detail  →  500× – Vickers indent diagonal measurement (G,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grain structure visible in both specimens  (100×)</w:t>
      </w:r>
    </w:p>
    <w:p>
      <w:pPr>
        <w:pStyle w:val="Normal"/>
        <w:spacing w:before="0" w:after="70"/>
        <w:ind w:start="360"/>
        <w:rPr/>
      </w:pPr>
      <w:r>
        <w:rPr>
          <w:sz w:val="21"/>
          <w:szCs w:val="21"/>
        </w:rPr>
        <w:t xml:space="preserve">☐  Fine Mg₂Si precipitates re-confirmed in Specimen G (6061-T6)  (500×)</w:t>
      </w:r>
    </w:p>
    <w:p>
      <w:pPr>
        <w:pStyle w:val="Normal"/>
        <w:spacing w:before="0" w:after="70"/>
        <w:ind w:start="360"/>
        <w:rPr/>
      </w:pPr>
      <w:r>
        <w:rPr>
          <w:sz w:val="21"/>
          <w:szCs w:val="21"/>
        </w:rPr>
        <w:t xml:space="preserve">☐  Absence of precipitates confirmed in Specimen I (5086, solid-solution only)  (500×)</w:t>
      </w:r>
    </w:p>
    <w:p>
      <w:pPr>
        <w:pStyle w:val="Normal"/>
        <w:spacing w:before="0" w:after="70"/>
        <w:ind w:start="360"/>
        <w:rPr/>
      </w:pPr>
      <w:r>
        <w:rPr>
          <w:sz w:val="21"/>
          <w:szCs w:val="21"/>
        </w:rPr>
        <w:t xml:space="preserve">☐  Relative grain size compared between G and I  (100×)</w:t>
      </w:r>
    </w:p>
    <w:p>
      <w:pPr>
        <w:pStyle w:val="Normal"/>
        <w:spacing w:before="0" w:after="70"/>
        <w:ind w:start="360"/>
        <w:rPr/>
      </w:pPr>
      <w:r>
        <w:rPr>
          <w:sz w:val="21"/>
          <w:szCs w:val="21"/>
        </w:rPr>
        <w:t xml:space="preserve">☐  Square Vickers indent with both diagonals measurable (G and I)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6061-T6 is heat-treatable (Mg₂Si precipitates); 5086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Welding heats a joint well above 6061-T6's aging temperature, which dissolves and coarsens its Mg₂Si precipitates in the heat-affected zone. Based on what you observed in Specimen G, what would you expect a welded 6061-T6 joint to look like under the microscope near the weld, compared to the base metal you just examined?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5086 work-hardens rather than age-hardens, the same as 5052 does. If a sheet of 5086 were cold-formed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welded aluminum bracket for a marine application. Based on the strengthening mechanism of each alloy, which would you recommend — 6061-T6 or 5086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G and I using the Module 6 technique, and record both in your Hardness Log. 6061-T6 and 5086 reach their strength through different mechanisms (precipitation vs. solid-solution/work hardening) — does your HV data suggest 5086 comes close to 6061-T6's strength, or does the precipitation-hardened specimen pull well ahead?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cold-formed application like 5086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6061-T6 is chosen for its high as-delivered strength, not for how well it retains that strength after welding. What does that tell you about why "high-strength" and "weld-ready" can be two different selection criteria for the same structural application?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G</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Prepared edge visible and smooth at 50×  (50×)</w:t>
      </w:r>
    </w:p>
    <w:p>
      <w:pPr>
        <w:pStyle w:val="Normal"/>
        <w:spacing w:before="0" w:after="70"/>
        <w:ind w:start="360"/>
        <w:rPr/>
      </w:pPr>
      <w:r>
        <w:rPr>
          <w:sz w:val="21"/>
          <w:szCs w:val="21"/>
        </w:rPr>
        <w:t xml:space="preserve">☐  Near-surface grain distortion or deformation layer (steel)  (500×)</w:t>
      </w:r>
    </w:p>
    <w:p>
      <w:pPr>
        <w:pStyle w:val="Normal"/>
        <w:spacing w:before="0" w:after="70"/>
        <w:ind w:start="360"/>
        <w:rPr/>
      </w:pPr>
      <w:r>
        <w:rPr>
          <w:sz w:val="21"/>
          <w:szCs w:val="21"/>
        </w:rPr>
        <w:t xml:space="preserve">☐  Preparation scratches visible at 500×  (500×)</w:t>
      </w:r>
    </w:p>
    <w:p>
      <w:pPr>
        <w:pStyle w:val="Normal"/>
        <w:spacing w:before="0" w:after="70"/>
        <w:ind w:start="360"/>
        <w:rPr/>
      </w:pPr>
      <w:r>
        <w:rPr>
          <w:sz w:val="21"/>
          <w:szCs w:val="21"/>
        </w:rPr>
        <w:t xml:space="preserve">☐  Comparison of near-surface condition: steel vs. aluminum (Specimen G)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N, O (phenolic mounts)</w:t>
      </w:r>
    </w:p>
    <w:p>
      <w:pPr>
        <w:pStyle w:val="ListParagraph"/>
        <w:numPr>
          <w:ilvl w:val="0"/>
          <w:numId w:val="4"/>
        </w:numPr>
        <w:spacing w:before="0" w:after="60"/>
        <w:rPr/>
      </w:pPr>
      <w:r>
        <w:rPr>
          <w:sz w:val="21"/>
          <w:szCs w:val="21"/>
        </w:rPr>
        <w:t>Eyepiece graticule with grid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grain structure visible, Specimen N (pure copper)  (100×)</w:t>
      </w:r>
    </w:p>
    <w:p>
      <w:pPr>
        <w:pStyle w:val="Normal"/>
        <w:spacing w:before="0" w:after="70"/>
        <w:ind w:start="360"/>
        <w:rPr/>
      </w:pPr>
      <w:r>
        <w:rPr>
          <w:sz w:val="21"/>
          <w:szCs w:val="21"/>
        </w:rPr>
        <w:t xml:space="preserve">☐  Annealing twin bands visible in Specimen N  (100×)</w:t>
      </w:r>
    </w:p>
    <w:p>
      <w:pPr>
        <w:pStyle w:val="Normal"/>
        <w:spacing w:before="0" w:after="70"/>
        <w:ind w:start="360"/>
        <w:rPr/>
      </w:pPr>
      <w:r>
        <w:rPr>
          <w:sz w:val="21"/>
          <w:szCs w:val="21"/>
        </w:rPr>
        <w:t xml:space="preserve">☐  Fine precipitate distribution identified in Specimen O (chromium copper)  (500×)</w:t>
      </w:r>
    </w:p>
    <w:p>
      <w:pPr>
        <w:pStyle w:val="Normal"/>
        <w:spacing w:before="0" w:after="70"/>
        <w:ind w:start="360"/>
        <w:rPr/>
      </w:pPr>
      <w:r>
        <w:rPr>
          <w:sz w:val="21"/>
          <w:szCs w:val="21"/>
        </w:rPr>
        <w:t xml:space="preserve">☐  Grain/twin structure compared between N and O  (100×)</w:t>
      </w:r>
    </w:p>
    <w:p>
      <w:pPr>
        <w:pStyle w:val="Normal"/>
        <w:spacing w:before="0" w:after="70"/>
        <w:ind w:start="360"/>
        <w:rPr/>
      </w:pPr>
      <w:r>
        <w:rPr>
          <w:sz w:val="21"/>
          <w:szCs w:val="21"/>
        </w:rPr>
        <w:t xml:space="preserve">☐  Square Vickers indent with both diagonals measurable (N and O)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K, L, M (phenolic mounts)</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Equiaxed single-phase alpha grains, Specimen K (260)  (100×)</w:t>
      </w:r>
    </w:p>
    <w:p>
      <w:pPr>
        <w:pStyle w:val="Normal"/>
        <w:spacing w:before="0" w:after="70"/>
        <w:ind w:start="360"/>
        <w:rPr/>
      </w:pPr>
      <w:r>
        <w:rPr>
          <w:sz w:val="21"/>
          <w:szCs w:val="21"/>
        </w:rPr>
        <w:t xml:space="preserve">☐  Annealing twin bands visible in Specimen K  (100×)</w:t>
      </w:r>
    </w:p>
    <w:p>
      <w:pPr>
        <w:pStyle w:val="Normal"/>
        <w:spacing w:before="0" w:after="70"/>
        <w:ind w:start="360"/>
        <w:rPr/>
      </w:pPr>
      <w:r>
        <w:rPr>
          <w:sz w:val="21"/>
          <w:szCs w:val="21"/>
        </w:rPr>
        <w:t xml:space="preserve">☐  Discrete lead particles identified, Specimen L (360)  (100×)</w:t>
      </w:r>
    </w:p>
    <w:p>
      <w:pPr>
        <w:pStyle w:val="Normal"/>
        <w:spacing w:before="0" w:after="70"/>
        <w:ind w:start="360"/>
        <w:rPr/>
      </w:pPr>
      <w:r>
        <w:rPr>
          <w:sz w:val="21"/>
          <w:szCs w:val="21"/>
        </w:rPr>
        <w:t xml:space="preserve">☐  Two distinct phases (alpha + beta) identified, Specimen M (464)  (100×)</w:t>
      </w:r>
    </w:p>
    <w:p>
      <w:pPr>
        <w:pStyle w:val="Normal"/>
        <w:spacing w:before="0" w:after="70"/>
        <w:ind w:start="360"/>
        <w:rPr/>
      </w:pPr>
      <w:r>
        <w:rPr>
          <w:sz w:val="21"/>
          <w:szCs w:val="21"/>
        </w:rPr>
        <w:t xml:space="preserve">☐  Alpha/beta phase boundary morphology noted, Specimen M  (500×)</w:t>
      </w:r>
    </w:p>
    <w:p>
      <w:pPr>
        <w:pStyle w:val="Normal"/>
        <w:spacing w:before="0" w:after="70"/>
        <w:ind w:start="360"/>
        <w:rPr/>
      </w:pPr>
      <w:r>
        <w:rPr>
          <w:sz w:val="21"/>
          <w:szCs w:val="21"/>
        </w:rPr>
        <w:t xml:space="preserve">☐  Square Vickers indent with both diagonals measurable (K, L, and 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(2024-T3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2024-T3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F, J, O (revisit — retrieve from kit, phenolic mounts)</w:t>
      </w:r>
    </w:p>
    <w:p>
      <w:pPr>
        <w:pStyle w:val="ListParagraph"/>
        <w:numPr>
          <w:ilvl w:val="0"/>
          <w:numId w:val="4"/>
        </w:numPr>
        <w:spacing w:before="0" w:after="60"/>
        <w:rPr/>
      </w:pPr>
      <w:r>
        <w:rPr>
          <w:sz w:val="21"/>
          <w:szCs w:val="21"/>
        </w:rPr>
        <w:t>Calibrated graticule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Precipitate morphology re-examined in Specimen F (17-4PH)  (500×)</w:t>
      </w:r>
    </w:p>
    <w:p>
      <w:pPr>
        <w:pStyle w:val="Normal"/>
        <w:spacing w:before="0" w:after="70"/>
        <w:ind w:start="360"/>
        <w:rPr/>
      </w:pPr>
      <w:r>
        <w:rPr>
          <w:sz w:val="21"/>
          <w:szCs w:val="21"/>
        </w:rPr>
        <w:t xml:space="preserve">☐  Precipitate morphology re-examined in Specimen J (2024-T3)  (500×)</w:t>
      </w:r>
    </w:p>
    <w:p>
      <w:pPr>
        <w:pStyle w:val="Normal"/>
        <w:spacing w:before="0" w:after="70"/>
        <w:ind w:start="360"/>
        <w:rPr/>
      </w:pPr>
      <w:r>
        <w:rPr>
          <w:sz w:val="21"/>
          <w:szCs w:val="21"/>
        </w:rPr>
        <w:t xml:space="preserve">☐  Precipitate morphology re-examined in Specimen O (chromium copper)  (500×)</w:t>
      </w:r>
    </w:p>
    <w:p>
      <w:pPr>
        <w:pStyle w:val="Normal"/>
        <w:spacing w:before="0" w:after="70"/>
        <w:ind w:start="360"/>
        <w:rPr/>
      </w:pPr>
      <w:r>
        <w:rPr>
          <w:sz w:val="21"/>
          <w:szCs w:val="21"/>
        </w:rPr>
        <w:t xml:space="preserve">☐  Relative precipitate size/density ranked across all three  (500×)</w:t>
      </w:r>
    </w:p>
    <w:p>
      <w:pPr>
        <w:pStyle w:val="Normal"/>
        <w:spacing w:before="0" w:after="70"/>
        <w:ind w:start="360"/>
        <w:rPr/>
      </w:pPr>
      <w:r>
        <w:rPr>
          <w:sz w:val="21"/>
          <w:szCs w:val="21"/>
        </w:rPr>
        <w:t xml:space="preserve">☐  Base crystal structure noted for each (martensitic vs. FCC)  (100×)</w:t>
      </w:r>
    </w:p>
    <w:p>
      <w:pPr>
        <w:pStyle w:val="Normal"/>
        <w:spacing w:before="0" w:after="70"/>
        <w:ind w:start="360"/>
        <w:rPr/>
      </w:pPr>
      <w:r>
        <w:rPr>
          <w:sz w:val="21"/>
          <w:szCs w:val="21"/>
        </w:rPr>
        <w:t xml:space="preserve">☐  Square Vickers indent with both diagonals measurable,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Pencil, 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8"/>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J, and O (Module 4, 9, 12) before answering the precipitation-hardening synthesis question.</w:t>
      </w:r>
    </w:p>
    <w:p>
      <w:pPr>
        <w:pStyle w:val="ListParagraph"/>
        <w:numPr>
          <w:ilvl w:val="0"/>
          <w:numId w:val="6"/>
        </w:numPr>
        <w:spacing w:before="0" w:after="60"/>
        <w:rPr/>
      </w:pPr>
      <w:r>
        <w:rPr>
          <w:sz w:val="21"/>
          <w:szCs w:val="21"/>
        </w:rPr>
        <w:t>No microscope session is required for this module — it is a written synthesis exercise.</w:t>
      </w:r>
    </w:p>
    <w:p>
      <w:pPr>
        <w:pStyle w:val="ListParagraph"/>
        <w:numPr>
          <w:ilvl w:val="0"/>
          <w:numId w:val="6"/>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Crystal structure identified for at least one BCC, FCC, and HCP specimen (from notes)</w:t>
      </w:r>
    </w:p>
    <w:p>
      <w:pPr>
        <w:pStyle w:val="Normal"/>
        <w:spacing w:before="0" w:after="70"/>
        <w:ind w:start="360"/>
        <w:rPr/>
      </w:pPr>
      <w:r>
        <w:rPr>
          <w:sz w:val="21"/>
          <w:szCs w:val="21"/>
        </w:rPr>
        <w:t xml:space="preserve">☐  Twin presence/absence compared across at least three specimens (from notes)</w:t>
      </w:r>
    </w:p>
    <w:p>
      <w:pPr>
        <w:pStyle w:val="Normal"/>
        <w:spacing w:before="0" w:after="70"/>
        <w:ind w:start="360"/>
        <w:rPr/>
      </w:pPr>
      <w:r>
        <w:rPr>
          <w:sz w:val="21"/>
          <w:szCs w:val="21"/>
        </w:rPr>
        <w:t xml:space="preserve">☐  Strengthening mechanism identified for at least three specimens (from notes)</w:t>
      </w:r>
    </w:p>
    <w:p>
      <w:pPr>
        <w:pStyle w:val="Normal"/>
        <w:spacing w:before="0" w:after="70"/>
        <w:ind w:start="360"/>
        <w:rPr/>
      </w:pPr>
      <w:r>
        <w:rPr>
          <w:sz w:val="21"/>
          <w:szCs w:val="21"/>
        </w:rPr>
        <w:t xml:space="preserve">☐  Precipitation-hardening thread traced across F, J, O (from notes)</w:t>
      </w:r>
    </w:p>
    <w:p>
      <w:pPr>
        <w:pStyle w:val="Normal"/>
        <w:spacing w:before="0" w:after="70"/>
        <w:ind w:start="360"/>
        <w:rPr/>
      </w:pPr>
      <w:r>
        <w:rPr>
          <w:sz w:val="21"/>
          <w:szCs w:val="21"/>
        </w:rPr>
        <w:t xml:space="preserve">☐  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(5086, pure copper — no precipitates), precipitation/age hardening (17-4PH, 2024-T3,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15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4"/>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I — </w:t>
      </w:r>
      <w:r>
        <w:rPr>
          <w:sz w:val="21"/>
          <w:szCs w:val="21"/>
        </w:rPr>
        <w:t>5086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J — </w:t>
      </w:r>
      <w:r>
        <w:rPr>
          <w:sz w:val="21"/>
          <w:szCs w:val="21"/>
        </w:rPr>
        <w:t>2024-T3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I — </w:t>
      </w:r>
      <w:r>
        <w:rPr>
          <w:sz w:val="21"/>
          <w:szCs w:val="21"/>
        </w:rPr>
        <w:t>5086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J — </w:t>
      </w:r>
      <w:r>
        <w:rPr>
          <w:sz w:val="21"/>
          <w:szCs w:val="21"/>
        </w:rPr>
        <w:t>2024-T3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4"/>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6"/>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76</Pages>
  <Words>11407</Words>
  <Characters>60791</Characters>
  <CharactersWithSpaces>72178</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2026-08-17T18:00:38Z</cp:lastPrinted>
  <dcterms:modified xsi:type="dcterms:W3CDTF">2026-08-17T20:53:00Z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